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12" w:rsidRDefault="00B54712">
      <w:pPr>
        <w:widowControl/>
        <w:shd w:val="clear" w:color="auto" w:fill="FFFFFF"/>
        <w:spacing w:line="600" w:lineRule="atLeast"/>
        <w:jc w:val="center"/>
        <w:rPr>
          <w:rFonts w:ascii="方正小标宋简体" w:eastAsia="方正小标宋简体" w:hAnsi="Arial" w:cs="Arial"/>
          <w:color w:val="000000"/>
          <w:kern w:val="0"/>
          <w:sz w:val="44"/>
          <w:szCs w:val="44"/>
        </w:rPr>
      </w:pPr>
      <w:r>
        <w:rPr>
          <w:rFonts w:ascii="方正小标宋简体" w:eastAsia="方正小标宋简体" w:hAnsi="Arial" w:cs="Arial" w:hint="eastAsia"/>
          <w:color w:val="000000"/>
          <w:kern w:val="0"/>
          <w:sz w:val="44"/>
          <w:szCs w:val="44"/>
        </w:rPr>
        <w:t>南京市</w:t>
      </w:r>
      <w:r w:rsidR="00ED3FF3">
        <w:rPr>
          <w:rFonts w:ascii="方正小标宋简体" w:eastAsia="方正小标宋简体" w:hAnsi="Arial" w:cs="Arial" w:hint="eastAsia"/>
          <w:color w:val="000000"/>
          <w:kern w:val="0"/>
          <w:sz w:val="44"/>
          <w:szCs w:val="44"/>
        </w:rPr>
        <w:t>玄武区</w:t>
      </w:r>
      <w:r w:rsidR="00EF12ED">
        <w:rPr>
          <w:rFonts w:ascii="方正小标宋简体" w:eastAsia="方正小标宋简体" w:hAnsi="Arial" w:cs="Arial" w:hint="eastAsia"/>
          <w:color w:val="000000"/>
          <w:kern w:val="0"/>
          <w:sz w:val="44"/>
          <w:szCs w:val="44"/>
        </w:rPr>
        <w:t>人力资源和社会保障局</w:t>
      </w:r>
      <w:r w:rsidR="00ED3FF3">
        <w:rPr>
          <w:rFonts w:ascii="方正小标宋简体" w:eastAsia="方正小标宋简体" w:hAnsi="Arial" w:cs="Arial" w:hint="eastAsia"/>
          <w:color w:val="000000"/>
          <w:kern w:val="0"/>
          <w:sz w:val="44"/>
          <w:szCs w:val="44"/>
        </w:rPr>
        <w:t>重大行政执法决定</w:t>
      </w:r>
    </w:p>
    <w:p w:rsidR="00B21F2C" w:rsidRDefault="00ED3FF3">
      <w:pPr>
        <w:widowControl/>
        <w:shd w:val="clear" w:color="auto" w:fill="FFFFFF"/>
        <w:spacing w:line="600" w:lineRule="atLeast"/>
        <w:jc w:val="center"/>
        <w:rPr>
          <w:rFonts w:ascii="Arial" w:eastAsia="宋体" w:hAnsi="Arial" w:cs="Arial"/>
          <w:color w:val="000000"/>
          <w:kern w:val="0"/>
          <w:sz w:val="24"/>
          <w:szCs w:val="24"/>
        </w:rPr>
      </w:pPr>
      <w:bookmarkStart w:id="0" w:name="_GoBack"/>
      <w:bookmarkEnd w:id="0"/>
      <w:r>
        <w:rPr>
          <w:rFonts w:ascii="方正小标宋简体" w:eastAsia="方正小标宋简体" w:hAnsi="Arial" w:cs="Arial" w:hint="eastAsia"/>
          <w:color w:val="000000"/>
          <w:kern w:val="0"/>
          <w:sz w:val="44"/>
          <w:szCs w:val="44"/>
        </w:rPr>
        <w:t>法制审核目录清单</w:t>
      </w:r>
    </w:p>
    <w:tbl>
      <w:tblPr>
        <w:tblpPr w:leftFromText="180" w:rightFromText="180" w:vertAnchor="text"/>
        <w:tblW w:w="14610" w:type="dxa"/>
        <w:tblCellMar>
          <w:left w:w="0" w:type="dxa"/>
          <w:right w:w="0" w:type="dxa"/>
        </w:tblCellMar>
        <w:tblLook w:val="04A0" w:firstRow="1" w:lastRow="0" w:firstColumn="1" w:lastColumn="0" w:noHBand="0" w:noVBand="1"/>
      </w:tblPr>
      <w:tblGrid>
        <w:gridCol w:w="610"/>
        <w:gridCol w:w="850"/>
        <w:gridCol w:w="2316"/>
        <w:gridCol w:w="1436"/>
        <w:gridCol w:w="1568"/>
        <w:gridCol w:w="2374"/>
        <w:gridCol w:w="5456"/>
      </w:tblGrid>
      <w:tr w:rsidR="00B21F2C">
        <w:trPr>
          <w:trHeight w:val="780"/>
        </w:trPr>
        <w:tc>
          <w:tcPr>
            <w:tcW w:w="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执法类别</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执法决定</w:t>
            </w:r>
          </w:p>
        </w:tc>
        <w:tc>
          <w:tcPr>
            <w:tcW w:w="28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执法依据</w:t>
            </w:r>
          </w:p>
        </w:tc>
        <w:tc>
          <w:tcPr>
            <w:tcW w:w="14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提请部门</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审核依据</w:t>
            </w:r>
          </w:p>
        </w:tc>
        <w:tc>
          <w:tcPr>
            <w:tcW w:w="3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送审材料</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审核重点</w:t>
            </w:r>
          </w:p>
        </w:tc>
      </w:tr>
      <w:tr w:rsidR="00B21F2C">
        <w:trPr>
          <w:trHeight w:val="124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行政许可类决</w:t>
            </w:r>
            <w:r>
              <w:rPr>
                <w:rFonts w:ascii="仿宋_GB2312" w:eastAsia="仿宋_GB2312" w:hAnsi="宋体" w:cs="宋体" w:hint="eastAsia"/>
                <w:kern w:val="0"/>
                <w:sz w:val="24"/>
                <w:szCs w:val="24"/>
              </w:rPr>
              <w:lastRenderedPageBreak/>
              <w:t>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特殊工时审批</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1、《中华人民共和国劳动法》第三十九条　企业因生产特点不能实行本法第三十六条、第三十八条规定的，经劳动行</w:t>
            </w:r>
            <w:r>
              <w:rPr>
                <w:rFonts w:ascii="仿宋_GB2312" w:eastAsia="仿宋_GB2312" w:hAnsi="宋体" w:cs="宋体" w:hint="eastAsia"/>
                <w:kern w:val="0"/>
                <w:sz w:val="24"/>
                <w:szCs w:val="24"/>
              </w:rPr>
              <w:lastRenderedPageBreak/>
              <w:t>政部门批准，可以实行其他工作和休息方法。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2、《关于企业实行不定时工作制和综合计算工时工作制的审批办法》（劳部发[1994]503号）</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仿宋_GB2312" w:hAnsi="宋体" w:cs="宋体"/>
                <w:kern w:val="0"/>
                <w:sz w:val="24"/>
                <w:szCs w:val="24"/>
              </w:rPr>
            </w:pPr>
            <w:r>
              <w:rPr>
                <w:rFonts w:ascii="仿宋_GB2312" w:eastAsia="仿宋_GB2312" w:hAnsi="宋体" w:cs="宋体" w:hint="eastAsia"/>
                <w:kern w:val="0"/>
                <w:sz w:val="22"/>
              </w:rPr>
              <w:lastRenderedPageBreak/>
              <w:t>劳动关系科</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《中华人民共和国劳动法》第三十九条、《关于企业实行不定时工作制和</w:t>
            </w:r>
            <w:r>
              <w:rPr>
                <w:rFonts w:ascii="仿宋_GB2312" w:eastAsia="仿宋_GB2312" w:hAnsi="宋体" w:cs="宋体" w:hint="eastAsia"/>
                <w:kern w:val="0"/>
                <w:sz w:val="24"/>
                <w:szCs w:val="24"/>
              </w:rPr>
              <w:lastRenderedPageBreak/>
              <w:t>综合计算工时工作制的审批办法》（劳部发[1994]503号</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1.申请单位提供的申报资料；</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w:t>
            </w:r>
            <w:r>
              <w:rPr>
                <w:rFonts w:ascii="仿宋_GB2312" w:eastAsia="仿宋_GB2312" w:hAnsi="宋体" w:cs="宋体" w:hint="eastAsia"/>
                <w:kern w:val="0"/>
                <w:sz w:val="24"/>
                <w:szCs w:val="24"/>
              </w:rPr>
              <w:t>1</w:t>
            </w:r>
            <w:r>
              <w:rPr>
                <w:rFonts w:ascii="仿宋_GB2312" w:eastAsia="仿宋_GB2312" w:hAnsi="宋体" w:cs="宋体" w:hint="eastAsia"/>
                <w:kern w:val="0"/>
                <w:sz w:val="22"/>
              </w:rPr>
              <w:t>）营业执照复印件</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w:t>
            </w:r>
            <w:r>
              <w:rPr>
                <w:rFonts w:ascii="仿宋_GB2312" w:eastAsia="仿宋_GB2312" w:hAnsi="宋体" w:cs="宋体" w:hint="eastAsia"/>
                <w:kern w:val="0"/>
                <w:sz w:val="24"/>
                <w:szCs w:val="24"/>
              </w:rPr>
              <w:t>2</w:t>
            </w:r>
            <w:r>
              <w:rPr>
                <w:rFonts w:ascii="仿宋_GB2312" w:eastAsia="仿宋_GB2312" w:hAnsi="宋体" w:cs="宋体" w:hint="eastAsia"/>
                <w:kern w:val="0"/>
                <w:sz w:val="22"/>
              </w:rPr>
              <w:t>）申请报告</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w:t>
            </w:r>
            <w:r>
              <w:rPr>
                <w:rFonts w:ascii="仿宋_GB2312" w:eastAsia="仿宋_GB2312" w:hAnsi="宋体" w:cs="宋体" w:hint="eastAsia"/>
                <w:kern w:val="0"/>
                <w:sz w:val="24"/>
                <w:szCs w:val="24"/>
              </w:rPr>
              <w:t>3</w:t>
            </w:r>
            <w:r>
              <w:rPr>
                <w:rFonts w:ascii="仿宋_GB2312" w:eastAsia="仿宋_GB2312" w:hAnsi="宋体" w:cs="宋体" w:hint="eastAsia"/>
                <w:kern w:val="0"/>
                <w:sz w:val="22"/>
              </w:rPr>
              <w:t>）有工会的企业，提供工会意见书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w:t>
            </w:r>
            <w:r>
              <w:rPr>
                <w:rFonts w:ascii="仿宋_GB2312" w:eastAsia="仿宋_GB2312" w:hAnsi="宋体" w:cs="宋体" w:hint="eastAsia"/>
                <w:kern w:val="0"/>
                <w:sz w:val="24"/>
                <w:szCs w:val="24"/>
              </w:rPr>
              <w:t>4</w:t>
            </w:r>
            <w:r>
              <w:rPr>
                <w:rFonts w:ascii="仿宋_GB2312" w:eastAsia="仿宋_GB2312" w:hAnsi="宋体" w:cs="宋体" w:hint="eastAsia"/>
                <w:kern w:val="0"/>
                <w:sz w:val="22"/>
              </w:rPr>
              <w:t>）同意实行特殊工时的职工签名册</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w:t>
            </w:r>
            <w:r>
              <w:rPr>
                <w:rFonts w:ascii="仿宋_GB2312" w:eastAsia="仿宋_GB2312" w:hAnsi="宋体" w:cs="宋体" w:hint="eastAsia"/>
                <w:kern w:val="0"/>
                <w:sz w:val="24"/>
                <w:szCs w:val="24"/>
              </w:rPr>
              <w:t>5</w:t>
            </w:r>
            <w:r>
              <w:rPr>
                <w:rFonts w:ascii="仿宋_GB2312" w:eastAsia="仿宋_GB2312" w:hAnsi="宋体" w:cs="宋体" w:hint="eastAsia"/>
                <w:kern w:val="0"/>
                <w:sz w:val="22"/>
              </w:rPr>
              <w:t>）申报岗位说明：工作时间、休息休假、福利待遇等情况</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w:t>
            </w:r>
            <w:r>
              <w:rPr>
                <w:rFonts w:ascii="仿宋_GB2312" w:eastAsia="仿宋_GB2312" w:hAnsi="宋体" w:cs="宋体" w:hint="eastAsia"/>
                <w:kern w:val="0"/>
                <w:sz w:val="24"/>
                <w:szCs w:val="24"/>
              </w:rPr>
              <w:t>6</w:t>
            </w:r>
            <w:r>
              <w:rPr>
                <w:rFonts w:ascii="仿宋_GB2312" w:eastAsia="仿宋_GB2312" w:hAnsi="宋体" w:cs="宋体" w:hint="eastAsia"/>
                <w:kern w:val="0"/>
                <w:sz w:val="22"/>
              </w:rPr>
              <w:t>）申报特殊工时申请表、申报特殊工时审批表。</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2、审批窗口审核意见及情况说明。</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3、行政许可决定书（送审稿）</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lastRenderedPageBreak/>
              <w:t>1.申请事项是否属于本机关职权范围；</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2.申请材料是否齐全、是否符合法定形式；</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3、工会意见或职工签名同意的情况；</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4、拟作出的行政许可决定是否合法适当。</w:t>
            </w:r>
            <w:r>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br/>
            </w:r>
          </w:p>
        </w:tc>
      </w:tr>
      <w:tr w:rsidR="00B21F2C">
        <w:trPr>
          <w:trHeight w:val="2266"/>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行政处罚类决定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违法从事职业培训、职业中介、技能培训、考核鉴定等业务的处罚</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320" w:lineRule="atLeast"/>
              <w:jc w:val="center"/>
              <w:textAlignment w:val="center"/>
              <w:rPr>
                <w:rFonts w:ascii="宋体" w:eastAsia="宋体" w:hAnsi="宋体" w:cs="宋体"/>
                <w:kern w:val="0"/>
                <w:sz w:val="24"/>
                <w:szCs w:val="24"/>
              </w:rPr>
            </w:pPr>
            <w:r>
              <w:rPr>
                <w:rFonts w:ascii="仿宋_GB2312" w:eastAsia="仿宋_GB2312" w:hAnsi="宋体" w:cs="宋体" w:hint="eastAsia"/>
                <w:kern w:val="0"/>
                <w:sz w:val="22"/>
              </w:rPr>
              <w:t>《就业促进法》第六十四条违反本法规定，未经许可和登记，擅自从事职业中介活动的，由劳动行政部门或者其他主管部门依法予以关闭；有违法所得的，没收违法所得，并处一万元以上五万元以下的罚款。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r>
              <w:rPr>
                <w:rFonts w:ascii="仿宋_GB2312" w:eastAsia="仿宋_GB2312" w:hAnsi="宋体" w:cs="宋体" w:hint="eastAsia"/>
                <w:kern w:val="0"/>
                <w:sz w:val="24"/>
                <w:szCs w:val="24"/>
              </w:rPr>
              <w:t>  </w:t>
            </w:r>
            <w:r>
              <w:rPr>
                <w:rFonts w:ascii="仿宋_GB2312" w:eastAsia="仿宋_GB2312" w:hAnsi="宋体" w:cs="宋体" w:hint="eastAsia"/>
                <w:kern w:val="0"/>
                <w:sz w:val="22"/>
              </w:rPr>
              <w:t>《劳动保障监察条例》（国务院令</w:t>
            </w:r>
            <w:r>
              <w:rPr>
                <w:rFonts w:ascii="仿宋_GB2312" w:eastAsia="仿宋_GB2312" w:hAnsi="宋体" w:cs="宋体" w:hint="eastAsia"/>
                <w:kern w:val="0"/>
                <w:sz w:val="22"/>
              </w:rPr>
              <w:lastRenderedPageBreak/>
              <w:t>第</w:t>
            </w:r>
            <w:r>
              <w:rPr>
                <w:rFonts w:ascii="仿宋_GB2312" w:eastAsia="仿宋_GB2312" w:hAnsi="宋体" w:cs="宋体" w:hint="eastAsia"/>
                <w:kern w:val="0"/>
                <w:sz w:val="24"/>
                <w:szCs w:val="24"/>
              </w:rPr>
              <w:t>423</w:t>
            </w:r>
            <w:r>
              <w:rPr>
                <w:rFonts w:ascii="仿宋_GB2312" w:eastAsia="仿宋_GB2312" w:hAnsi="宋体" w:cs="宋体" w:hint="eastAsia"/>
                <w:kern w:val="0"/>
                <w:sz w:val="22"/>
              </w:rPr>
              <w:t>号）第二十八条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劳动保障监察大队</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《民办教育促进法》第六十四条、《就业促进法》第六十四条、第六十五条、《劳动保障监察条例》（国务院令第</w:t>
            </w:r>
            <w:r>
              <w:rPr>
                <w:rFonts w:ascii="仿宋_GB2312" w:eastAsia="仿宋_GB2312" w:hAnsi="宋体" w:cs="宋体" w:hint="eastAsia"/>
                <w:kern w:val="0"/>
                <w:sz w:val="24"/>
                <w:szCs w:val="24"/>
              </w:rPr>
              <w:t>423</w:t>
            </w:r>
            <w:r>
              <w:rPr>
                <w:rFonts w:ascii="仿宋_GB2312" w:eastAsia="仿宋_GB2312" w:hAnsi="宋体" w:cs="宋体" w:hint="eastAsia"/>
                <w:kern w:val="0"/>
                <w:sz w:val="22"/>
              </w:rPr>
              <w:t>号）第二十八条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1.劳动保障监察投诉登记表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2.劳动保障监察立案审批表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3.劳动保障监察询问通知书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4.劳动保障监察调查（询问）笔录</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5.劳动保障监察案件限期改正指令报批表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6.劳动保障监察限期改正指令书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7.劳动保障行政部门</w:t>
            </w:r>
            <w:r>
              <w:rPr>
                <w:rFonts w:ascii="仿宋_GB2312" w:eastAsia="仿宋_GB2312" w:hAnsi="宋体" w:cs="宋体" w:hint="eastAsia"/>
                <w:kern w:val="0"/>
                <w:sz w:val="22"/>
              </w:rPr>
              <w:lastRenderedPageBreak/>
              <w:t>负责人对复杂、重大行政处罚（理）集体记录（劳动保障监察行政处罚（理）集体讨论记录）</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8.劳动保障监察案件行政处理（处罚）事先告知报批表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9.劳动保障监察行政处罚（行政处理）事先告知书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10.劳动保障监察案件处理（处罚）决定报批</w:t>
            </w:r>
            <w:r>
              <w:rPr>
                <w:rFonts w:ascii="仿宋_GB2312" w:eastAsia="仿宋_GB2312" w:hAnsi="宋体" w:cs="宋体" w:hint="eastAsia"/>
                <w:kern w:val="0"/>
                <w:sz w:val="22"/>
              </w:rPr>
              <w:lastRenderedPageBreak/>
              <w:t>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11.劳动保障监察行政处理（处罚）决定书</w:t>
            </w:r>
            <w:r>
              <w:rPr>
                <w:rFonts w:ascii="仿宋_GB2312" w:eastAsia="仿宋_GB2312" w:hAnsi="宋体" w:cs="宋体" w:hint="eastAsia"/>
                <w:kern w:val="0"/>
                <w:sz w:val="24"/>
                <w:szCs w:val="24"/>
              </w:rPr>
              <w:t>(</w:t>
            </w:r>
            <w:r>
              <w:rPr>
                <w:rFonts w:ascii="仿宋_GB2312" w:eastAsia="仿宋_GB2312" w:hAnsi="宋体" w:cs="宋体" w:hint="eastAsia"/>
                <w:kern w:val="0"/>
                <w:sz w:val="22"/>
              </w:rPr>
              <w:t>送审稿</w:t>
            </w:r>
            <w:r>
              <w:rPr>
                <w:rFonts w:ascii="仿宋_GB2312" w:eastAsia="仿宋_GB2312" w:hAnsi="宋体" w:cs="宋体" w:hint="eastAsia"/>
                <w:kern w:val="0"/>
                <w:sz w:val="24"/>
                <w:szCs w:val="24"/>
              </w:rPr>
              <w:t>)</w:t>
            </w:r>
            <w:r>
              <w:rPr>
                <w:rFonts w:ascii="仿宋_GB2312" w:eastAsia="仿宋_GB2312" w:hAnsi="宋体" w:cs="宋体" w:hint="eastAsia"/>
                <w:kern w:val="0"/>
                <w:sz w:val="22"/>
              </w:rPr>
              <w:t>。</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1.执法主体是否合法，执法人员是否具备执法资格；</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2.主要事实是否清楚，证据是否确凿、充分；</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3.适用法律、法规、规章是否准确；执行裁量基准是否适当；</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4.程序是否合法，是否充分保障行政相对人权利。</w:t>
            </w:r>
          </w:p>
        </w:tc>
      </w:tr>
      <w:tr w:rsidR="00B21F2C">
        <w:trPr>
          <w:trHeight w:val="2266"/>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行政处罚类决定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360" w:lineRule="atLeast"/>
              <w:jc w:val="center"/>
              <w:textAlignment w:val="center"/>
              <w:rPr>
                <w:rFonts w:ascii="宋体" w:eastAsia="宋体" w:hAnsi="宋体" w:cs="宋体"/>
                <w:kern w:val="0"/>
                <w:sz w:val="24"/>
                <w:szCs w:val="24"/>
              </w:rPr>
            </w:pPr>
            <w:r>
              <w:rPr>
                <w:rFonts w:ascii="华文仿宋" w:eastAsia="华文仿宋" w:hAnsi="华文仿宋" w:cs="宋体" w:hint="eastAsia"/>
                <w:kern w:val="0"/>
                <w:sz w:val="24"/>
                <w:szCs w:val="24"/>
              </w:rPr>
              <w:t>对用人单位非法使用童工的处罚</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360" w:lineRule="atLeast"/>
              <w:jc w:val="left"/>
              <w:textAlignment w:val="center"/>
              <w:rPr>
                <w:rFonts w:ascii="宋体" w:eastAsia="宋体" w:hAnsi="宋体" w:cs="宋体"/>
                <w:kern w:val="0"/>
                <w:sz w:val="24"/>
                <w:szCs w:val="24"/>
              </w:rPr>
            </w:pPr>
            <w:r>
              <w:rPr>
                <w:rFonts w:ascii="仿宋_GB2312" w:eastAsia="仿宋_GB2312" w:hAnsi="宋体" w:cs="宋体" w:hint="eastAsia"/>
                <w:kern w:val="0"/>
                <w:sz w:val="24"/>
                <w:szCs w:val="24"/>
              </w:rPr>
              <w:t>《劳动法》第九十四条用人单位非法招用未满十六周岁的未成年人的，由劳动行政部门责令改正，处以罚款；情节严重的，由工商行政管理部门吊销营业执照； 《禁止使用童工规定》（国务院令第364号）第六条用人单位使用童工的，由劳动保障行政部门按照每使用一名童工每月处5000元罚款的标准给予处罚；在</w:t>
            </w:r>
            <w:r>
              <w:rPr>
                <w:rFonts w:ascii="仿宋_GB2312" w:eastAsia="仿宋_GB2312" w:hAnsi="宋体" w:cs="宋体" w:hint="eastAsia"/>
                <w:kern w:val="0"/>
                <w:sz w:val="24"/>
                <w:szCs w:val="24"/>
              </w:rPr>
              <w:lastRenderedPageBreak/>
              <w:t>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w:t>
            </w:r>
            <w:r>
              <w:rPr>
                <w:rFonts w:ascii="仿宋_GB2312" w:eastAsia="仿宋_GB2312" w:hAnsi="宋体" w:cs="宋体" w:hint="eastAsia"/>
                <w:kern w:val="0"/>
                <w:sz w:val="24"/>
                <w:szCs w:val="24"/>
              </w:rPr>
              <w:lastRenderedPageBreak/>
              <w:t>行政部门按照每使用一名童工每月</w:t>
            </w:r>
            <w:r>
              <w:rPr>
                <w:rFonts w:ascii="华文仿宋" w:eastAsia="华文仿宋" w:hAnsi="华文仿宋" w:cs="宋体" w:hint="eastAsia"/>
                <w:kern w:val="0"/>
                <w:sz w:val="24"/>
                <w:szCs w:val="24"/>
              </w:rPr>
              <w:t>处1万元罚款的标准处罚，并由工商行政管理部门吊销其营业执照或者由民政部门撤销民办非企业单位登记；用人单位是国家机关、事业单位的，由有关单位依法对直接负责的主管人员和其他直接责任人员给予降级</w:t>
            </w:r>
            <w:r>
              <w:rPr>
                <w:rFonts w:ascii="华文仿宋" w:eastAsia="华文仿宋" w:hAnsi="华文仿宋" w:cs="宋体" w:hint="eastAsia"/>
                <w:kern w:val="0"/>
                <w:sz w:val="24"/>
                <w:szCs w:val="24"/>
              </w:rPr>
              <w:lastRenderedPageBreak/>
              <w:t>或者撤职的行政处分或者纪律处分。</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劳动保障监察大队</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《劳动法》第九十四条、《禁止使用童工规定》（国务院令第364号）第六条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1.劳动保障监察投诉登记表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2.劳动保障监察立案审批表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3.劳动保障监察询问通知书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4.劳动保障监察调查（询问）笔录</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5.劳动保障监察案件</w:t>
            </w:r>
            <w:r>
              <w:rPr>
                <w:rFonts w:ascii="仿宋_GB2312" w:eastAsia="仿宋_GB2312" w:hAnsi="宋体" w:cs="宋体" w:hint="eastAsia"/>
                <w:kern w:val="0"/>
                <w:sz w:val="22"/>
              </w:rPr>
              <w:lastRenderedPageBreak/>
              <w:t>限期改正指令报批表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6.劳动保障监察限期改正指令书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7.劳动保障行政部门负责人对复杂、重大行政处罚（理）集体记录（劳动保障监察行政处罚（理）集体讨论记录）</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8.劳动保障监察案件行政处理（处罚）事先告知报批表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9.劳动保障监察行政</w:t>
            </w:r>
            <w:r>
              <w:rPr>
                <w:rFonts w:ascii="仿宋_GB2312" w:eastAsia="仿宋_GB2312" w:hAnsi="宋体" w:cs="宋体" w:hint="eastAsia"/>
                <w:kern w:val="0"/>
                <w:sz w:val="22"/>
              </w:rPr>
              <w:lastRenderedPageBreak/>
              <w:t>处罚（行政处理）事先告知书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10.劳动保障监察案件处理（处罚）决定报批表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11.劳动保障监察行政处理（处罚）决定书</w:t>
            </w:r>
            <w:r>
              <w:rPr>
                <w:rFonts w:ascii="仿宋_GB2312" w:eastAsia="仿宋_GB2312" w:hAnsi="宋体" w:cs="宋体" w:hint="eastAsia"/>
                <w:kern w:val="0"/>
                <w:sz w:val="24"/>
                <w:szCs w:val="24"/>
              </w:rPr>
              <w:t>(</w:t>
            </w:r>
            <w:r>
              <w:rPr>
                <w:rFonts w:ascii="仿宋_GB2312" w:eastAsia="仿宋_GB2312" w:hAnsi="宋体" w:cs="宋体" w:hint="eastAsia"/>
                <w:kern w:val="0"/>
                <w:sz w:val="22"/>
              </w:rPr>
              <w:t>送审稿</w:t>
            </w:r>
            <w:r>
              <w:rPr>
                <w:rFonts w:ascii="仿宋_GB2312" w:eastAsia="仿宋_GB2312" w:hAnsi="宋体" w:cs="宋体" w:hint="eastAsia"/>
                <w:kern w:val="0"/>
                <w:sz w:val="24"/>
                <w:szCs w:val="24"/>
              </w:rPr>
              <w:t>)</w:t>
            </w:r>
            <w:r>
              <w:rPr>
                <w:rFonts w:ascii="仿宋_GB2312" w:eastAsia="仿宋_GB2312" w:hAnsi="宋体" w:cs="宋体" w:hint="eastAsia"/>
                <w:kern w:val="0"/>
                <w:sz w:val="22"/>
              </w:rPr>
              <w:t>。</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1.执法主体是否合法，执法人员是否具备执法资格；</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2.主要事实是否清楚，证据是否确凿、充分；</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3.适用法律、法规、规章是否准确；执行裁量基准是否适当；</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4.程序是否合法，是否充分保障行政相对人权利。</w:t>
            </w:r>
          </w:p>
        </w:tc>
      </w:tr>
      <w:tr w:rsidR="00B21F2C">
        <w:trPr>
          <w:trHeight w:val="2266"/>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行政处罚类决定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对骗取社会保险待遇或者骗取社会保险基金支</w:t>
            </w:r>
            <w:r>
              <w:rPr>
                <w:rFonts w:ascii="仿宋_GB2312" w:eastAsia="仿宋_GB2312" w:hAnsi="宋体" w:cs="宋体" w:hint="eastAsia"/>
                <w:kern w:val="0"/>
                <w:sz w:val="22"/>
              </w:rPr>
              <w:lastRenderedPageBreak/>
              <w:t>出的处罚</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320" w:lineRule="atLeast"/>
              <w:jc w:val="left"/>
              <w:textAlignment w:val="center"/>
              <w:rPr>
                <w:rFonts w:ascii="宋体" w:eastAsia="宋体" w:hAnsi="宋体" w:cs="宋体"/>
                <w:kern w:val="0"/>
                <w:sz w:val="24"/>
                <w:szCs w:val="24"/>
              </w:rPr>
            </w:pPr>
            <w:r>
              <w:rPr>
                <w:rFonts w:ascii="华文仿宋" w:eastAsia="华文仿宋" w:hAnsi="华文仿宋" w:cs="宋体" w:hint="eastAsia"/>
                <w:kern w:val="0"/>
                <w:sz w:val="24"/>
                <w:szCs w:val="24"/>
              </w:rPr>
              <w:lastRenderedPageBreak/>
              <w:t>《社会保险法》第八十七条社会保险经办机构以及医疗机构、药品经营单位等社会保险服务机构以欺诈、伪造证明材料或者其他手段骗取社会保险基金支出的，由社会保险行</w:t>
            </w:r>
            <w:r>
              <w:rPr>
                <w:rFonts w:ascii="华文仿宋" w:eastAsia="华文仿宋" w:hAnsi="华文仿宋" w:cs="宋体" w:hint="eastAsia"/>
                <w:kern w:val="0"/>
                <w:sz w:val="24"/>
                <w:szCs w:val="24"/>
              </w:rPr>
              <w:lastRenderedPageBreak/>
              <w:t>政部门责令退回骗取的社会保险金，处骗取金额二倍以上五倍以下的罚款；八十八条以欺诈、伪造证明材料或者其他手段骗取社会保险待遇的，由社会保险行政部门责令退回骗取的社会保险金，处骗取金额二倍以上五倍以下的罚款；  《工伤保险条</w:t>
            </w:r>
            <w:r>
              <w:rPr>
                <w:rFonts w:ascii="华文仿宋" w:eastAsia="华文仿宋" w:hAnsi="华文仿宋" w:cs="宋体" w:hint="eastAsia"/>
                <w:kern w:val="0"/>
                <w:sz w:val="24"/>
                <w:szCs w:val="24"/>
              </w:rPr>
              <w:lastRenderedPageBreak/>
              <w:t>例》（国务院令第586号）第六十条用人单位、工伤职工或者其近亲属骗取工伤保险待遇，医疗机构、辅助器具配置机构骗取工伤保险基金支出的，由社会保险行政部门责令退还，处骗取金额2倍以上5倍以下的罚款；情节严重，构成犯罪的，依法追究刑</w:t>
            </w:r>
            <w:r>
              <w:rPr>
                <w:rFonts w:ascii="华文仿宋" w:eastAsia="华文仿宋" w:hAnsi="华文仿宋" w:cs="宋体" w:hint="eastAsia"/>
                <w:kern w:val="0"/>
                <w:sz w:val="24"/>
                <w:szCs w:val="24"/>
              </w:rPr>
              <w:lastRenderedPageBreak/>
              <w:t>事责任。</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劳动保障监察大队</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华文仿宋" w:eastAsia="华文仿宋" w:hAnsi="华文仿宋" w:cs="宋体" w:hint="eastAsia"/>
                <w:kern w:val="0"/>
                <w:sz w:val="24"/>
                <w:szCs w:val="24"/>
              </w:rPr>
              <w:t>《社会保险法》第八十七条、《工伤保险条例》（国务院令第586号）第六十条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1.劳动保障监察投诉登记表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2.劳动保障监察立案审批表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3.劳动保障监察询问通知书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4.劳动保障监察调查（询问）笔录</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5.劳动保障监察案件限期改正指令报批表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6.劳动保障监察限期改正指令书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7.劳动保障行政部门负责人对复杂、重大行政处罚（理）集体记录（劳动保障监察行政处罚（理）集体讨论记录）</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8.劳动保障监察案件行政处理（处罚）事先告知报批表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9.劳动保障监察行政处罚（行政处理）事先</w:t>
            </w:r>
            <w:r>
              <w:rPr>
                <w:rFonts w:ascii="仿宋_GB2312" w:eastAsia="仿宋_GB2312" w:hAnsi="宋体" w:cs="宋体" w:hint="eastAsia"/>
                <w:kern w:val="0"/>
                <w:sz w:val="22"/>
              </w:rPr>
              <w:lastRenderedPageBreak/>
              <w:t>告知书</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10.劳动保障监察案件处理（处罚）决定报批表</w:t>
            </w:r>
            <w:r>
              <w:rPr>
                <w:rFonts w:ascii="仿宋_GB2312" w:eastAsia="仿宋_GB2312" w:hAnsi="宋体" w:cs="宋体" w:hint="eastAsia"/>
                <w:kern w:val="0"/>
                <w:sz w:val="24"/>
                <w:szCs w:val="24"/>
              </w:rPr>
              <w:t>;</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11.劳动保障监察行政处理（处罚）决定书</w:t>
            </w:r>
            <w:r>
              <w:rPr>
                <w:rFonts w:ascii="仿宋_GB2312" w:eastAsia="仿宋_GB2312" w:hAnsi="宋体" w:cs="宋体" w:hint="eastAsia"/>
                <w:kern w:val="0"/>
                <w:sz w:val="24"/>
                <w:szCs w:val="24"/>
              </w:rPr>
              <w:t>(</w:t>
            </w:r>
            <w:r>
              <w:rPr>
                <w:rFonts w:ascii="仿宋_GB2312" w:eastAsia="仿宋_GB2312" w:hAnsi="宋体" w:cs="宋体" w:hint="eastAsia"/>
                <w:kern w:val="0"/>
                <w:sz w:val="22"/>
              </w:rPr>
              <w:t>送审稿</w:t>
            </w:r>
            <w:r>
              <w:rPr>
                <w:rFonts w:ascii="仿宋_GB2312" w:eastAsia="仿宋_GB2312" w:hAnsi="宋体" w:cs="宋体" w:hint="eastAsia"/>
                <w:kern w:val="0"/>
                <w:sz w:val="24"/>
                <w:szCs w:val="24"/>
              </w:rPr>
              <w:t>)</w:t>
            </w:r>
            <w:r>
              <w:rPr>
                <w:rFonts w:ascii="仿宋_GB2312" w:eastAsia="仿宋_GB2312" w:hAnsi="宋体" w:cs="宋体" w:hint="eastAsia"/>
                <w:kern w:val="0"/>
                <w:sz w:val="22"/>
              </w:rPr>
              <w:t>。</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1.执法主体是否合法，执法人员是否具备执法资格；</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2.主要事实是否清楚，证据是否确凿、充分；</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3.适用法律、法规、规章是否准确；执行裁量基准是否适当；</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4.程序是否合法，是否充分保障行政相对人权利。</w:t>
            </w:r>
          </w:p>
        </w:tc>
      </w:tr>
      <w:tr w:rsidR="00B21F2C">
        <w:trPr>
          <w:trHeight w:val="90"/>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lastRenderedPageBreak/>
              <w:t>行政强制类决定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2"/>
              </w:rPr>
              <w:t>社会保险费划拨决定</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2"/>
              </w:rPr>
              <w:t>《</w:t>
            </w:r>
            <w:r>
              <w:rPr>
                <w:rFonts w:ascii="华文仿宋" w:eastAsia="华文仿宋" w:hAnsi="华文仿宋" w:cs="宋体" w:hint="eastAsia"/>
                <w:kern w:val="0"/>
                <w:sz w:val="24"/>
                <w:szCs w:val="24"/>
              </w:rPr>
              <w:t>中华人民共和国社会保险法》第六十三条用人单位未按时足额缴纳社会保险费的，由社会保险费征收机构责令其限期缴纳或者补足。用人单位逾期仍未缴纳或者补足社会</w:t>
            </w:r>
            <w:r>
              <w:rPr>
                <w:rFonts w:ascii="华文仿宋" w:eastAsia="华文仿宋" w:hAnsi="华文仿宋" w:cs="宋体" w:hint="eastAsia"/>
                <w:kern w:val="0"/>
                <w:sz w:val="24"/>
                <w:szCs w:val="24"/>
              </w:rPr>
              <w:lastRenderedPageBreak/>
              <w:t>保险费的，社会保险费征收机构可以向银行和其他金融机构查询其存款账户；并可以申请县级以上有关行政部门作出划拨社会保险费的决定，书面通知其开户银行或者其他金融机构划拨社会保险费。用人单位未足额缴纳社会保险费且未提供担保的，</w:t>
            </w:r>
            <w:r>
              <w:rPr>
                <w:rFonts w:ascii="华文仿宋" w:eastAsia="华文仿宋" w:hAnsi="华文仿宋" w:cs="宋体" w:hint="eastAsia"/>
                <w:kern w:val="0"/>
                <w:sz w:val="24"/>
                <w:szCs w:val="24"/>
              </w:rPr>
              <w:lastRenderedPageBreak/>
              <w:t>社会保险费征收机构可以申请人民法院扣押、查封、拍卖其价值相当于应当缴纳社会保险费的财产，以拍卖所得抵缴社会保险费。</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社保中心</w:t>
            </w:r>
            <w:r>
              <w:rPr>
                <w:rFonts w:ascii="仿宋_GB2312" w:eastAsia="仿宋_GB2312" w:hAnsi="宋体" w:cs="宋体" w:hint="eastAsia"/>
                <w:kern w:val="0"/>
                <w:sz w:val="24"/>
                <w:szCs w:val="24"/>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2"/>
              </w:rPr>
              <w:t>《中华人民共和国社会保险法》第六十三条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w:t>
            </w:r>
            <w:r>
              <w:rPr>
                <w:rFonts w:ascii="宋体" w:eastAsia="宋体" w:hAnsi="宋体" w:cs="宋体"/>
                <w:kern w:val="0"/>
                <w:sz w:val="24"/>
                <w:szCs w:val="24"/>
              </w:rPr>
              <w:t> </w:t>
            </w:r>
            <w:r>
              <w:rPr>
                <w:rFonts w:ascii="仿宋_GB2312" w:eastAsia="仿宋_GB2312" w:hAnsi="宋体" w:cs="宋体" w:hint="eastAsia"/>
                <w:kern w:val="0"/>
                <w:sz w:val="22"/>
              </w:rPr>
              <w:t>用人单位欠缴社会保险费原始凭证；</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w:t>
            </w:r>
            <w:r>
              <w:rPr>
                <w:rFonts w:ascii="宋体" w:eastAsia="宋体" w:hAnsi="宋体" w:cs="宋体"/>
                <w:kern w:val="0"/>
                <w:sz w:val="24"/>
                <w:szCs w:val="24"/>
              </w:rPr>
              <w:t> </w:t>
            </w:r>
            <w:r>
              <w:rPr>
                <w:rFonts w:ascii="仿宋_GB2312" w:eastAsia="仿宋_GB2312" w:hAnsi="宋体" w:cs="宋体" w:hint="eastAsia"/>
                <w:kern w:val="0"/>
                <w:sz w:val="22"/>
              </w:rPr>
              <w:t>用人单位银行或其他金融机构存款账户查询证明；</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3.社会保险费催缴通知书或劳动保障监察决定书；</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4.社会保险费强制划拨审批表（行政执法审</w:t>
            </w:r>
            <w:r>
              <w:rPr>
                <w:rFonts w:ascii="仿宋_GB2312" w:eastAsia="仿宋_GB2312" w:hAnsi="宋体" w:cs="宋体" w:hint="eastAsia"/>
                <w:kern w:val="0"/>
                <w:sz w:val="22"/>
              </w:rPr>
              <w:lastRenderedPageBreak/>
              <w:t>批表）；</w:t>
            </w:r>
          </w:p>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2"/>
              </w:rPr>
              <w:t>5.社会保险费强制划拨决定书（送审稿）。</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1.执法主体是否合法；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2.执法人员是否具有执法资格；</w:t>
            </w:r>
            <w:r>
              <w:rPr>
                <w:rFonts w:ascii="仿宋_GB2312" w:eastAsia="仿宋_GB2312" w:hAnsi="宋体" w:cs="宋体" w:hint="eastAsia"/>
                <w:kern w:val="0"/>
                <w:sz w:val="24"/>
                <w:szCs w:val="24"/>
              </w:rPr>
              <w:t>                    </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3.执法程序是否合法；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4.《行政执法审批表》手续是否齐全；</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5.自由裁量权基准是否适当；</w:t>
            </w:r>
            <w:r>
              <w:rPr>
                <w:rFonts w:ascii="仿宋_GB2312" w:eastAsia="仿宋_GB2312" w:hAnsi="宋体" w:cs="宋体" w:hint="eastAsia"/>
                <w:kern w:val="0"/>
                <w:sz w:val="24"/>
                <w:szCs w:val="24"/>
              </w:rPr>
              <w:t>           </w:t>
            </w:r>
          </w:p>
          <w:p w:rsidR="00B21F2C" w:rsidRDefault="00ED3FF3">
            <w:pPr>
              <w:widowControl/>
              <w:wordWrap w:val="0"/>
              <w:spacing w:line="90" w:lineRule="atLeast"/>
              <w:jc w:val="left"/>
              <w:rPr>
                <w:rFonts w:ascii="宋体" w:eastAsia="宋体" w:hAnsi="宋体" w:cs="宋体"/>
                <w:kern w:val="0"/>
                <w:sz w:val="24"/>
                <w:szCs w:val="24"/>
              </w:rPr>
            </w:pPr>
            <w:r>
              <w:rPr>
                <w:rFonts w:ascii="仿宋_GB2312" w:eastAsia="仿宋_GB2312" w:hAnsi="宋体" w:cs="宋体" w:hint="eastAsia"/>
                <w:kern w:val="0"/>
                <w:sz w:val="22"/>
              </w:rPr>
              <w:t>6.执法决定是否合法；执法文书是否规范。</w:t>
            </w:r>
          </w:p>
        </w:tc>
      </w:tr>
      <w:tr w:rsidR="00B21F2C">
        <w:trPr>
          <w:trHeight w:val="5077"/>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lastRenderedPageBreak/>
              <w:t>行政检查类决定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社会保险基金监督检查</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《中华人民共和国社会保险法》第七十七条社会保险行政部门实施监督检查时，被检查的用人单位和个人应当如实提供与社会保险有关的资料，不得拒绝检查或者谎报、瞒报。第七十九条　社会保险行政部门对社会保险基金的收支、管理和投资运营情况进行监督检查，发现存在问</w:t>
            </w:r>
            <w:r>
              <w:rPr>
                <w:rFonts w:ascii="仿宋_GB2312" w:eastAsia="仿宋_GB2312" w:hAnsi="宋体" w:cs="宋体" w:hint="eastAsia"/>
                <w:kern w:val="0"/>
                <w:sz w:val="22"/>
              </w:rPr>
              <w:lastRenderedPageBreak/>
              <w:t>题的，应当提出整改建议，依法作出处理决定或者向有关行政部门提出处理建议。</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仿宋_GB2312" w:hAnsi="宋体" w:cs="宋体"/>
                <w:kern w:val="0"/>
                <w:sz w:val="24"/>
                <w:szCs w:val="24"/>
              </w:rPr>
            </w:pPr>
            <w:r>
              <w:rPr>
                <w:rFonts w:ascii="仿宋_GB2312" w:eastAsia="仿宋_GB2312" w:hAnsi="宋体" w:cs="宋体" w:hint="eastAsia"/>
                <w:kern w:val="0"/>
                <w:sz w:val="22"/>
              </w:rPr>
              <w:lastRenderedPageBreak/>
              <w:t>社保中心</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《中华人民共和国社会保险法》第七十七条、第七十九条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1.检查报告；</w:t>
            </w:r>
            <w:r>
              <w:rPr>
                <w:rFonts w:ascii="仿宋_GB2312" w:eastAsia="仿宋_GB2312" w:hAnsi="宋体" w:cs="宋体" w:hint="eastAsia"/>
                <w:kern w:val="0"/>
                <w:sz w:val="24"/>
                <w:szCs w:val="24"/>
              </w:rPr>
              <w:t>2.</w:t>
            </w:r>
            <w:r>
              <w:rPr>
                <w:rFonts w:ascii="仿宋_GB2312" w:eastAsia="仿宋_GB2312" w:hAnsi="宋体" w:cs="宋体" w:hint="eastAsia"/>
                <w:kern w:val="0"/>
                <w:sz w:val="22"/>
              </w:rPr>
              <w:t>相关证据资料；</w:t>
            </w:r>
            <w:r>
              <w:rPr>
                <w:rFonts w:ascii="仿宋_GB2312" w:eastAsia="仿宋_GB2312" w:hAnsi="宋体" w:cs="宋体" w:hint="eastAsia"/>
                <w:kern w:val="0"/>
                <w:sz w:val="24"/>
                <w:szCs w:val="24"/>
              </w:rPr>
              <w:t>3.</w:t>
            </w:r>
            <w:r>
              <w:rPr>
                <w:rFonts w:ascii="仿宋_GB2312" w:eastAsia="仿宋_GB2312" w:hAnsi="宋体" w:cs="宋体" w:hint="eastAsia"/>
                <w:kern w:val="0"/>
                <w:sz w:val="22"/>
              </w:rPr>
              <w:t>检查建议或检查决定书（送审稿）。</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1.执法主体是否合法；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2.执法人员是否具有执法资格；</w:t>
            </w:r>
            <w:r>
              <w:rPr>
                <w:rFonts w:ascii="仿宋_GB2312" w:eastAsia="仿宋_GB2312" w:hAnsi="宋体" w:cs="宋体" w:hint="eastAsia"/>
                <w:kern w:val="0"/>
                <w:sz w:val="24"/>
                <w:szCs w:val="24"/>
              </w:rPr>
              <w:t>                    </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3.执法程序是否合法；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4.《行政执法审批表》手续是否齐全；</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5.自由裁量权基准是否适当；</w:t>
            </w:r>
            <w:r>
              <w:rPr>
                <w:rFonts w:ascii="仿宋_GB2312" w:eastAsia="仿宋_GB2312" w:hAnsi="宋体" w:cs="宋体" w:hint="eastAsia"/>
                <w:kern w:val="0"/>
                <w:sz w:val="24"/>
                <w:szCs w:val="24"/>
              </w:rPr>
              <w:t>           </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6.执法决定是否合法；执法文书是否规范。</w:t>
            </w:r>
          </w:p>
        </w:tc>
      </w:tr>
      <w:tr w:rsidR="00B21F2C">
        <w:trPr>
          <w:trHeight w:val="6730"/>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lastRenderedPageBreak/>
              <w:t>行政检查类决定</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社会保险稽核</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《中华人民共和国社会保险法》第七十七条；《社会保险稽核办法》（劳动和社会保障部第</w:t>
            </w:r>
            <w:r>
              <w:rPr>
                <w:rFonts w:ascii="仿宋_GB2312" w:eastAsia="仿宋_GB2312" w:hAnsi="宋体" w:cs="宋体" w:hint="eastAsia"/>
                <w:kern w:val="0"/>
                <w:sz w:val="24"/>
                <w:szCs w:val="24"/>
              </w:rPr>
              <w:t>16</w:t>
            </w:r>
            <w:r>
              <w:rPr>
                <w:rFonts w:ascii="仿宋_GB2312" w:eastAsia="仿宋_GB2312" w:hAnsi="宋体" w:cs="宋体" w:hint="eastAsia"/>
                <w:kern w:val="0"/>
                <w:sz w:val="22"/>
              </w:rPr>
              <w:t>号令）</w:t>
            </w:r>
            <w:r>
              <w:rPr>
                <w:rFonts w:ascii="宋体" w:eastAsia="宋体" w:hAnsi="宋体" w:cs="宋体"/>
                <w:kern w:val="0"/>
                <w:sz w:val="22"/>
              </w:rPr>
              <w:t> </w:t>
            </w:r>
            <w:r>
              <w:rPr>
                <w:rFonts w:ascii="仿宋_GB2312" w:eastAsia="仿宋_GB2312" w:hAnsi="宋体" w:cs="宋体" w:hint="eastAsia"/>
                <w:kern w:val="0"/>
                <w:sz w:val="22"/>
              </w:rPr>
              <w:t>第三条　县级以上社会保险经办机构负责社会保险稽核工作。县级以上社会保险经办机构的稽核部门具体承办社会保险稽核工作。</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仿宋_GB2312" w:hAnsi="宋体" w:cs="宋体"/>
                <w:kern w:val="0"/>
                <w:sz w:val="24"/>
                <w:szCs w:val="24"/>
              </w:rPr>
            </w:pPr>
            <w:r>
              <w:rPr>
                <w:rFonts w:ascii="仿宋_GB2312" w:eastAsia="仿宋_GB2312" w:hAnsi="宋体" w:cs="宋体" w:hint="eastAsia"/>
                <w:kern w:val="0"/>
                <w:sz w:val="22"/>
              </w:rPr>
              <w:t>社保中心</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《中华人民共和国社会保险法》第七十七条、《社会保险稽核办法》（劳动和社会保障部第</w:t>
            </w:r>
            <w:r>
              <w:rPr>
                <w:rFonts w:ascii="仿宋_GB2312" w:eastAsia="仿宋_GB2312" w:hAnsi="宋体" w:cs="宋体" w:hint="eastAsia"/>
                <w:kern w:val="0"/>
                <w:sz w:val="24"/>
                <w:szCs w:val="24"/>
              </w:rPr>
              <w:t>16</w:t>
            </w:r>
            <w:r>
              <w:rPr>
                <w:rFonts w:ascii="仿宋_GB2312" w:eastAsia="仿宋_GB2312" w:hAnsi="宋体" w:cs="宋体" w:hint="eastAsia"/>
                <w:kern w:val="0"/>
                <w:sz w:val="22"/>
              </w:rPr>
              <w:t>号令）</w:t>
            </w:r>
            <w:r>
              <w:rPr>
                <w:rFonts w:ascii="宋体" w:eastAsia="宋体" w:hAnsi="宋体" w:cs="宋体"/>
                <w:kern w:val="0"/>
                <w:sz w:val="22"/>
              </w:rPr>
              <w:t> </w:t>
            </w:r>
            <w:r>
              <w:rPr>
                <w:rFonts w:ascii="仿宋_GB2312" w:eastAsia="仿宋_GB2312" w:hAnsi="宋体" w:cs="宋体" w:hint="eastAsia"/>
                <w:kern w:val="0"/>
                <w:sz w:val="22"/>
              </w:rPr>
              <w:t>第三条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1.稽核报告；</w:t>
            </w:r>
            <w:r>
              <w:rPr>
                <w:rFonts w:ascii="仿宋_GB2312" w:eastAsia="仿宋_GB2312" w:hAnsi="宋体" w:cs="宋体" w:hint="eastAsia"/>
                <w:kern w:val="0"/>
                <w:sz w:val="24"/>
                <w:szCs w:val="24"/>
              </w:rPr>
              <w:t>2.</w:t>
            </w:r>
            <w:r>
              <w:rPr>
                <w:rFonts w:ascii="仿宋_GB2312" w:eastAsia="仿宋_GB2312" w:hAnsi="宋体" w:cs="宋体" w:hint="eastAsia"/>
                <w:kern w:val="0"/>
                <w:sz w:val="22"/>
              </w:rPr>
              <w:t>相关证据资料；</w:t>
            </w:r>
            <w:r>
              <w:rPr>
                <w:rFonts w:ascii="仿宋_GB2312" w:eastAsia="仿宋_GB2312" w:hAnsi="宋体" w:cs="宋体" w:hint="eastAsia"/>
                <w:kern w:val="0"/>
                <w:sz w:val="24"/>
                <w:szCs w:val="24"/>
              </w:rPr>
              <w:t>3.</w:t>
            </w:r>
            <w:r>
              <w:rPr>
                <w:rFonts w:ascii="仿宋_GB2312" w:eastAsia="仿宋_GB2312" w:hAnsi="宋体" w:cs="宋体" w:hint="eastAsia"/>
                <w:kern w:val="0"/>
                <w:sz w:val="22"/>
              </w:rPr>
              <w:t>稽核意见或稽核决定书（送审稿）</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1.执法主体是否合法；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2.执法人员是否具有执法资格；</w:t>
            </w:r>
            <w:r>
              <w:rPr>
                <w:rFonts w:ascii="仿宋_GB2312" w:eastAsia="仿宋_GB2312" w:hAnsi="宋体" w:cs="宋体" w:hint="eastAsia"/>
                <w:kern w:val="0"/>
                <w:sz w:val="24"/>
                <w:szCs w:val="24"/>
              </w:rPr>
              <w:t>                    </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3.执法程序是否合法；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4.执法手续是否齐全；</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5.自由裁量权基准是否适当；</w:t>
            </w:r>
            <w:r>
              <w:rPr>
                <w:rFonts w:ascii="仿宋_GB2312" w:eastAsia="仿宋_GB2312" w:hAnsi="宋体" w:cs="宋体" w:hint="eastAsia"/>
                <w:kern w:val="0"/>
                <w:sz w:val="24"/>
                <w:szCs w:val="24"/>
              </w:rPr>
              <w:t>           </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6.执法决定是否合法；执法文书是否规范。</w:t>
            </w:r>
          </w:p>
        </w:tc>
      </w:tr>
      <w:tr w:rsidR="00B21F2C">
        <w:trPr>
          <w:trHeight w:val="1823"/>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lastRenderedPageBreak/>
              <w:t>行政确认决定类</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企业职工因工死亡的工伤认定</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《工伤保险条例》</w:t>
            </w:r>
            <w:r>
              <w:rPr>
                <w:rFonts w:ascii="仿宋_GB2312" w:eastAsia="仿宋_GB2312" w:hAnsi="宋体" w:cs="宋体" w:hint="eastAsia"/>
                <w:kern w:val="0"/>
                <w:sz w:val="24"/>
                <w:szCs w:val="24"/>
              </w:rPr>
              <w:t>(</w:t>
            </w:r>
            <w:r>
              <w:rPr>
                <w:rFonts w:ascii="仿宋_GB2312" w:eastAsia="仿宋_GB2312" w:hAnsi="宋体" w:cs="宋体" w:hint="eastAsia"/>
                <w:kern w:val="0"/>
                <w:sz w:val="22"/>
              </w:rPr>
              <w:t>国务院令第</w:t>
            </w:r>
            <w:r>
              <w:rPr>
                <w:rFonts w:ascii="仿宋_GB2312" w:eastAsia="仿宋_GB2312" w:hAnsi="宋体" w:cs="宋体" w:hint="eastAsia"/>
                <w:kern w:val="0"/>
                <w:sz w:val="24"/>
                <w:szCs w:val="24"/>
              </w:rPr>
              <w:t>375</w:t>
            </w:r>
            <w:r>
              <w:rPr>
                <w:rFonts w:ascii="仿宋_GB2312" w:eastAsia="仿宋_GB2312" w:hAnsi="宋体" w:cs="宋体" w:hint="eastAsia"/>
                <w:kern w:val="0"/>
                <w:sz w:val="22"/>
              </w:rPr>
              <w:t>号</w:t>
            </w:r>
            <w:r>
              <w:rPr>
                <w:rFonts w:ascii="仿宋_GB2312" w:eastAsia="仿宋_GB2312" w:hAnsi="宋体" w:cs="宋体" w:hint="eastAsia"/>
                <w:kern w:val="0"/>
                <w:sz w:val="24"/>
                <w:szCs w:val="24"/>
              </w:rPr>
              <w:t>)</w:t>
            </w:r>
            <w:r>
              <w:rPr>
                <w:rFonts w:ascii="仿宋_GB2312" w:eastAsia="仿宋_GB2312" w:hAnsi="宋体" w:cs="宋体" w:hint="eastAsia"/>
                <w:kern w:val="0"/>
                <w:sz w:val="22"/>
              </w:rPr>
              <w:t>第十七条职工发生事故伤害或按照职业病防治法规定被诊断鉴定为职业病，所在单位应自伤害发生之日</w:t>
            </w:r>
            <w:r>
              <w:rPr>
                <w:rFonts w:ascii="仿宋_GB2312" w:eastAsia="仿宋_GB2312" w:hAnsi="宋体" w:cs="宋体" w:hint="eastAsia"/>
                <w:kern w:val="0"/>
                <w:sz w:val="24"/>
                <w:szCs w:val="24"/>
              </w:rPr>
              <w:t>30</w:t>
            </w:r>
            <w:r>
              <w:rPr>
                <w:rFonts w:ascii="仿宋_GB2312" w:eastAsia="仿宋_GB2312" w:hAnsi="宋体" w:cs="宋体" w:hint="eastAsia"/>
                <w:kern w:val="0"/>
                <w:sz w:val="22"/>
              </w:rPr>
              <w:t>内向社会保险行政部门提出工伤认定申请；《湖南省实施</w:t>
            </w:r>
            <w:r>
              <w:rPr>
                <w:rFonts w:ascii="仿宋_GB2312" w:eastAsia="仿宋_GB2312" w:hAnsi="宋体" w:cs="宋体" w:hint="eastAsia"/>
                <w:kern w:val="0"/>
                <w:sz w:val="24"/>
                <w:szCs w:val="24"/>
              </w:rPr>
              <w:t>&lt;</w:t>
            </w:r>
            <w:r>
              <w:rPr>
                <w:rFonts w:ascii="仿宋_GB2312" w:eastAsia="仿宋_GB2312" w:hAnsi="宋体" w:cs="宋体" w:hint="eastAsia"/>
                <w:kern w:val="0"/>
                <w:sz w:val="22"/>
              </w:rPr>
              <w:t>工伤保险条例</w:t>
            </w:r>
            <w:r>
              <w:rPr>
                <w:rFonts w:ascii="仿宋_GB2312" w:eastAsia="仿宋_GB2312" w:hAnsi="宋体" w:cs="宋体" w:hint="eastAsia"/>
                <w:kern w:val="0"/>
                <w:sz w:val="24"/>
                <w:szCs w:val="24"/>
              </w:rPr>
              <w:t>&gt;</w:t>
            </w:r>
            <w:r>
              <w:rPr>
                <w:rFonts w:ascii="仿宋_GB2312" w:eastAsia="仿宋_GB2312" w:hAnsi="宋体" w:cs="宋体" w:hint="eastAsia"/>
                <w:kern w:val="0"/>
                <w:sz w:val="22"/>
              </w:rPr>
              <w:t>办法》（省政府令</w:t>
            </w:r>
            <w:r>
              <w:rPr>
                <w:rFonts w:ascii="仿宋_GB2312" w:eastAsia="仿宋_GB2312" w:hAnsi="宋体" w:cs="宋体" w:hint="eastAsia"/>
                <w:kern w:val="0"/>
                <w:sz w:val="24"/>
                <w:szCs w:val="24"/>
              </w:rPr>
              <w:t>267</w:t>
            </w:r>
            <w:r>
              <w:rPr>
                <w:rFonts w:ascii="仿宋_GB2312" w:eastAsia="仿宋_GB2312" w:hAnsi="宋体" w:cs="宋体" w:hint="eastAsia"/>
                <w:kern w:val="0"/>
                <w:sz w:val="22"/>
              </w:rPr>
              <w:t>号）第十三条用人单位、工伤职工或近亲</w:t>
            </w:r>
            <w:r>
              <w:rPr>
                <w:rFonts w:ascii="仿宋_GB2312" w:eastAsia="仿宋_GB2312" w:hAnsi="宋体" w:cs="宋体" w:hint="eastAsia"/>
                <w:kern w:val="0"/>
                <w:sz w:val="22"/>
              </w:rPr>
              <w:lastRenderedPageBreak/>
              <w:t>属、工会组织申请工伤认定的，应在《条例》第十七条规定期限内向社会保险行政部门提出。</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工伤保险科</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《工伤保险条例》</w:t>
            </w:r>
            <w:r>
              <w:rPr>
                <w:rFonts w:ascii="仿宋_GB2312" w:eastAsia="仿宋_GB2312" w:hAnsi="宋体" w:cs="宋体" w:hint="eastAsia"/>
                <w:kern w:val="0"/>
                <w:sz w:val="24"/>
                <w:szCs w:val="24"/>
              </w:rPr>
              <w:t>(</w:t>
            </w:r>
            <w:r>
              <w:rPr>
                <w:rFonts w:ascii="仿宋_GB2312" w:eastAsia="仿宋_GB2312" w:hAnsi="宋体" w:cs="宋体" w:hint="eastAsia"/>
                <w:kern w:val="0"/>
                <w:sz w:val="22"/>
              </w:rPr>
              <w:t>国务院令第</w:t>
            </w:r>
            <w:r>
              <w:rPr>
                <w:rFonts w:ascii="仿宋_GB2312" w:eastAsia="仿宋_GB2312" w:hAnsi="宋体" w:cs="宋体" w:hint="eastAsia"/>
                <w:kern w:val="0"/>
                <w:sz w:val="24"/>
                <w:szCs w:val="24"/>
              </w:rPr>
              <w:t>375</w:t>
            </w:r>
            <w:r>
              <w:rPr>
                <w:rFonts w:ascii="仿宋_GB2312" w:eastAsia="仿宋_GB2312" w:hAnsi="宋体" w:cs="宋体" w:hint="eastAsia"/>
                <w:kern w:val="0"/>
                <w:sz w:val="22"/>
              </w:rPr>
              <w:t>号</w:t>
            </w:r>
            <w:r>
              <w:rPr>
                <w:rFonts w:ascii="仿宋_GB2312" w:eastAsia="仿宋_GB2312" w:hAnsi="宋体" w:cs="宋体" w:hint="eastAsia"/>
                <w:kern w:val="0"/>
                <w:sz w:val="24"/>
                <w:szCs w:val="24"/>
              </w:rPr>
              <w:t>)</w:t>
            </w:r>
            <w:r>
              <w:rPr>
                <w:rFonts w:ascii="仿宋_GB2312" w:eastAsia="仿宋_GB2312" w:hAnsi="宋体" w:cs="宋体" w:hint="eastAsia"/>
                <w:kern w:val="0"/>
                <w:sz w:val="22"/>
              </w:rPr>
              <w:t>第十七条、《湖南省实施</w:t>
            </w:r>
            <w:r>
              <w:rPr>
                <w:rFonts w:ascii="仿宋_GB2312" w:eastAsia="仿宋_GB2312" w:hAnsi="宋体" w:cs="宋体" w:hint="eastAsia"/>
                <w:kern w:val="0"/>
                <w:sz w:val="24"/>
                <w:szCs w:val="24"/>
              </w:rPr>
              <w:t>&lt;</w:t>
            </w:r>
            <w:r>
              <w:rPr>
                <w:rFonts w:ascii="仿宋_GB2312" w:eastAsia="仿宋_GB2312" w:hAnsi="宋体" w:cs="宋体" w:hint="eastAsia"/>
                <w:kern w:val="0"/>
                <w:sz w:val="22"/>
              </w:rPr>
              <w:t>工伤保险条例</w:t>
            </w:r>
            <w:r>
              <w:rPr>
                <w:rFonts w:ascii="仿宋_GB2312" w:eastAsia="仿宋_GB2312" w:hAnsi="宋体" w:cs="宋体" w:hint="eastAsia"/>
                <w:kern w:val="0"/>
                <w:sz w:val="24"/>
                <w:szCs w:val="24"/>
              </w:rPr>
              <w:t>&gt;</w:t>
            </w:r>
            <w:r>
              <w:rPr>
                <w:rFonts w:ascii="仿宋_GB2312" w:eastAsia="仿宋_GB2312" w:hAnsi="宋体" w:cs="宋体" w:hint="eastAsia"/>
                <w:kern w:val="0"/>
                <w:sz w:val="22"/>
              </w:rPr>
              <w:t>办法》（省政府令</w:t>
            </w:r>
            <w:r>
              <w:rPr>
                <w:rFonts w:ascii="仿宋_GB2312" w:eastAsia="仿宋_GB2312" w:hAnsi="宋体" w:cs="宋体" w:hint="eastAsia"/>
                <w:kern w:val="0"/>
                <w:sz w:val="24"/>
                <w:szCs w:val="24"/>
              </w:rPr>
              <w:t>267</w:t>
            </w:r>
            <w:r>
              <w:rPr>
                <w:rFonts w:ascii="仿宋_GB2312" w:eastAsia="仿宋_GB2312" w:hAnsi="宋体" w:cs="宋体" w:hint="eastAsia"/>
                <w:kern w:val="0"/>
                <w:sz w:val="22"/>
              </w:rPr>
              <w:t>号）第十三条</w:t>
            </w:r>
          </w:p>
        </w:tc>
        <w:tc>
          <w:tcPr>
            <w:tcW w:w="3462"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w:t>
            </w:r>
            <w:r>
              <w:rPr>
                <w:rFonts w:ascii="宋体" w:eastAsia="宋体" w:hAnsi="宋体" w:cs="宋体"/>
                <w:kern w:val="0"/>
                <w:sz w:val="24"/>
                <w:szCs w:val="24"/>
              </w:rPr>
              <w:t> </w:t>
            </w:r>
            <w:r>
              <w:rPr>
                <w:rFonts w:ascii="仿宋_GB2312" w:eastAsia="仿宋_GB2312" w:hAnsi="宋体" w:cs="宋体" w:hint="eastAsia"/>
                <w:kern w:val="0"/>
                <w:sz w:val="22"/>
              </w:rPr>
              <w:t>工伤（亡）认定申请表；</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w:t>
            </w:r>
            <w:r>
              <w:rPr>
                <w:rFonts w:ascii="宋体" w:eastAsia="宋体" w:hAnsi="宋体" w:cs="宋体"/>
                <w:kern w:val="0"/>
                <w:sz w:val="24"/>
                <w:szCs w:val="24"/>
              </w:rPr>
              <w:t> </w:t>
            </w:r>
            <w:r>
              <w:rPr>
                <w:rFonts w:ascii="仿宋_GB2312" w:eastAsia="仿宋_GB2312" w:hAnsi="宋体" w:cs="宋体" w:hint="eastAsia"/>
                <w:kern w:val="0"/>
                <w:sz w:val="22"/>
              </w:rPr>
              <w:t>工亡调查报告；</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w:t>
            </w:r>
            <w:r>
              <w:rPr>
                <w:rFonts w:ascii="宋体" w:eastAsia="宋体" w:hAnsi="宋体" w:cs="宋体"/>
                <w:kern w:val="0"/>
                <w:sz w:val="24"/>
                <w:szCs w:val="24"/>
              </w:rPr>
              <w:t> </w:t>
            </w:r>
            <w:r>
              <w:rPr>
                <w:rFonts w:ascii="仿宋_GB2312" w:eastAsia="仿宋_GB2312" w:hAnsi="宋体" w:cs="宋体" w:hint="eastAsia"/>
                <w:kern w:val="0"/>
                <w:sz w:val="22"/>
              </w:rPr>
              <w:t>劳动合同书或劳动关系确认仲裁裁决书；</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w:t>
            </w:r>
            <w:r>
              <w:rPr>
                <w:rFonts w:ascii="宋体" w:eastAsia="宋体" w:hAnsi="宋体" w:cs="宋体"/>
                <w:kern w:val="0"/>
                <w:sz w:val="24"/>
                <w:szCs w:val="24"/>
              </w:rPr>
              <w:t> </w:t>
            </w:r>
            <w:r>
              <w:rPr>
                <w:rFonts w:ascii="仿宋_GB2312" w:eastAsia="仿宋_GB2312" w:hAnsi="宋体" w:cs="宋体" w:hint="eastAsia"/>
                <w:kern w:val="0"/>
                <w:sz w:val="22"/>
              </w:rPr>
              <w:t>相关证据资料；</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w:t>
            </w:r>
            <w:r>
              <w:rPr>
                <w:rFonts w:ascii="宋体" w:eastAsia="宋体" w:hAnsi="宋体" w:cs="宋体"/>
                <w:kern w:val="0"/>
                <w:sz w:val="24"/>
                <w:szCs w:val="24"/>
              </w:rPr>
              <w:t> </w:t>
            </w:r>
            <w:r>
              <w:rPr>
                <w:rFonts w:ascii="仿宋_GB2312" w:eastAsia="仿宋_GB2312" w:hAnsi="宋体" w:cs="宋体" w:hint="eastAsia"/>
                <w:kern w:val="0"/>
                <w:sz w:val="22"/>
              </w:rPr>
              <w:t>工伤（亡）认定决定书（送审稿）</w:t>
            </w:r>
          </w:p>
        </w:tc>
        <w:tc>
          <w:tcPr>
            <w:tcW w:w="3196" w:type="dxa"/>
            <w:tcBorders>
              <w:top w:val="nil"/>
              <w:left w:val="nil"/>
              <w:bottom w:val="single" w:sz="8" w:space="0" w:color="auto"/>
              <w:right w:val="single" w:sz="8" w:space="0" w:color="auto"/>
            </w:tcBorders>
            <w:tcMar>
              <w:top w:w="0" w:type="dxa"/>
              <w:left w:w="108" w:type="dxa"/>
              <w:bottom w:w="0" w:type="dxa"/>
              <w:right w:w="108" w:type="dxa"/>
            </w:tcMar>
            <w:vAlign w:val="center"/>
          </w:tcPr>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1.</w:t>
            </w:r>
            <w:r>
              <w:rPr>
                <w:rFonts w:ascii="宋体" w:eastAsia="宋体" w:hAnsi="宋体" w:cs="宋体"/>
                <w:kern w:val="0"/>
                <w:sz w:val="24"/>
                <w:szCs w:val="24"/>
              </w:rPr>
              <w:t> </w:t>
            </w:r>
            <w:r>
              <w:rPr>
                <w:rFonts w:ascii="仿宋_GB2312" w:eastAsia="仿宋_GB2312" w:hAnsi="宋体" w:cs="宋体" w:hint="eastAsia"/>
                <w:kern w:val="0"/>
                <w:sz w:val="22"/>
              </w:rPr>
              <w:t>认定程序是否合法；</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2.</w:t>
            </w:r>
            <w:r>
              <w:rPr>
                <w:rFonts w:ascii="宋体" w:eastAsia="宋体" w:hAnsi="宋体" w:cs="宋体"/>
                <w:kern w:val="0"/>
                <w:sz w:val="24"/>
                <w:szCs w:val="24"/>
              </w:rPr>
              <w:t> </w:t>
            </w:r>
            <w:r>
              <w:rPr>
                <w:rFonts w:ascii="仿宋_GB2312" w:eastAsia="仿宋_GB2312" w:hAnsi="宋体" w:cs="宋体" w:hint="eastAsia"/>
                <w:kern w:val="0"/>
                <w:sz w:val="22"/>
              </w:rPr>
              <w:t>认定的依据是否充分；</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3.</w:t>
            </w:r>
            <w:r>
              <w:rPr>
                <w:rFonts w:ascii="宋体" w:eastAsia="宋体" w:hAnsi="宋体" w:cs="宋体"/>
                <w:kern w:val="0"/>
                <w:sz w:val="24"/>
                <w:szCs w:val="24"/>
              </w:rPr>
              <w:t> </w:t>
            </w:r>
            <w:r>
              <w:rPr>
                <w:rFonts w:ascii="仿宋_GB2312" w:eastAsia="仿宋_GB2312" w:hAnsi="宋体" w:cs="宋体" w:hint="eastAsia"/>
                <w:kern w:val="0"/>
                <w:sz w:val="22"/>
              </w:rPr>
              <w:t>调查证据是否齐全；</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4.</w:t>
            </w:r>
            <w:r>
              <w:rPr>
                <w:rFonts w:ascii="宋体" w:eastAsia="宋体" w:hAnsi="宋体" w:cs="宋体"/>
                <w:kern w:val="0"/>
                <w:sz w:val="24"/>
                <w:szCs w:val="24"/>
              </w:rPr>
              <w:t> </w:t>
            </w:r>
            <w:r>
              <w:rPr>
                <w:rFonts w:ascii="仿宋_GB2312" w:eastAsia="仿宋_GB2312" w:hAnsi="宋体" w:cs="宋体" w:hint="eastAsia"/>
                <w:kern w:val="0"/>
                <w:sz w:val="22"/>
              </w:rPr>
              <w:t>自由裁量权基准是否适当；</w:t>
            </w:r>
          </w:p>
          <w:p w:rsidR="00B21F2C" w:rsidRDefault="00ED3FF3">
            <w:pPr>
              <w:widowControl/>
              <w:wordWrap w:val="0"/>
              <w:spacing w:line="600" w:lineRule="atLeast"/>
              <w:jc w:val="left"/>
              <w:rPr>
                <w:rFonts w:ascii="宋体" w:eastAsia="宋体" w:hAnsi="宋体" w:cs="宋体"/>
                <w:kern w:val="0"/>
                <w:sz w:val="24"/>
                <w:szCs w:val="24"/>
              </w:rPr>
            </w:pPr>
            <w:r>
              <w:rPr>
                <w:rFonts w:ascii="仿宋_GB2312" w:eastAsia="仿宋_GB2312" w:hAnsi="宋体" w:cs="宋体" w:hint="eastAsia"/>
                <w:kern w:val="0"/>
                <w:sz w:val="22"/>
              </w:rPr>
              <w:t>5.</w:t>
            </w:r>
            <w:r>
              <w:rPr>
                <w:rFonts w:ascii="宋体" w:eastAsia="宋体" w:hAnsi="宋体" w:cs="宋体"/>
                <w:kern w:val="0"/>
                <w:sz w:val="24"/>
                <w:szCs w:val="24"/>
              </w:rPr>
              <w:t> </w:t>
            </w:r>
            <w:r>
              <w:rPr>
                <w:rFonts w:ascii="仿宋_GB2312" w:eastAsia="仿宋_GB2312" w:hAnsi="宋体" w:cs="宋体" w:hint="eastAsia"/>
                <w:kern w:val="0"/>
                <w:sz w:val="22"/>
              </w:rPr>
              <w:t>认定决定是否合法；认定文书是否规范。</w:t>
            </w:r>
          </w:p>
        </w:tc>
      </w:tr>
    </w:tbl>
    <w:p w:rsidR="00B21F2C" w:rsidRDefault="00ED3FF3">
      <w:pPr>
        <w:widowControl/>
        <w:shd w:val="clear" w:color="auto" w:fill="FFFFFF"/>
        <w:spacing w:line="580" w:lineRule="atLeast"/>
        <w:jc w:val="center"/>
        <w:rPr>
          <w:rFonts w:ascii="宋体" w:eastAsia="宋体" w:hAnsi="宋体" w:cs="宋体"/>
          <w:color w:val="000000"/>
          <w:kern w:val="0"/>
          <w:sz w:val="24"/>
          <w:szCs w:val="24"/>
        </w:rPr>
      </w:pPr>
      <w:r>
        <w:rPr>
          <w:rFonts w:ascii="宋体" w:eastAsia="宋体" w:hAnsi="宋体" w:cs="宋体"/>
          <w:color w:val="000000"/>
          <w:kern w:val="0"/>
          <w:sz w:val="44"/>
          <w:szCs w:val="44"/>
        </w:rPr>
        <w:lastRenderedPageBreak/>
        <w:t> </w:t>
      </w:r>
    </w:p>
    <w:p w:rsidR="00B21F2C" w:rsidRDefault="00ED3FF3">
      <w:pPr>
        <w:widowControl/>
        <w:shd w:val="clear" w:color="auto" w:fill="FFFFFF"/>
        <w:spacing w:line="600" w:lineRule="atLeast"/>
        <w:jc w:val="left"/>
        <w:rPr>
          <w:rFonts w:ascii="Arial" w:eastAsia="宋体" w:hAnsi="Arial" w:cs="Arial"/>
          <w:color w:val="000000"/>
          <w:kern w:val="0"/>
          <w:sz w:val="24"/>
          <w:szCs w:val="24"/>
        </w:rPr>
      </w:pPr>
      <w:r>
        <w:rPr>
          <w:rFonts w:ascii="宋体" w:eastAsia="宋体" w:hAnsi="宋体" w:cs="宋体" w:hint="eastAsia"/>
          <w:color w:val="000000"/>
          <w:kern w:val="0"/>
          <w:sz w:val="24"/>
          <w:szCs w:val="24"/>
        </w:rPr>
        <w:t> </w:t>
      </w:r>
    </w:p>
    <w:p w:rsidR="00B21F2C" w:rsidRDefault="00B21F2C"/>
    <w:sectPr w:rsidR="00B21F2C" w:rsidSect="0095783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1D" w:rsidRDefault="000C621D" w:rsidP="0095783F">
      <w:r>
        <w:separator/>
      </w:r>
    </w:p>
  </w:endnote>
  <w:endnote w:type="continuationSeparator" w:id="0">
    <w:p w:rsidR="000C621D" w:rsidRDefault="000C621D" w:rsidP="0095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1D" w:rsidRDefault="000C621D" w:rsidP="0095783F">
      <w:r>
        <w:separator/>
      </w:r>
    </w:p>
  </w:footnote>
  <w:footnote w:type="continuationSeparator" w:id="0">
    <w:p w:rsidR="000C621D" w:rsidRDefault="000C621D" w:rsidP="0095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0F2"/>
    <w:rsid w:val="000C621D"/>
    <w:rsid w:val="007470F2"/>
    <w:rsid w:val="0095783F"/>
    <w:rsid w:val="00B21F2C"/>
    <w:rsid w:val="00B54712"/>
    <w:rsid w:val="00DA6301"/>
    <w:rsid w:val="00ED3FF3"/>
    <w:rsid w:val="00EF12ED"/>
    <w:rsid w:val="00F30287"/>
    <w:rsid w:val="5651699E"/>
    <w:rsid w:val="6D8D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0439"/>
  <w15:docId w15:val="{D0547E39-698E-4A10-860C-F9C5664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578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5783F"/>
    <w:rPr>
      <w:kern w:val="2"/>
      <w:sz w:val="18"/>
      <w:szCs w:val="18"/>
    </w:rPr>
  </w:style>
  <w:style w:type="paragraph" w:styleId="a6">
    <w:name w:val="footer"/>
    <w:basedOn w:val="a"/>
    <w:link w:val="a7"/>
    <w:uiPriority w:val="99"/>
    <w:unhideWhenUsed/>
    <w:rsid w:val="0095783F"/>
    <w:pPr>
      <w:tabs>
        <w:tab w:val="center" w:pos="4153"/>
        <w:tab w:val="right" w:pos="8306"/>
      </w:tabs>
      <w:snapToGrid w:val="0"/>
      <w:jc w:val="left"/>
    </w:pPr>
    <w:rPr>
      <w:sz w:val="18"/>
      <w:szCs w:val="18"/>
    </w:rPr>
  </w:style>
  <w:style w:type="character" w:customStyle="1" w:styleId="a7">
    <w:name w:val="页脚 字符"/>
    <w:basedOn w:val="a0"/>
    <w:link w:val="a6"/>
    <w:uiPriority w:val="99"/>
    <w:rsid w:val="009578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689</Words>
  <Characters>3930</Characters>
  <Application>Microsoft Office Word</Application>
  <DocSecurity>0</DocSecurity>
  <Lines>32</Lines>
  <Paragraphs>9</Paragraphs>
  <ScaleCrop>false</ScaleCrop>
  <Company>Lenovo</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2021-01-14T08:14:00Z</dcterms:created>
  <dcterms:modified xsi:type="dcterms:W3CDTF">2021-01-15T01:33:00Z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