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0F4" w:rsidRDefault="008010F4">
      <w:pPr>
        <w:pStyle w:val="af"/>
        <w:spacing w:line="600" w:lineRule="exact"/>
        <w:ind w:rightChars="0" w:right="0"/>
        <w:jc w:val="left"/>
        <w:rPr>
          <w:rFonts w:eastAsia="方正黑体_GBK" w:hint="eastAsia"/>
        </w:rPr>
      </w:pPr>
    </w:p>
    <w:p w:rsidR="009A0450" w:rsidRDefault="009A0450">
      <w:pPr>
        <w:pStyle w:val="af"/>
        <w:spacing w:line="600" w:lineRule="exact"/>
        <w:ind w:rightChars="0" w:right="0"/>
        <w:jc w:val="left"/>
        <w:rPr>
          <w:rFonts w:eastAsia="方正黑体_GBK" w:hint="eastAsia"/>
        </w:rPr>
      </w:pPr>
    </w:p>
    <w:p w:rsidR="009A0450" w:rsidRDefault="009A0450">
      <w:pPr>
        <w:pStyle w:val="af"/>
        <w:spacing w:line="600" w:lineRule="exact"/>
        <w:ind w:rightChars="0" w:right="0"/>
        <w:jc w:val="left"/>
        <w:rPr>
          <w:rFonts w:eastAsia="方正黑体_GBK" w:hint="eastAsia"/>
        </w:rPr>
      </w:pPr>
    </w:p>
    <w:p w:rsidR="009A0450" w:rsidRDefault="009A0450">
      <w:pPr>
        <w:pStyle w:val="af"/>
        <w:spacing w:line="600" w:lineRule="exact"/>
        <w:ind w:rightChars="0" w:right="0"/>
        <w:jc w:val="left"/>
        <w:rPr>
          <w:rFonts w:eastAsia="方正黑体_GBK" w:hint="eastAsia"/>
        </w:rPr>
      </w:pPr>
    </w:p>
    <w:p w:rsidR="009A0450" w:rsidRDefault="009A0450">
      <w:pPr>
        <w:pStyle w:val="af"/>
        <w:spacing w:line="600" w:lineRule="exact"/>
        <w:ind w:rightChars="0" w:right="0"/>
        <w:jc w:val="left"/>
        <w:rPr>
          <w:rFonts w:eastAsia="方正黑体_GBK" w:hint="eastAsia"/>
        </w:rPr>
      </w:pPr>
    </w:p>
    <w:p w:rsidR="009A0450" w:rsidRDefault="009A0450">
      <w:pPr>
        <w:pStyle w:val="af"/>
        <w:spacing w:line="600" w:lineRule="exact"/>
        <w:ind w:rightChars="0" w:right="0"/>
        <w:jc w:val="left"/>
        <w:rPr>
          <w:rFonts w:eastAsia="方正黑体_GBK" w:hint="eastAsia"/>
        </w:rPr>
      </w:pPr>
    </w:p>
    <w:p w:rsidR="009A0450" w:rsidRDefault="009A0450" w:rsidP="009A0450">
      <w:pPr>
        <w:pStyle w:val="af"/>
        <w:spacing w:line="600" w:lineRule="exact"/>
        <w:ind w:rightChars="0" w:right="0"/>
        <w:jc w:val="center"/>
        <w:rPr>
          <w:rFonts w:ascii="方正仿宋_GBK" w:hAnsi="方正仿宋_GBK" w:hint="eastAsia"/>
          <w:spacing w:val="-6"/>
          <w:szCs w:val="32"/>
        </w:rPr>
      </w:pPr>
      <w:proofErr w:type="gramStart"/>
      <w:r>
        <w:rPr>
          <w:rFonts w:hAnsi="方正仿宋_GBK" w:hint="eastAsia"/>
          <w:spacing w:val="-6"/>
          <w:szCs w:val="32"/>
        </w:rPr>
        <w:t>玄政</w:t>
      </w:r>
      <w:r>
        <w:rPr>
          <w:rFonts w:hAnsi="方正仿宋_GBK"/>
          <w:spacing w:val="-6"/>
          <w:szCs w:val="32"/>
        </w:rPr>
        <w:t>〔</w:t>
      </w:r>
      <w:r>
        <w:rPr>
          <w:spacing w:val="-6"/>
          <w:szCs w:val="32"/>
        </w:rPr>
        <w:t>2026</w:t>
      </w:r>
      <w:r>
        <w:rPr>
          <w:rFonts w:hAnsi="方正仿宋_GBK"/>
          <w:spacing w:val="-6"/>
          <w:szCs w:val="32"/>
        </w:rPr>
        <w:t>〕</w:t>
      </w:r>
      <w:proofErr w:type="gramEnd"/>
      <w:r>
        <w:rPr>
          <w:rFonts w:hint="eastAsia"/>
          <w:spacing w:val="-6"/>
          <w:szCs w:val="32"/>
        </w:rPr>
        <w:t>50</w:t>
      </w:r>
      <w:r>
        <w:rPr>
          <w:rFonts w:ascii="方正仿宋_GBK" w:hAnsi="方正仿宋_GBK" w:hint="eastAsia"/>
          <w:spacing w:val="-6"/>
          <w:szCs w:val="32"/>
        </w:rPr>
        <w:t>号</w:t>
      </w:r>
    </w:p>
    <w:p w:rsidR="009A0450" w:rsidRDefault="009A0450" w:rsidP="009A0450">
      <w:pPr>
        <w:pStyle w:val="af"/>
        <w:spacing w:line="600" w:lineRule="exact"/>
        <w:ind w:rightChars="0" w:right="0"/>
        <w:jc w:val="center"/>
        <w:rPr>
          <w:rFonts w:ascii="方正仿宋_GBK" w:hAnsi="方正仿宋_GBK" w:hint="eastAsia"/>
          <w:spacing w:val="-6"/>
          <w:szCs w:val="32"/>
        </w:rPr>
      </w:pPr>
    </w:p>
    <w:p w:rsidR="009A0450" w:rsidRDefault="009A0450" w:rsidP="009A0450">
      <w:pPr>
        <w:pStyle w:val="af"/>
        <w:spacing w:line="600" w:lineRule="exact"/>
        <w:ind w:rightChars="0" w:right="0"/>
        <w:jc w:val="center"/>
        <w:rPr>
          <w:rFonts w:eastAsia="方正黑体_GBK"/>
        </w:rPr>
      </w:pPr>
    </w:p>
    <w:p w:rsidR="008010F4" w:rsidRDefault="00BF0708">
      <w:pPr>
        <w:spacing w:line="700" w:lineRule="exact"/>
        <w:jc w:val="center"/>
        <w:rPr>
          <w:rFonts w:ascii="方正小标宋_GBK" w:eastAsia="方正小标宋_GBK" w:hAnsi="黑体"/>
          <w:sz w:val="44"/>
          <w:szCs w:val="44"/>
        </w:rPr>
      </w:pPr>
      <w:r>
        <w:rPr>
          <w:rFonts w:ascii="方正小标宋_GBK" w:eastAsia="方正小标宋_GBK" w:hAnsi="黑体" w:hint="eastAsia"/>
          <w:sz w:val="44"/>
          <w:szCs w:val="44"/>
        </w:rPr>
        <w:t>关于印发《玄武区公共工程审计监督办法》</w:t>
      </w:r>
    </w:p>
    <w:p w:rsidR="008010F4" w:rsidRDefault="00BF0708">
      <w:pPr>
        <w:spacing w:line="700" w:lineRule="exact"/>
        <w:jc w:val="center"/>
        <w:rPr>
          <w:rFonts w:ascii="方正小标宋_GBK" w:eastAsia="方正小标宋_GBK" w:hAnsi="黑体"/>
          <w:sz w:val="44"/>
          <w:szCs w:val="44"/>
        </w:rPr>
      </w:pPr>
      <w:r>
        <w:rPr>
          <w:rFonts w:ascii="方正小标宋_GBK" w:eastAsia="方正小标宋_GBK" w:hAnsi="黑体" w:hint="eastAsia"/>
          <w:sz w:val="44"/>
          <w:szCs w:val="44"/>
        </w:rPr>
        <w:t>的通知</w:t>
      </w:r>
    </w:p>
    <w:p w:rsidR="008010F4" w:rsidRDefault="008010F4">
      <w:pPr>
        <w:spacing w:line="560" w:lineRule="exact"/>
        <w:jc w:val="center"/>
        <w:rPr>
          <w:rFonts w:ascii="方正楷体_GBK" w:eastAsia="方正楷体_GBK"/>
          <w:szCs w:val="32"/>
        </w:rPr>
      </w:pPr>
    </w:p>
    <w:p w:rsidR="008010F4" w:rsidRDefault="00BF0708">
      <w:pPr>
        <w:adjustRightInd/>
        <w:snapToGrid/>
        <w:spacing w:line="600" w:lineRule="exact"/>
        <w:textAlignment w:val="auto"/>
        <w:rPr>
          <w:color w:val="000000"/>
          <w:kern w:val="0"/>
          <w:szCs w:val="32"/>
        </w:rPr>
      </w:pPr>
      <w:r>
        <w:rPr>
          <w:rFonts w:hint="eastAsia"/>
          <w:color w:val="000000"/>
          <w:kern w:val="0"/>
          <w:szCs w:val="32"/>
        </w:rPr>
        <w:t>各街道办事处，区各委办局，区各直属单位</w:t>
      </w:r>
      <w:r>
        <w:rPr>
          <w:rFonts w:hint="eastAsia"/>
          <w:color w:val="000000"/>
          <w:kern w:val="0"/>
          <w:szCs w:val="32"/>
        </w:rPr>
        <w:t>:</w:t>
      </w:r>
    </w:p>
    <w:p w:rsidR="008010F4" w:rsidRDefault="00BF0708">
      <w:pPr>
        <w:adjustRightInd/>
        <w:snapToGrid/>
        <w:spacing w:line="600" w:lineRule="exact"/>
        <w:ind w:firstLineChars="200" w:firstLine="640"/>
        <w:textAlignment w:val="auto"/>
        <w:rPr>
          <w:color w:val="000000"/>
          <w:kern w:val="0"/>
          <w:szCs w:val="32"/>
        </w:rPr>
      </w:pPr>
      <w:r>
        <w:rPr>
          <w:rFonts w:hint="eastAsia"/>
          <w:color w:val="000000"/>
          <w:kern w:val="0"/>
          <w:szCs w:val="32"/>
        </w:rPr>
        <w:t>为进一步规范全区公共工程审计工作，防范公共工程建设领域风险，结合我区工作实际制定</w:t>
      </w:r>
      <w:r>
        <w:rPr>
          <w:rFonts w:hint="eastAsia"/>
          <w:color w:val="000000"/>
          <w:kern w:val="0"/>
          <w:szCs w:val="32"/>
        </w:rPr>
        <w:t>《玄武区</w:t>
      </w:r>
      <w:r>
        <w:rPr>
          <w:rFonts w:hint="eastAsia"/>
          <w:color w:val="000000"/>
          <w:kern w:val="0"/>
          <w:szCs w:val="32"/>
        </w:rPr>
        <w:t>公共工程审计监督办法</w:t>
      </w:r>
      <w:r>
        <w:rPr>
          <w:rFonts w:hint="eastAsia"/>
          <w:color w:val="000000"/>
          <w:kern w:val="0"/>
          <w:szCs w:val="32"/>
        </w:rPr>
        <w:t>》</w:t>
      </w:r>
      <w:r>
        <w:rPr>
          <w:rFonts w:hint="eastAsia"/>
          <w:color w:val="000000"/>
          <w:kern w:val="0"/>
          <w:szCs w:val="32"/>
        </w:rPr>
        <w:t>，</w:t>
      </w:r>
      <w:r>
        <w:rPr>
          <w:rFonts w:hint="eastAsia"/>
          <w:color w:val="000000"/>
          <w:kern w:val="0"/>
          <w:szCs w:val="32"/>
        </w:rPr>
        <w:t>已经区政府同意，现印发给你们，请认真组织实施。</w:t>
      </w:r>
    </w:p>
    <w:p w:rsidR="008010F4" w:rsidRDefault="008010F4">
      <w:pPr>
        <w:adjustRightInd/>
        <w:snapToGrid/>
        <w:spacing w:line="600" w:lineRule="exact"/>
        <w:textAlignment w:val="auto"/>
        <w:rPr>
          <w:color w:val="000000"/>
          <w:kern w:val="0"/>
          <w:szCs w:val="32"/>
        </w:rPr>
      </w:pPr>
    </w:p>
    <w:p w:rsidR="008010F4" w:rsidRDefault="008010F4">
      <w:pPr>
        <w:adjustRightInd/>
        <w:snapToGrid/>
        <w:spacing w:line="600" w:lineRule="exact"/>
        <w:textAlignment w:val="auto"/>
        <w:rPr>
          <w:rFonts w:hint="eastAsia"/>
          <w:color w:val="000000"/>
          <w:kern w:val="0"/>
          <w:szCs w:val="32"/>
        </w:rPr>
      </w:pPr>
    </w:p>
    <w:p w:rsidR="009A0450" w:rsidRDefault="009A0450">
      <w:pPr>
        <w:adjustRightInd/>
        <w:snapToGrid/>
        <w:spacing w:line="600" w:lineRule="exact"/>
        <w:textAlignment w:val="auto"/>
        <w:rPr>
          <w:color w:val="000000"/>
          <w:kern w:val="0"/>
          <w:szCs w:val="32"/>
        </w:rPr>
      </w:pPr>
    </w:p>
    <w:p w:rsidR="009A0450" w:rsidRDefault="009A0450" w:rsidP="009A0450">
      <w:pPr>
        <w:spacing w:line="560" w:lineRule="exact"/>
        <w:ind w:right="1120" w:firstLineChars="200" w:firstLine="640"/>
        <w:jc w:val="right"/>
        <w:rPr>
          <w:szCs w:val="32"/>
        </w:rPr>
      </w:pPr>
      <w:r>
        <w:rPr>
          <w:rFonts w:hint="eastAsia"/>
          <w:szCs w:val="32"/>
        </w:rPr>
        <w:t>南京市</w:t>
      </w:r>
      <w:r>
        <w:rPr>
          <w:szCs w:val="32"/>
        </w:rPr>
        <w:t>玄武区人民政府</w:t>
      </w:r>
      <w:r>
        <w:rPr>
          <w:szCs w:val="32"/>
        </w:rPr>
        <w:t>​</w:t>
      </w:r>
    </w:p>
    <w:p w:rsidR="008010F4" w:rsidRDefault="009A0450" w:rsidP="009A0450">
      <w:pPr>
        <w:adjustRightInd/>
        <w:snapToGrid/>
        <w:spacing w:line="600" w:lineRule="exact"/>
        <w:textAlignment w:val="auto"/>
        <w:rPr>
          <w:color w:val="000000"/>
          <w:kern w:val="0"/>
          <w:szCs w:val="32"/>
        </w:rPr>
      </w:pPr>
      <w:r>
        <w:rPr>
          <w:rFonts w:hint="eastAsia"/>
          <w:szCs w:val="32"/>
        </w:rPr>
        <w:t xml:space="preserve">                   </w:t>
      </w:r>
      <w:r>
        <w:rPr>
          <w:rFonts w:hint="eastAsia"/>
          <w:szCs w:val="32"/>
        </w:rPr>
        <w:t xml:space="preserve">           </w:t>
      </w:r>
      <w:r>
        <w:rPr>
          <w:rFonts w:hint="eastAsia"/>
          <w:szCs w:val="32"/>
        </w:rPr>
        <w:t xml:space="preserve"> </w:t>
      </w:r>
      <w:r>
        <w:rPr>
          <w:szCs w:val="32"/>
        </w:rPr>
        <w:t>2026</w:t>
      </w:r>
      <w:r>
        <w:rPr>
          <w:szCs w:val="32"/>
        </w:rPr>
        <w:t>年</w:t>
      </w:r>
      <w:r>
        <w:rPr>
          <w:rFonts w:hint="eastAsia"/>
          <w:szCs w:val="32"/>
        </w:rPr>
        <w:t>8</w:t>
      </w:r>
      <w:r>
        <w:rPr>
          <w:szCs w:val="32"/>
        </w:rPr>
        <w:t>月</w:t>
      </w:r>
      <w:r>
        <w:rPr>
          <w:rFonts w:hint="eastAsia"/>
          <w:szCs w:val="32"/>
        </w:rPr>
        <w:t>25</w:t>
      </w:r>
      <w:r>
        <w:rPr>
          <w:szCs w:val="32"/>
        </w:rPr>
        <w:t>日</w:t>
      </w:r>
    </w:p>
    <w:p w:rsidR="008010F4" w:rsidRDefault="00BF0708">
      <w:pPr>
        <w:spacing w:line="700" w:lineRule="exact"/>
        <w:jc w:val="center"/>
        <w:rPr>
          <w:rFonts w:ascii="方正小标宋_GBK" w:eastAsia="方正小标宋_GBK" w:hAnsi="黑体"/>
          <w:sz w:val="44"/>
          <w:szCs w:val="44"/>
        </w:rPr>
      </w:pPr>
      <w:r>
        <w:rPr>
          <w:rFonts w:ascii="方正小标宋_GBK" w:eastAsia="方正小标宋_GBK" w:hAnsi="黑体" w:hint="eastAsia"/>
          <w:sz w:val="44"/>
          <w:szCs w:val="44"/>
        </w:rPr>
        <w:lastRenderedPageBreak/>
        <w:t>玄武区公共工程审计监督办法</w:t>
      </w:r>
    </w:p>
    <w:p w:rsidR="008010F4" w:rsidRDefault="008010F4">
      <w:pPr>
        <w:adjustRightInd/>
        <w:snapToGrid/>
        <w:spacing w:line="600" w:lineRule="exact"/>
        <w:jc w:val="center"/>
        <w:textAlignment w:val="auto"/>
        <w:rPr>
          <w:rFonts w:ascii="方正黑体_GBK" w:eastAsia="方正黑体_GBK" w:hAnsi="方正黑体_GBK" w:cs="方正黑体_GBK"/>
          <w:szCs w:val="32"/>
        </w:rPr>
      </w:pPr>
    </w:p>
    <w:p w:rsidR="008010F4" w:rsidRDefault="00BF0708">
      <w:pPr>
        <w:numPr>
          <w:ilvl w:val="0"/>
          <w:numId w:val="5"/>
        </w:numPr>
        <w:adjustRightInd/>
        <w:snapToGrid/>
        <w:spacing w:line="600" w:lineRule="exact"/>
        <w:jc w:val="center"/>
        <w:textAlignment w:val="auto"/>
        <w:rPr>
          <w:rFonts w:ascii="方正黑体_GBK" w:eastAsia="方正黑体_GBK" w:hAnsi="方正黑体_GBK" w:cs="方正黑体_GBK"/>
          <w:szCs w:val="32"/>
        </w:rPr>
      </w:pPr>
      <w:r>
        <w:rPr>
          <w:rFonts w:ascii="方正黑体_GBK" w:eastAsia="方正黑体_GBK" w:hAnsi="方正黑体_GBK" w:cs="方正黑体_GBK"/>
          <w:szCs w:val="32"/>
        </w:rPr>
        <w:t xml:space="preserve"> </w:t>
      </w:r>
      <w:r>
        <w:rPr>
          <w:rFonts w:ascii="方正黑体_GBK" w:eastAsia="方正黑体_GBK" w:hAnsi="方正黑体_GBK" w:cs="方正黑体_GBK"/>
          <w:szCs w:val="32"/>
        </w:rPr>
        <w:t>总则</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第一</w:t>
      </w:r>
      <w:r>
        <w:rPr>
          <w:rFonts w:ascii="方正楷体_GBK" w:eastAsia="方正楷体_GBK" w:hAnsi="方正楷体_GBK" w:cs="方正楷体_GBK"/>
          <w:szCs w:val="32"/>
        </w:rPr>
        <w:t>条</w:t>
      </w:r>
      <w:r>
        <w:rPr>
          <w:color w:val="000000"/>
          <w:kern w:val="0"/>
          <w:szCs w:val="32"/>
        </w:rPr>
        <w:t xml:space="preserve"> </w:t>
      </w:r>
      <w:r>
        <w:rPr>
          <w:color w:val="000000"/>
          <w:kern w:val="0"/>
          <w:szCs w:val="32"/>
        </w:rPr>
        <w:t>为进一步规范全区公共工程审计工作，提高公共工程审计质量，防范公共工程建设领域风险，根据《中华人民共和国审计法》《南京市政府投资建设项目审计监督条例》</w:t>
      </w:r>
      <w:r>
        <w:rPr>
          <w:rFonts w:hint="eastAsia"/>
          <w:color w:val="000000"/>
          <w:kern w:val="0"/>
          <w:szCs w:val="32"/>
        </w:rPr>
        <w:t>《审计署办公厅关于进一步严格规范投资审计工作的通知》（审办投发〔</w:t>
      </w:r>
      <w:r>
        <w:rPr>
          <w:rFonts w:hint="eastAsia"/>
          <w:color w:val="000000"/>
          <w:kern w:val="0"/>
          <w:szCs w:val="32"/>
        </w:rPr>
        <w:t>2019</w:t>
      </w:r>
      <w:r>
        <w:rPr>
          <w:rFonts w:hint="eastAsia"/>
          <w:color w:val="000000"/>
          <w:kern w:val="0"/>
          <w:szCs w:val="32"/>
        </w:rPr>
        <w:t>〕</w:t>
      </w:r>
      <w:r>
        <w:rPr>
          <w:rFonts w:hint="eastAsia"/>
          <w:color w:val="000000"/>
          <w:kern w:val="0"/>
          <w:szCs w:val="32"/>
        </w:rPr>
        <w:t>95</w:t>
      </w:r>
      <w:r>
        <w:rPr>
          <w:rFonts w:hint="eastAsia"/>
          <w:color w:val="000000"/>
          <w:kern w:val="0"/>
          <w:szCs w:val="32"/>
        </w:rPr>
        <w:t>号）</w:t>
      </w:r>
      <w:r>
        <w:rPr>
          <w:color w:val="000000"/>
          <w:kern w:val="0"/>
          <w:szCs w:val="32"/>
        </w:rPr>
        <w:t>和《市政府关于加强公共工程审计监督的意见》</w:t>
      </w:r>
      <w:r>
        <w:rPr>
          <w:rFonts w:hint="eastAsia"/>
          <w:color w:val="000000"/>
          <w:kern w:val="0"/>
          <w:szCs w:val="32"/>
        </w:rPr>
        <w:t>（宁政发〔</w:t>
      </w:r>
      <w:r>
        <w:rPr>
          <w:rFonts w:hint="eastAsia"/>
          <w:color w:val="000000"/>
          <w:kern w:val="0"/>
          <w:szCs w:val="32"/>
        </w:rPr>
        <w:t>2025</w:t>
      </w:r>
      <w:r>
        <w:rPr>
          <w:rFonts w:hint="eastAsia"/>
          <w:color w:val="000000"/>
          <w:kern w:val="0"/>
          <w:szCs w:val="32"/>
        </w:rPr>
        <w:t>〕</w:t>
      </w:r>
      <w:r>
        <w:rPr>
          <w:rFonts w:hint="eastAsia"/>
          <w:color w:val="000000"/>
          <w:kern w:val="0"/>
          <w:szCs w:val="32"/>
        </w:rPr>
        <w:t>175</w:t>
      </w:r>
      <w:r>
        <w:rPr>
          <w:rFonts w:hint="eastAsia"/>
          <w:color w:val="000000"/>
          <w:kern w:val="0"/>
          <w:szCs w:val="32"/>
        </w:rPr>
        <w:t>号）</w:t>
      </w:r>
      <w:r>
        <w:rPr>
          <w:color w:val="000000"/>
          <w:kern w:val="0"/>
          <w:szCs w:val="32"/>
        </w:rPr>
        <w:t>等有关规定，</w:t>
      </w:r>
      <w:r>
        <w:rPr>
          <w:rFonts w:hint="eastAsia"/>
          <w:color w:val="000000"/>
          <w:kern w:val="0"/>
          <w:szCs w:val="32"/>
        </w:rPr>
        <w:t>结合本区工作实际制定本办法</w:t>
      </w:r>
      <w:r>
        <w:rPr>
          <w:szCs w:val="32"/>
        </w:rPr>
        <w:t>。</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szCs w:val="32"/>
        </w:rPr>
        <w:t>第二条</w:t>
      </w:r>
      <w:r>
        <w:rPr>
          <w:szCs w:val="32"/>
        </w:rPr>
        <w:t xml:space="preserve"> </w:t>
      </w:r>
      <w:r>
        <w:rPr>
          <w:szCs w:val="32"/>
        </w:rPr>
        <w:t>本办法适用于玄武区公共工程的审计监督。</w:t>
      </w:r>
    </w:p>
    <w:p w:rsidR="008010F4" w:rsidRDefault="00BF0708">
      <w:pPr>
        <w:adjustRightInd/>
        <w:snapToGrid/>
        <w:spacing w:line="600" w:lineRule="exact"/>
        <w:ind w:firstLineChars="200" w:firstLine="640"/>
        <w:textAlignment w:val="auto"/>
        <w:rPr>
          <w:szCs w:val="32"/>
        </w:rPr>
      </w:pPr>
      <w:r>
        <w:rPr>
          <w:szCs w:val="32"/>
        </w:rPr>
        <w:t>本办法所称公共工程包括：</w:t>
      </w:r>
    </w:p>
    <w:p w:rsidR="008010F4" w:rsidRDefault="00BF0708">
      <w:pPr>
        <w:adjustRightInd/>
        <w:snapToGrid/>
        <w:spacing w:line="600" w:lineRule="exact"/>
        <w:ind w:firstLineChars="200" w:firstLine="640"/>
        <w:textAlignment w:val="auto"/>
        <w:rPr>
          <w:szCs w:val="32"/>
        </w:rPr>
      </w:pPr>
      <w:r>
        <w:rPr>
          <w:szCs w:val="32"/>
        </w:rPr>
        <w:t>（一）</w:t>
      </w:r>
      <w:bookmarkStart w:id="0" w:name="OLE_LINK1"/>
      <w:r>
        <w:rPr>
          <w:szCs w:val="32"/>
        </w:rPr>
        <w:t>政府投资和以政府投资为主的工程项目</w:t>
      </w:r>
      <w:bookmarkEnd w:id="0"/>
      <w:r>
        <w:rPr>
          <w:szCs w:val="32"/>
        </w:rPr>
        <w:t>；</w:t>
      </w:r>
    </w:p>
    <w:p w:rsidR="008010F4" w:rsidRDefault="00BF0708">
      <w:pPr>
        <w:adjustRightInd/>
        <w:snapToGrid/>
        <w:spacing w:line="600" w:lineRule="exact"/>
        <w:ind w:firstLineChars="200" w:firstLine="640"/>
        <w:textAlignment w:val="auto"/>
        <w:rPr>
          <w:szCs w:val="32"/>
        </w:rPr>
      </w:pPr>
      <w:r>
        <w:rPr>
          <w:szCs w:val="32"/>
        </w:rPr>
        <w:t>（二）政府与社会资本合作、国有资本控股或者占主导</w:t>
      </w:r>
      <w:r>
        <w:rPr>
          <w:szCs w:val="32"/>
        </w:rPr>
        <w:t>地位的企业投资的工程项目；</w:t>
      </w:r>
    </w:p>
    <w:p w:rsidR="008010F4" w:rsidRDefault="00BF0708">
      <w:pPr>
        <w:adjustRightInd/>
        <w:snapToGrid/>
        <w:spacing w:line="600" w:lineRule="exact"/>
        <w:ind w:firstLineChars="200" w:firstLine="640"/>
        <w:textAlignment w:val="auto"/>
        <w:rPr>
          <w:szCs w:val="32"/>
        </w:rPr>
      </w:pPr>
      <w:r>
        <w:rPr>
          <w:szCs w:val="32"/>
        </w:rPr>
        <w:t>（三）其他关系国家利益和公共利益的重大工程项目。</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szCs w:val="32"/>
        </w:rPr>
        <w:t>第三条</w:t>
      </w:r>
      <w:r>
        <w:rPr>
          <w:szCs w:val="32"/>
        </w:rPr>
        <w:t xml:space="preserve"> </w:t>
      </w:r>
      <w:r>
        <w:rPr>
          <w:szCs w:val="32"/>
        </w:rPr>
        <w:t>公共工程审计监督应当遵循依法、独立、公正、效率的原则</w:t>
      </w:r>
      <w:r>
        <w:rPr>
          <w:rFonts w:hint="eastAsia"/>
          <w:szCs w:val="32"/>
        </w:rPr>
        <w:t>，</w:t>
      </w:r>
      <w:r>
        <w:rPr>
          <w:szCs w:val="32"/>
        </w:rPr>
        <w:t>统筹政府审计、内部审计、社会审计三类资源，建立政府审计主导、内部审计和社会审计参与的审计监督体系。</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szCs w:val="32"/>
        </w:rPr>
        <w:t>第四条</w:t>
      </w:r>
      <w:r>
        <w:rPr>
          <w:szCs w:val="32"/>
        </w:rPr>
        <w:t xml:space="preserve"> </w:t>
      </w:r>
      <w:r>
        <w:rPr>
          <w:szCs w:val="32"/>
        </w:rPr>
        <w:t>区审计局是公共工程审计监督的主管机关，牵头开展公共工程审计工作，承办</w:t>
      </w:r>
      <w:r>
        <w:rPr>
          <w:rFonts w:hint="eastAsia"/>
          <w:szCs w:val="32"/>
        </w:rPr>
        <w:t>区委</w:t>
      </w:r>
      <w:r>
        <w:rPr>
          <w:szCs w:val="32"/>
        </w:rPr>
        <w:t>区政府交办</w:t>
      </w:r>
      <w:r>
        <w:rPr>
          <w:rFonts w:hint="eastAsia"/>
          <w:szCs w:val="32"/>
        </w:rPr>
        <w:t>的</w:t>
      </w:r>
      <w:r>
        <w:rPr>
          <w:szCs w:val="32"/>
        </w:rPr>
        <w:t>审计任务。区审计</w:t>
      </w:r>
      <w:r>
        <w:rPr>
          <w:szCs w:val="32"/>
        </w:rPr>
        <w:lastRenderedPageBreak/>
        <w:t>局依法独立行使审计监督权，不得代替项目主管部门、</w:t>
      </w:r>
      <w:r>
        <w:rPr>
          <w:rFonts w:hint="eastAsia"/>
          <w:szCs w:val="32"/>
        </w:rPr>
        <w:t>项目建设单位</w:t>
      </w:r>
      <w:r>
        <w:rPr>
          <w:szCs w:val="32"/>
        </w:rPr>
        <w:t>承担工程结算审核职责，不得干预、插手被审计单位及其他相关单位的管理、审批事项。</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szCs w:val="32"/>
        </w:rPr>
        <w:t>第五条</w:t>
      </w:r>
      <w:r>
        <w:rPr>
          <w:rFonts w:ascii="方正楷体_GBK" w:eastAsia="方正楷体_GBK" w:hAnsi="方正楷体_GBK" w:cs="方正楷体_GBK" w:hint="eastAsia"/>
          <w:szCs w:val="32"/>
        </w:rPr>
        <w:t xml:space="preserve"> </w:t>
      </w:r>
      <w:r>
        <w:rPr>
          <w:szCs w:val="32"/>
        </w:rPr>
        <w:t>区审计局对公共工</w:t>
      </w:r>
      <w:r>
        <w:rPr>
          <w:szCs w:val="32"/>
        </w:rPr>
        <w:t>程</w:t>
      </w:r>
      <w:r>
        <w:rPr>
          <w:rFonts w:hint="eastAsia"/>
          <w:szCs w:val="32"/>
        </w:rPr>
        <w:t>项目</w:t>
      </w:r>
      <w:r>
        <w:rPr>
          <w:szCs w:val="32"/>
        </w:rPr>
        <w:t>可以采取竣工决算审计、专项审计调查</w:t>
      </w:r>
      <w:r>
        <w:rPr>
          <w:rFonts w:hint="eastAsia"/>
          <w:szCs w:val="32"/>
        </w:rPr>
        <w:t>等方式</w:t>
      </w:r>
      <w:r>
        <w:rPr>
          <w:szCs w:val="32"/>
        </w:rPr>
        <w:t>实施审计监督，也可以将公共工程审计与经济责任审计、</w:t>
      </w:r>
      <w:r>
        <w:rPr>
          <w:rFonts w:hint="eastAsia"/>
          <w:szCs w:val="32"/>
        </w:rPr>
        <w:t>预算执行审计、</w:t>
      </w:r>
      <w:r>
        <w:rPr>
          <w:szCs w:val="32"/>
        </w:rPr>
        <w:t>财政财务收支审计等融合实施；</w:t>
      </w:r>
      <w:r>
        <w:rPr>
          <w:rFonts w:hint="eastAsia"/>
          <w:szCs w:val="32"/>
        </w:rPr>
        <w:t>按</w:t>
      </w:r>
      <w:r>
        <w:rPr>
          <w:szCs w:val="32"/>
        </w:rPr>
        <w:t>区委区政府工作要求</w:t>
      </w:r>
      <w:r>
        <w:rPr>
          <w:rFonts w:hint="eastAsia"/>
          <w:szCs w:val="32"/>
        </w:rPr>
        <w:t>，</w:t>
      </w:r>
      <w:r>
        <w:rPr>
          <w:szCs w:val="32"/>
        </w:rPr>
        <w:t>对区级政府投资和以政府投资为主的项目竣工决算</w:t>
      </w:r>
      <w:r>
        <w:rPr>
          <w:rFonts w:hint="eastAsia"/>
          <w:szCs w:val="32"/>
        </w:rPr>
        <w:t>结果</w:t>
      </w:r>
      <w:r>
        <w:rPr>
          <w:szCs w:val="32"/>
        </w:rPr>
        <w:t>进行备案复核。</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szCs w:val="32"/>
        </w:rPr>
        <w:t>第六条</w:t>
      </w:r>
      <w:r>
        <w:rPr>
          <w:kern w:val="2"/>
          <w:szCs w:val="32"/>
        </w:rPr>
        <w:t xml:space="preserve"> </w:t>
      </w:r>
      <w:r>
        <w:rPr>
          <w:kern w:val="2"/>
          <w:szCs w:val="32"/>
        </w:rPr>
        <w:t>区审计局应当加强数字化审计监督能力建设，运用</w:t>
      </w:r>
      <w:r>
        <w:rPr>
          <w:rFonts w:hint="eastAsia"/>
          <w:kern w:val="2"/>
          <w:szCs w:val="32"/>
        </w:rPr>
        <w:t>数字化监管平台开展技术防范和技术控制的监督模式，</w:t>
      </w:r>
      <w:r>
        <w:rPr>
          <w:kern w:val="2"/>
          <w:szCs w:val="32"/>
        </w:rPr>
        <w:t>推动实现区级公共工程审计监督全覆盖。</w:t>
      </w:r>
    </w:p>
    <w:p w:rsidR="008010F4" w:rsidRDefault="00BF0708">
      <w:pPr>
        <w:adjustRightInd/>
        <w:snapToGrid/>
        <w:spacing w:line="600" w:lineRule="exact"/>
        <w:ind w:firstLineChars="200" w:firstLine="640"/>
        <w:textAlignment w:val="auto"/>
        <w:rPr>
          <w:kern w:val="2"/>
          <w:szCs w:val="32"/>
        </w:rPr>
      </w:pPr>
      <w:r>
        <w:rPr>
          <w:rFonts w:ascii="方正楷体_GBK" w:eastAsia="方正楷体_GBK" w:hAnsi="方正楷体_GBK" w:cs="方正楷体_GBK"/>
          <w:szCs w:val="32"/>
        </w:rPr>
        <w:t>第七条</w:t>
      </w:r>
      <w:r>
        <w:rPr>
          <w:rFonts w:ascii="方正楷体_GBK" w:eastAsia="方正楷体_GBK" w:hAnsi="方正楷体_GBK" w:cs="方正楷体_GBK"/>
          <w:szCs w:val="32"/>
        </w:rPr>
        <w:t xml:space="preserve"> </w:t>
      </w:r>
      <w:r>
        <w:rPr>
          <w:rFonts w:hint="eastAsia"/>
          <w:kern w:val="2"/>
          <w:szCs w:val="32"/>
        </w:rPr>
        <w:t>采用集中建设方式的，被审计单位为集中建设使用单位和集中建设实施单位。未采用集中建设方式的，被审计单位为项目建设单位。</w:t>
      </w:r>
    </w:p>
    <w:p w:rsidR="008010F4" w:rsidRDefault="00BF0708">
      <w:pPr>
        <w:adjustRightInd/>
        <w:snapToGrid/>
        <w:spacing w:line="600" w:lineRule="exact"/>
        <w:ind w:firstLineChars="200" w:firstLine="640"/>
        <w:textAlignment w:val="auto"/>
        <w:rPr>
          <w:kern w:val="2"/>
          <w:szCs w:val="32"/>
        </w:rPr>
      </w:pPr>
      <w:r>
        <w:rPr>
          <w:rFonts w:ascii="方正楷体_GBK" w:eastAsia="方正楷体_GBK" w:hAnsi="方正楷体_GBK" w:cs="方正楷体_GBK"/>
          <w:szCs w:val="32"/>
        </w:rPr>
        <w:t>第八条</w:t>
      </w:r>
      <w:r>
        <w:rPr>
          <w:rFonts w:ascii="方正楷体_GBK" w:eastAsia="方正楷体_GBK" w:hAnsi="方正楷体_GBK" w:cs="方正楷体_GBK"/>
          <w:szCs w:val="32"/>
        </w:rPr>
        <w:t xml:space="preserve"> </w:t>
      </w:r>
      <w:r>
        <w:rPr>
          <w:szCs w:val="32"/>
        </w:rPr>
        <w:t>项目</w:t>
      </w:r>
      <w:r>
        <w:rPr>
          <w:rFonts w:hint="eastAsia"/>
          <w:kern w:val="2"/>
          <w:szCs w:val="32"/>
        </w:rPr>
        <w:t>建设单位</w:t>
      </w:r>
      <w:r>
        <w:rPr>
          <w:kern w:val="2"/>
          <w:szCs w:val="32"/>
        </w:rPr>
        <w:t>、集</w:t>
      </w:r>
      <w:r>
        <w:rPr>
          <w:kern w:val="2"/>
          <w:szCs w:val="32"/>
        </w:rPr>
        <w:t>中建设</w:t>
      </w:r>
      <w:r>
        <w:rPr>
          <w:rFonts w:hint="eastAsia"/>
          <w:kern w:val="2"/>
          <w:szCs w:val="32"/>
        </w:rPr>
        <w:t>使用单位、</w:t>
      </w:r>
      <w:r>
        <w:rPr>
          <w:kern w:val="2"/>
          <w:szCs w:val="32"/>
        </w:rPr>
        <w:t>集中建设</w:t>
      </w:r>
      <w:r>
        <w:rPr>
          <w:rFonts w:hint="eastAsia"/>
          <w:kern w:val="2"/>
          <w:szCs w:val="32"/>
        </w:rPr>
        <w:t>实施单位</w:t>
      </w:r>
      <w:r>
        <w:rPr>
          <w:kern w:val="2"/>
          <w:szCs w:val="32"/>
        </w:rPr>
        <w:t>、主管部门应当切实履行</w:t>
      </w:r>
      <w:r>
        <w:rPr>
          <w:rFonts w:hint="eastAsia"/>
          <w:kern w:val="2"/>
          <w:szCs w:val="32"/>
        </w:rPr>
        <w:t>各自的</w:t>
      </w:r>
      <w:r>
        <w:rPr>
          <w:kern w:val="2"/>
          <w:szCs w:val="32"/>
        </w:rPr>
        <w:t>建设管理、投资控制、行业监管等主体责任，加强内部审计机构建设和审计质量控制，严格规范项目资金拨付和财务决算管理，做好竣工决</w:t>
      </w:r>
      <w:r>
        <w:rPr>
          <w:rFonts w:hint="eastAsia"/>
          <w:kern w:val="2"/>
          <w:szCs w:val="32"/>
        </w:rPr>
        <w:t>（结）</w:t>
      </w:r>
      <w:r>
        <w:rPr>
          <w:kern w:val="2"/>
          <w:szCs w:val="32"/>
        </w:rPr>
        <w:t>算审计工作，并接受区审计局的业务指导和监督。</w:t>
      </w:r>
      <w:r>
        <w:rPr>
          <w:kern w:val="2"/>
          <w:szCs w:val="32"/>
        </w:rPr>
        <w:t xml:space="preserve"> </w:t>
      </w:r>
    </w:p>
    <w:p w:rsidR="008010F4" w:rsidRDefault="00BF0708">
      <w:pPr>
        <w:adjustRightInd/>
        <w:snapToGrid/>
        <w:spacing w:line="600" w:lineRule="exact"/>
        <w:ind w:firstLineChars="200" w:firstLine="640"/>
        <w:textAlignment w:val="auto"/>
        <w:rPr>
          <w:szCs w:val="32"/>
        </w:rPr>
      </w:pPr>
      <w:r>
        <w:rPr>
          <w:szCs w:val="32"/>
        </w:rPr>
        <w:t>相关单位根据需要可按规定聘请社会中介机构参与本单位</w:t>
      </w:r>
      <w:r>
        <w:rPr>
          <w:rFonts w:hint="eastAsia"/>
          <w:szCs w:val="32"/>
        </w:rPr>
        <w:t>公共工程内部</w:t>
      </w:r>
      <w:r>
        <w:rPr>
          <w:szCs w:val="32"/>
        </w:rPr>
        <w:t>审计，加强质量管控，明确质量要求和违约责任，</w:t>
      </w:r>
      <w:r>
        <w:rPr>
          <w:szCs w:val="32"/>
        </w:rPr>
        <w:lastRenderedPageBreak/>
        <w:t>并对审计结果的真实性、合法性、完整性负责。</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第九条</w:t>
      </w:r>
      <w:r>
        <w:rPr>
          <w:rFonts w:hint="eastAsia"/>
          <w:szCs w:val="32"/>
        </w:rPr>
        <w:t xml:space="preserve"> </w:t>
      </w:r>
      <w:proofErr w:type="gramStart"/>
      <w:r>
        <w:rPr>
          <w:szCs w:val="32"/>
        </w:rPr>
        <w:t>区发改委</w:t>
      </w:r>
      <w:proofErr w:type="gramEnd"/>
      <w:r>
        <w:rPr>
          <w:szCs w:val="32"/>
        </w:rPr>
        <w:t>、区建设局等项目审批部门应当将公共工程的审批、核准情况同步抄送区审计局。</w:t>
      </w:r>
    </w:p>
    <w:p w:rsidR="008010F4" w:rsidRDefault="008010F4">
      <w:pPr>
        <w:adjustRightInd/>
        <w:snapToGrid/>
        <w:spacing w:line="600" w:lineRule="exact"/>
        <w:textAlignment w:val="auto"/>
        <w:rPr>
          <w:szCs w:val="32"/>
        </w:rPr>
      </w:pPr>
    </w:p>
    <w:p w:rsidR="008010F4" w:rsidRDefault="00BF0708">
      <w:pPr>
        <w:numPr>
          <w:ilvl w:val="0"/>
          <w:numId w:val="5"/>
        </w:numPr>
        <w:adjustRightInd/>
        <w:snapToGrid/>
        <w:spacing w:line="600" w:lineRule="exact"/>
        <w:jc w:val="center"/>
        <w:textAlignment w:val="auto"/>
        <w:rPr>
          <w:rFonts w:ascii="方正黑体_GBK" w:eastAsia="方正黑体_GBK" w:hAnsi="方正黑体_GBK" w:cs="方正黑体_GBK"/>
          <w:szCs w:val="32"/>
        </w:rPr>
      </w:pPr>
      <w:r>
        <w:rPr>
          <w:rFonts w:ascii="方正黑体_GBK" w:eastAsia="方正黑体_GBK" w:hAnsi="方正黑体_GBK" w:cs="方正黑体_GBK"/>
          <w:szCs w:val="32"/>
        </w:rPr>
        <w:t xml:space="preserve"> </w:t>
      </w:r>
      <w:r>
        <w:rPr>
          <w:rFonts w:ascii="方正黑体_GBK" w:eastAsia="方正黑体_GBK" w:hAnsi="方正黑体_GBK" w:cs="方正黑体_GBK"/>
          <w:szCs w:val="32"/>
        </w:rPr>
        <w:t>审计实施</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第十条</w:t>
      </w:r>
      <w:r>
        <w:rPr>
          <w:szCs w:val="32"/>
        </w:rPr>
        <w:t xml:space="preserve"> </w:t>
      </w:r>
      <w:proofErr w:type="gramStart"/>
      <w:r>
        <w:rPr>
          <w:szCs w:val="32"/>
        </w:rPr>
        <w:t>区发改委</w:t>
      </w:r>
      <w:proofErr w:type="gramEnd"/>
      <w:r>
        <w:rPr>
          <w:szCs w:val="32"/>
        </w:rPr>
        <w:t>、区建设局及各街道（园区）、国有企业等应当将年度公共工程</w:t>
      </w:r>
      <w:r>
        <w:rPr>
          <w:rFonts w:hint="eastAsia"/>
          <w:szCs w:val="32"/>
        </w:rPr>
        <w:t>建设</w:t>
      </w:r>
      <w:r>
        <w:rPr>
          <w:szCs w:val="32"/>
        </w:rPr>
        <w:t>计划同步</w:t>
      </w:r>
      <w:r>
        <w:rPr>
          <w:rFonts w:hint="eastAsia"/>
          <w:szCs w:val="32"/>
        </w:rPr>
        <w:t>至</w:t>
      </w:r>
      <w:r>
        <w:rPr>
          <w:szCs w:val="32"/>
        </w:rPr>
        <w:t>区审计局。区审计局据此建立</w:t>
      </w:r>
      <w:r>
        <w:rPr>
          <w:rFonts w:hint="eastAsia"/>
          <w:szCs w:val="32"/>
        </w:rPr>
        <w:t>区级</w:t>
      </w:r>
      <w:r>
        <w:rPr>
          <w:szCs w:val="32"/>
        </w:rPr>
        <w:t>公共工程计划信息库，并逐年滚动更新。</w:t>
      </w:r>
    </w:p>
    <w:p w:rsidR="008010F4" w:rsidRDefault="00BF0708">
      <w:pPr>
        <w:adjustRightInd/>
        <w:snapToGrid/>
        <w:spacing w:line="600" w:lineRule="exact"/>
        <w:ind w:firstLineChars="200" w:firstLine="640"/>
        <w:textAlignment w:val="auto"/>
        <w:rPr>
          <w:szCs w:val="32"/>
        </w:rPr>
      </w:pPr>
      <w:r>
        <w:rPr>
          <w:szCs w:val="32"/>
        </w:rPr>
        <w:t>主管部门、</w:t>
      </w:r>
      <w:r>
        <w:rPr>
          <w:rFonts w:hint="eastAsia"/>
          <w:szCs w:val="32"/>
        </w:rPr>
        <w:t>项目建设单位</w:t>
      </w:r>
      <w:r>
        <w:rPr>
          <w:szCs w:val="32"/>
        </w:rPr>
        <w:t>应当于每年</w:t>
      </w:r>
      <w:r>
        <w:rPr>
          <w:szCs w:val="32"/>
        </w:rPr>
        <w:t>8</w:t>
      </w:r>
      <w:r>
        <w:rPr>
          <w:szCs w:val="32"/>
        </w:rPr>
        <w:t>月底前向区审计局报送本年度已完成及预计下年度可完成竣工决算的政府投资建设项目，区审计局将符合审计条件的项目纳入下年度政府投资项目审计库。</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第十一条</w:t>
      </w:r>
      <w:r>
        <w:rPr>
          <w:szCs w:val="32"/>
        </w:rPr>
        <w:t xml:space="preserve"> </w:t>
      </w:r>
      <w:r>
        <w:rPr>
          <w:szCs w:val="32"/>
        </w:rPr>
        <w:t>区审计局按照</w:t>
      </w:r>
      <w:r>
        <w:rPr>
          <w:rFonts w:hint="eastAsia"/>
          <w:szCs w:val="32"/>
        </w:rPr>
        <w:t>区委</w:t>
      </w:r>
      <w:r>
        <w:rPr>
          <w:szCs w:val="32"/>
        </w:rPr>
        <w:t>区政府和上级审计机关的要求，编制年度审计项目计划。竣工决算审计项目原则上从政府投资项目审计库中选取，库内其他项目实行备案管理；</w:t>
      </w:r>
      <w:r>
        <w:rPr>
          <w:rFonts w:hint="eastAsia"/>
          <w:szCs w:val="32"/>
        </w:rPr>
        <w:t>专项</w:t>
      </w:r>
      <w:r>
        <w:rPr>
          <w:szCs w:val="32"/>
        </w:rPr>
        <w:t>审计调查等项目从公共工程计划信息库中</w:t>
      </w:r>
      <w:r>
        <w:rPr>
          <w:szCs w:val="32"/>
        </w:rPr>
        <w:t>选取。</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第十二条</w:t>
      </w:r>
      <w:r>
        <w:rPr>
          <w:szCs w:val="32"/>
        </w:rPr>
        <w:t xml:space="preserve"> </w:t>
      </w:r>
      <w:r>
        <w:rPr>
          <w:szCs w:val="32"/>
        </w:rPr>
        <w:t>公共工程审计监督</w:t>
      </w:r>
      <w:r>
        <w:rPr>
          <w:rFonts w:hint="eastAsia"/>
          <w:szCs w:val="32"/>
        </w:rPr>
        <w:t>主要</w:t>
      </w:r>
      <w:r>
        <w:rPr>
          <w:szCs w:val="32"/>
        </w:rPr>
        <w:t>包括下列事项：</w:t>
      </w:r>
    </w:p>
    <w:p w:rsidR="008010F4" w:rsidRDefault="00BF0708">
      <w:pPr>
        <w:adjustRightInd/>
        <w:snapToGrid/>
        <w:spacing w:line="600" w:lineRule="exact"/>
        <w:ind w:firstLineChars="200" w:firstLine="640"/>
        <w:textAlignment w:val="auto"/>
        <w:rPr>
          <w:szCs w:val="32"/>
        </w:rPr>
      </w:pPr>
      <w:r>
        <w:rPr>
          <w:szCs w:val="32"/>
        </w:rPr>
        <w:t>（一）重大政策措施落实情况；</w:t>
      </w:r>
    </w:p>
    <w:p w:rsidR="008010F4" w:rsidRDefault="00BF0708">
      <w:pPr>
        <w:adjustRightInd/>
        <w:snapToGrid/>
        <w:spacing w:line="600" w:lineRule="exact"/>
        <w:ind w:firstLineChars="200" w:firstLine="640"/>
        <w:textAlignment w:val="auto"/>
        <w:rPr>
          <w:szCs w:val="32"/>
        </w:rPr>
      </w:pPr>
      <w:r>
        <w:rPr>
          <w:szCs w:val="32"/>
        </w:rPr>
        <w:t>（二）基本建设程序和项目建设、管理制度以及投资控制计划等执行情况；</w:t>
      </w:r>
    </w:p>
    <w:p w:rsidR="008010F4" w:rsidRDefault="00BF0708">
      <w:pPr>
        <w:adjustRightInd/>
        <w:snapToGrid/>
        <w:spacing w:line="600" w:lineRule="exact"/>
        <w:ind w:firstLineChars="200" w:firstLine="640"/>
        <w:textAlignment w:val="auto"/>
        <w:rPr>
          <w:szCs w:val="32"/>
        </w:rPr>
      </w:pPr>
      <w:r>
        <w:rPr>
          <w:szCs w:val="32"/>
        </w:rPr>
        <w:t>（三）项目概（预）算编制、审批、执行和调整变动情况；</w:t>
      </w:r>
    </w:p>
    <w:p w:rsidR="008010F4" w:rsidRDefault="00BF0708">
      <w:pPr>
        <w:adjustRightInd/>
        <w:snapToGrid/>
        <w:spacing w:line="600" w:lineRule="exact"/>
        <w:ind w:firstLineChars="200" w:firstLine="640"/>
        <w:textAlignment w:val="auto"/>
        <w:rPr>
          <w:szCs w:val="32"/>
        </w:rPr>
      </w:pPr>
      <w:r>
        <w:rPr>
          <w:szCs w:val="32"/>
        </w:rPr>
        <w:lastRenderedPageBreak/>
        <w:t>（四）设备、物资和材料采购情况；</w:t>
      </w:r>
    </w:p>
    <w:p w:rsidR="008010F4" w:rsidRDefault="00BF0708">
      <w:pPr>
        <w:adjustRightInd/>
        <w:snapToGrid/>
        <w:spacing w:line="600" w:lineRule="exact"/>
        <w:ind w:firstLineChars="200" w:firstLine="640"/>
        <w:textAlignment w:val="auto"/>
        <w:rPr>
          <w:szCs w:val="32"/>
        </w:rPr>
      </w:pPr>
      <w:r>
        <w:rPr>
          <w:szCs w:val="32"/>
        </w:rPr>
        <w:t>（五）土地和房屋征收补偿情况；</w:t>
      </w:r>
    </w:p>
    <w:p w:rsidR="008010F4" w:rsidRDefault="00BF0708">
      <w:pPr>
        <w:adjustRightInd/>
        <w:snapToGrid/>
        <w:spacing w:line="600" w:lineRule="exact"/>
        <w:ind w:firstLineChars="200" w:firstLine="640"/>
        <w:textAlignment w:val="auto"/>
        <w:rPr>
          <w:szCs w:val="32"/>
        </w:rPr>
      </w:pPr>
      <w:r>
        <w:rPr>
          <w:szCs w:val="32"/>
        </w:rPr>
        <w:t>（六）招标投标程序和执行情况；</w:t>
      </w:r>
    </w:p>
    <w:p w:rsidR="008010F4" w:rsidRDefault="00BF0708">
      <w:pPr>
        <w:adjustRightInd/>
        <w:snapToGrid/>
        <w:spacing w:line="600" w:lineRule="exact"/>
        <w:ind w:firstLineChars="200" w:firstLine="640"/>
        <w:textAlignment w:val="auto"/>
        <w:rPr>
          <w:szCs w:val="32"/>
        </w:rPr>
      </w:pPr>
      <w:r>
        <w:rPr>
          <w:szCs w:val="32"/>
        </w:rPr>
        <w:t>（七）合同签订、履行和变更情况；</w:t>
      </w:r>
    </w:p>
    <w:p w:rsidR="008010F4" w:rsidRDefault="00BF0708">
      <w:pPr>
        <w:adjustRightInd/>
        <w:snapToGrid/>
        <w:spacing w:line="600" w:lineRule="exact"/>
        <w:ind w:firstLineChars="200" w:firstLine="640"/>
        <w:textAlignment w:val="auto"/>
        <w:rPr>
          <w:szCs w:val="32"/>
        </w:rPr>
      </w:pPr>
      <w:r>
        <w:rPr>
          <w:szCs w:val="32"/>
        </w:rPr>
        <w:t>（八）财务管理和会计核算情况；</w:t>
      </w:r>
    </w:p>
    <w:p w:rsidR="008010F4" w:rsidRDefault="00BF0708">
      <w:pPr>
        <w:adjustRightInd/>
        <w:snapToGrid/>
        <w:spacing w:line="600" w:lineRule="exact"/>
        <w:ind w:firstLineChars="200" w:firstLine="640"/>
        <w:textAlignment w:val="auto"/>
        <w:rPr>
          <w:szCs w:val="32"/>
        </w:rPr>
      </w:pPr>
      <w:r>
        <w:rPr>
          <w:szCs w:val="32"/>
        </w:rPr>
        <w:t>（九）竣工决算报表的编制、交付使用资产情况；</w:t>
      </w:r>
    </w:p>
    <w:p w:rsidR="008010F4" w:rsidRDefault="00BF0708">
      <w:pPr>
        <w:adjustRightInd/>
        <w:snapToGrid/>
        <w:spacing w:line="600" w:lineRule="exact"/>
        <w:ind w:firstLineChars="200" w:firstLine="640"/>
        <w:textAlignment w:val="auto"/>
        <w:rPr>
          <w:szCs w:val="32"/>
        </w:rPr>
      </w:pPr>
      <w:r>
        <w:rPr>
          <w:szCs w:val="32"/>
        </w:rPr>
        <w:t>（十）项目投资绩效情况；</w:t>
      </w:r>
    </w:p>
    <w:p w:rsidR="008010F4" w:rsidRDefault="00BF0708">
      <w:pPr>
        <w:adjustRightInd/>
        <w:snapToGrid/>
        <w:spacing w:line="600" w:lineRule="exact"/>
        <w:ind w:firstLineChars="200" w:firstLine="640"/>
        <w:textAlignment w:val="auto"/>
        <w:rPr>
          <w:szCs w:val="32"/>
        </w:rPr>
      </w:pPr>
      <w:r>
        <w:rPr>
          <w:szCs w:val="32"/>
        </w:rPr>
        <w:t>（十一）法律、法规规定需要审计的其他事项。</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第十三条</w:t>
      </w:r>
      <w:r>
        <w:rPr>
          <w:szCs w:val="32"/>
        </w:rPr>
        <w:t xml:space="preserve"> </w:t>
      </w:r>
      <w:r>
        <w:rPr>
          <w:szCs w:val="32"/>
        </w:rPr>
        <w:t>被审计单位应当</w:t>
      </w:r>
      <w:r>
        <w:rPr>
          <w:rFonts w:hint="eastAsia"/>
          <w:szCs w:val="32"/>
        </w:rPr>
        <w:t>按</w:t>
      </w:r>
      <w:r>
        <w:rPr>
          <w:szCs w:val="32"/>
        </w:rPr>
        <w:t>区审计局</w:t>
      </w:r>
      <w:r>
        <w:rPr>
          <w:rFonts w:hint="eastAsia"/>
          <w:szCs w:val="32"/>
        </w:rPr>
        <w:t>要求</w:t>
      </w:r>
      <w:r>
        <w:rPr>
          <w:szCs w:val="32"/>
        </w:rPr>
        <w:t>提供</w:t>
      </w:r>
      <w:r>
        <w:rPr>
          <w:rFonts w:hint="eastAsia"/>
          <w:szCs w:val="32"/>
        </w:rPr>
        <w:t>相关</w:t>
      </w:r>
      <w:r>
        <w:rPr>
          <w:szCs w:val="32"/>
        </w:rPr>
        <w:t>资料，</w:t>
      </w:r>
      <w:r>
        <w:rPr>
          <w:rFonts w:hint="eastAsia"/>
          <w:szCs w:val="32"/>
        </w:rPr>
        <w:t>并对资料的及时性、真实性、完整性负责。</w:t>
      </w:r>
    </w:p>
    <w:p w:rsidR="008010F4" w:rsidRDefault="00BF0708">
      <w:pPr>
        <w:adjustRightInd/>
        <w:snapToGrid/>
        <w:spacing w:line="600" w:lineRule="exact"/>
        <w:ind w:firstLineChars="200" w:firstLine="640"/>
        <w:textAlignment w:val="auto"/>
        <w:rPr>
          <w:szCs w:val="32"/>
        </w:rPr>
      </w:pPr>
      <w:r>
        <w:rPr>
          <w:rFonts w:hint="eastAsia"/>
          <w:szCs w:val="32"/>
        </w:rPr>
        <w:t>区审计局</w:t>
      </w:r>
      <w:r>
        <w:rPr>
          <w:szCs w:val="32"/>
        </w:rPr>
        <w:t>根据工作需要，可以</w:t>
      </w:r>
      <w:r>
        <w:rPr>
          <w:rFonts w:hint="eastAsia"/>
          <w:szCs w:val="32"/>
        </w:rPr>
        <w:t>要求有关</w:t>
      </w:r>
      <w:r>
        <w:rPr>
          <w:szCs w:val="32"/>
        </w:rPr>
        <w:t>主管</w:t>
      </w:r>
      <w:r>
        <w:rPr>
          <w:rFonts w:hint="eastAsia"/>
          <w:szCs w:val="32"/>
        </w:rPr>
        <w:t>部门</w:t>
      </w:r>
      <w:r>
        <w:rPr>
          <w:szCs w:val="32"/>
        </w:rPr>
        <w:t>、单位依托</w:t>
      </w:r>
      <w:r>
        <w:rPr>
          <w:rFonts w:hint="eastAsia"/>
          <w:szCs w:val="32"/>
        </w:rPr>
        <w:t>数字化监管平台</w:t>
      </w:r>
      <w:r>
        <w:rPr>
          <w:szCs w:val="32"/>
        </w:rPr>
        <w:t>提供数据</w:t>
      </w:r>
      <w:r>
        <w:rPr>
          <w:rFonts w:hint="eastAsia"/>
          <w:szCs w:val="32"/>
        </w:rPr>
        <w:t>资料，</w:t>
      </w:r>
      <w:r>
        <w:rPr>
          <w:szCs w:val="32"/>
        </w:rPr>
        <w:t>协同做好数据</w:t>
      </w:r>
      <w:r>
        <w:rPr>
          <w:rFonts w:hint="eastAsia"/>
          <w:szCs w:val="32"/>
        </w:rPr>
        <w:t>资料</w:t>
      </w:r>
      <w:r>
        <w:rPr>
          <w:szCs w:val="32"/>
        </w:rPr>
        <w:t>归集和</w:t>
      </w:r>
      <w:r>
        <w:rPr>
          <w:rFonts w:hint="eastAsia"/>
          <w:szCs w:val="32"/>
        </w:rPr>
        <w:t>整理。区审计局</w:t>
      </w:r>
      <w:r>
        <w:rPr>
          <w:szCs w:val="32"/>
        </w:rPr>
        <w:t>通过公共数据平台取得的电子数据等资料能够满足需要的，不</w:t>
      </w:r>
      <w:r>
        <w:rPr>
          <w:rFonts w:hint="eastAsia"/>
          <w:szCs w:val="32"/>
        </w:rPr>
        <w:t>得再</w:t>
      </w:r>
      <w:r>
        <w:rPr>
          <w:szCs w:val="32"/>
        </w:rPr>
        <w:t>要求被审计单位重复提供。</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第十四条</w:t>
      </w:r>
      <w:r>
        <w:rPr>
          <w:rFonts w:ascii="方正楷体_GBK" w:eastAsia="方正楷体_GBK" w:hAnsi="方正楷体_GBK" w:cs="方正楷体_GBK" w:hint="eastAsia"/>
          <w:szCs w:val="32"/>
        </w:rPr>
        <w:t xml:space="preserve"> </w:t>
      </w:r>
      <w:r>
        <w:rPr>
          <w:szCs w:val="32"/>
        </w:rPr>
        <w:t>对于报送备案的政府投资建设项目，</w:t>
      </w:r>
      <w:r>
        <w:rPr>
          <w:rFonts w:hint="eastAsia"/>
          <w:szCs w:val="32"/>
        </w:rPr>
        <w:t>有主管部门的，由</w:t>
      </w:r>
      <w:r>
        <w:rPr>
          <w:szCs w:val="32"/>
        </w:rPr>
        <w:t>主管部门统一向区审计局报送；无主管部门的，由</w:t>
      </w:r>
      <w:r>
        <w:rPr>
          <w:rFonts w:hint="eastAsia"/>
          <w:szCs w:val="32"/>
        </w:rPr>
        <w:t>项目建设单位</w:t>
      </w:r>
      <w:r>
        <w:rPr>
          <w:szCs w:val="32"/>
        </w:rPr>
        <w:t>报送。相关单位应当在完成项目竣工决</w:t>
      </w:r>
      <w:r>
        <w:rPr>
          <w:rFonts w:hint="eastAsia"/>
          <w:szCs w:val="32"/>
        </w:rPr>
        <w:t>（结）</w:t>
      </w:r>
      <w:r>
        <w:rPr>
          <w:szCs w:val="32"/>
        </w:rPr>
        <w:t>算审计并审核确认后</w:t>
      </w:r>
      <w:r>
        <w:rPr>
          <w:szCs w:val="32"/>
        </w:rPr>
        <w:t>30</w:t>
      </w:r>
      <w:r>
        <w:rPr>
          <w:szCs w:val="32"/>
        </w:rPr>
        <w:t>日内，将审核确认的竣工决</w:t>
      </w:r>
      <w:r>
        <w:rPr>
          <w:rFonts w:hint="eastAsia"/>
          <w:szCs w:val="32"/>
        </w:rPr>
        <w:t>（结）</w:t>
      </w:r>
      <w:proofErr w:type="gramStart"/>
      <w:r>
        <w:rPr>
          <w:szCs w:val="32"/>
        </w:rPr>
        <w:t>算结果</w:t>
      </w:r>
      <w:proofErr w:type="gramEnd"/>
      <w:r>
        <w:rPr>
          <w:szCs w:val="32"/>
        </w:rPr>
        <w:t>报区审计局备案，并</w:t>
      </w:r>
      <w:r>
        <w:rPr>
          <w:rFonts w:hint="eastAsia"/>
          <w:szCs w:val="32"/>
        </w:rPr>
        <w:t>组织</w:t>
      </w:r>
      <w:r>
        <w:rPr>
          <w:szCs w:val="32"/>
        </w:rPr>
        <w:t>将相应数据上传至</w:t>
      </w:r>
      <w:r>
        <w:rPr>
          <w:rFonts w:hint="eastAsia"/>
          <w:szCs w:val="32"/>
        </w:rPr>
        <w:t>数字化监管平台</w:t>
      </w:r>
      <w:r>
        <w:rPr>
          <w:szCs w:val="32"/>
        </w:rPr>
        <w:t>。</w:t>
      </w:r>
    </w:p>
    <w:p w:rsidR="008010F4" w:rsidRDefault="00BF0708">
      <w:pPr>
        <w:adjustRightInd/>
        <w:snapToGrid/>
        <w:spacing w:line="600" w:lineRule="exact"/>
        <w:ind w:firstLineChars="200" w:firstLine="640"/>
        <w:textAlignment w:val="auto"/>
        <w:rPr>
          <w:szCs w:val="32"/>
        </w:rPr>
      </w:pPr>
      <w:r>
        <w:rPr>
          <w:szCs w:val="32"/>
        </w:rPr>
        <w:t>区审计局对报送备案项目根据需要进行复核，对复核中发现的重大问题、重要风险事项予以披露并出具</w:t>
      </w:r>
      <w:r>
        <w:rPr>
          <w:rFonts w:hint="eastAsia"/>
          <w:szCs w:val="32"/>
        </w:rPr>
        <w:t>备案</w:t>
      </w:r>
      <w:r>
        <w:rPr>
          <w:szCs w:val="32"/>
        </w:rPr>
        <w:t>意见。区审计局</w:t>
      </w:r>
      <w:r>
        <w:rPr>
          <w:szCs w:val="32"/>
        </w:rPr>
        <w:lastRenderedPageBreak/>
        <w:t>应将</w:t>
      </w:r>
      <w:r>
        <w:rPr>
          <w:rFonts w:hint="eastAsia"/>
          <w:szCs w:val="32"/>
        </w:rPr>
        <w:t>意见</w:t>
      </w:r>
      <w:r>
        <w:rPr>
          <w:szCs w:val="32"/>
        </w:rPr>
        <w:t>中的相关情况向区财政</w:t>
      </w:r>
      <w:r>
        <w:rPr>
          <w:rFonts w:hint="eastAsia"/>
          <w:szCs w:val="32"/>
        </w:rPr>
        <w:t>局</w:t>
      </w:r>
      <w:r>
        <w:rPr>
          <w:szCs w:val="32"/>
        </w:rPr>
        <w:t>通报。</w:t>
      </w:r>
    </w:p>
    <w:p w:rsidR="008010F4" w:rsidRDefault="008010F4">
      <w:pPr>
        <w:adjustRightInd/>
        <w:snapToGrid/>
        <w:spacing w:line="600" w:lineRule="exact"/>
        <w:ind w:firstLineChars="200" w:firstLine="640"/>
        <w:textAlignment w:val="auto"/>
        <w:rPr>
          <w:szCs w:val="32"/>
        </w:rPr>
      </w:pPr>
    </w:p>
    <w:p w:rsidR="008010F4" w:rsidRDefault="00BF0708">
      <w:pPr>
        <w:numPr>
          <w:ilvl w:val="0"/>
          <w:numId w:val="5"/>
        </w:numPr>
        <w:adjustRightInd/>
        <w:snapToGrid/>
        <w:spacing w:line="600" w:lineRule="exact"/>
        <w:jc w:val="center"/>
        <w:textAlignment w:val="auto"/>
        <w:rPr>
          <w:rFonts w:ascii="方正黑体_GBK" w:eastAsia="方正黑体_GBK" w:hAnsi="方正黑体_GBK" w:cs="方正黑体_GBK"/>
          <w:szCs w:val="32"/>
        </w:rPr>
      </w:pPr>
      <w:r>
        <w:rPr>
          <w:rFonts w:ascii="方正黑体_GBK" w:eastAsia="方正黑体_GBK" w:hAnsi="方正黑体_GBK" w:cs="方正黑体_GBK"/>
          <w:szCs w:val="32"/>
        </w:rPr>
        <w:t xml:space="preserve"> </w:t>
      </w:r>
      <w:r>
        <w:rPr>
          <w:rFonts w:ascii="方正黑体_GBK" w:eastAsia="方正黑体_GBK" w:hAnsi="方正黑体_GBK" w:cs="方正黑体_GBK"/>
          <w:szCs w:val="32"/>
        </w:rPr>
        <w:t>审计整改与结果运用</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第十五条</w:t>
      </w:r>
      <w:r>
        <w:rPr>
          <w:szCs w:val="32"/>
        </w:rPr>
        <w:t xml:space="preserve"> </w:t>
      </w:r>
      <w:r>
        <w:rPr>
          <w:szCs w:val="32"/>
        </w:rPr>
        <w:t>被审计单位应当对审计发现的问题承担整改主体责任，及时、准确进行整改。相关主管部门应当加强对本行业、本系统审计整改工作的督促和监管。区审计局负责对审计整改情况进行跟踪检查</w:t>
      </w:r>
      <w:r>
        <w:rPr>
          <w:rFonts w:hint="eastAsia"/>
          <w:szCs w:val="32"/>
        </w:rPr>
        <w:t>。</w:t>
      </w:r>
      <w:r>
        <w:rPr>
          <w:szCs w:val="32"/>
        </w:rPr>
        <w:t>审计整改结果</w:t>
      </w:r>
      <w:r>
        <w:rPr>
          <w:rFonts w:hint="eastAsia"/>
          <w:szCs w:val="32"/>
        </w:rPr>
        <w:t>将在</w:t>
      </w:r>
      <w:r>
        <w:rPr>
          <w:szCs w:val="32"/>
        </w:rPr>
        <w:t>相关单位年度区级</w:t>
      </w:r>
      <w:r>
        <w:rPr>
          <w:rFonts w:hint="eastAsia"/>
          <w:szCs w:val="32"/>
        </w:rPr>
        <w:t>高质量</w:t>
      </w:r>
      <w:r>
        <w:rPr>
          <w:szCs w:val="32"/>
        </w:rPr>
        <w:t>考核</w:t>
      </w:r>
      <w:r>
        <w:rPr>
          <w:rFonts w:hint="eastAsia"/>
          <w:szCs w:val="32"/>
        </w:rPr>
        <w:t>中予以体现并纳入</w:t>
      </w:r>
      <w:r>
        <w:rPr>
          <w:szCs w:val="32"/>
        </w:rPr>
        <w:t>主要领导</w:t>
      </w:r>
      <w:r>
        <w:rPr>
          <w:rFonts w:hint="eastAsia"/>
          <w:szCs w:val="32"/>
        </w:rPr>
        <w:t>干部</w:t>
      </w:r>
      <w:r>
        <w:rPr>
          <w:szCs w:val="32"/>
        </w:rPr>
        <w:t>经济责任审计评价范围。</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第十六条</w:t>
      </w:r>
      <w:r>
        <w:rPr>
          <w:szCs w:val="32"/>
        </w:rPr>
        <w:t xml:space="preserve"> </w:t>
      </w:r>
      <w:r>
        <w:rPr>
          <w:szCs w:val="32"/>
        </w:rPr>
        <w:t>发改、建设、财政等部门</w:t>
      </w:r>
      <w:r>
        <w:rPr>
          <w:rFonts w:hint="eastAsia"/>
          <w:szCs w:val="32"/>
        </w:rPr>
        <w:t>应</w:t>
      </w:r>
      <w:r>
        <w:rPr>
          <w:rFonts w:hint="eastAsia"/>
          <w:szCs w:val="32"/>
        </w:rPr>
        <w:t>加强与</w:t>
      </w:r>
      <w:r>
        <w:rPr>
          <w:szCs w:val="32"/>
        </w:rPr>
        <w:t>审计</w:t>
      </w:r>
      <w:r>
        <w:rPr>
          <w:rFonts w:hint="eastAsia"/>
          <w:szCs w:val="32"/>
        </w:rPr>
        <w:t>部门的</w:t>
      </w:r>
      <w:r>
        <w:rPr>
          <w:szCs w:val="32"/>
        </w:rPr>
        <w:t>协同配合</w:t>
      </w:r>
      <w:r>
        <w:rPr>
          <w:rFonts w:hint="eastAsia"/>
          <w:szCs w:val="32"/>
        </w:rPr>
        <w:t>，</w:t>
      </w:r>
      <w:r>
        <w:rPr>
          <w:szCs w:val="32"/>
        </w:rPr>
        <w:t>纪检监察、</w:t>
      </w:r>
      <w:r>
        <w:rPr>
          <w:rFonts w:hint="eastAsia"/>
          <w:szCs w:val="32"/>
        </w:rPr>
        <w:t>组织、</w:t>
      </w:r>
      <w:r>
        <w:rPr>
          <w:szCs w:val="32"/>
        </w:rPr>
        <w:t>巡察、检察等部门</w:t>
      </w:r>
      <w:r>
        <w:rPr>
          <w:rFonts w:hint="eastAsia"/>
          <w:szCs w:val="32"/>
        </w:rPr>
        <w:t>应</w:t>
      </w:r>
      <w:r>
        <w:rPr>
          <w:szCs w:val="32"/>
        </w:rPr>
        <w:t>加强与审计</w:t>
      </w:r>
      <w:r>
        <w:rPr>
          <w:rFonts w:hint="eastAsia"/>
          <w:szCs w:val="32"/>
        </w:rPr>
        <w:t>部门</w:t>
      </w:r>
      <w:r>
        <w:rPr>
          <w:szCs w:val="32"/>
        </w:rPr>
        <w:t>的联动，将审计发现问题纳入日常监管和巡察重点内容。</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第十七条</w:t>
      </w:r>
      <w:r>
        <w:rPr>
          <w:szCs w:val="32"/>
        </w:rPr>
        <w:t xml:space="preserve"> </w:t>
      </w:r>
      <w:r>
        <w:rPr>
          <w:szCs w:val="32"/>
        </w:rPr>
        <w:t>区审计局以综合报告或审计专</w:t>
      </w:r>
      <w:proofErr w:type="gramStart"/>
      <w:r>
        <w:rPr>
          <w:szCs w:val="32"/>
        </w:rPr>
        <w:t>报形式</w:t>
      </w:r>
      <w:proofErr w:type="gramEnd"/>
      <w:r>
        <w:rPr>
          <w:szCs w:val="32"/>
        </w:rPr>
        <w:t>向区委审计委员会</w:t>
      </w:r>
      <w:r>
        <w:rPr>
          <w:rFonts w:hint="eastAsia"/>
          <w:szCs w:val="32"/>
        </w:rPr>
        <w:t>和</w:t>
      </w:r>
      <w:r>
        <w:rPr>
          <w:szCs w:val="32"/>
        </w:rPr>
        <w:t>区政府报告全区公共工程审计监督发现的</w:t>
      </w:r>
      <w:r>
        <w:rPr>
          <w:rFonts w:hint="eastAsia"/>
          <w:szCs w:val="32"/>
        </w:rPr>
        <w:t>重大</w:t>
      </w:r>
      <w:r>
        <w:rPr>
          <w:szCs w:val="32"/>
        </w:rPr>
        <w:t>问题。主管部门、</w:t>
      </w:r>
      <w:r>
        <w:rPr>
          <w:rFonts w:hint="eastAsia"/>
          <w:szCs w:val="32"/>
        </w:rPr>
        <w:t>项目建设单位</w:t>
      </w:r>
      <w:r>
        <w:rPr>
          <w:szCs w:val="32"/>
        </w:rPr>
        <w:t>、集中建设</w:t>
      </w:r>
      <w:r>
        <w:rPr>
          <w:rFonts w:hint="eastAsia"/>
          <w:szCs w:val="32"/>
        </w:rPr>
        <w:t>使用</w:t>
      </w:r>
      <w:r>
        <w:rPr>
          <w:szCs w:val="32"/>
        </w:rPr>
        <w:t>单位</w:t>
      </w:r>
      <w:r>
        <w:rPr>
          <w:rFonts w:hint="eastAsia"/>
          <w:szCs w:val="32"/>
        </w:rPr>
        <w:t>、集中建设实施单位</w:t>
      </w:r>
      <w:r>
        <w:rPr>
          <w:szCs w:val="32"/>
        </w:rPr>
        <w:t>应当依据审计成果规范内部管理、加强风险防控；行政监管部门应当借助审计成果对违法违规行为依法</w:t>
      </w:r>
      <w:proofErr w:type="gramStart"/>
      <w:r>
        <w:rPr>
          <w:szCs w:val="32"/>
        </w:rPr>
        <w:t>作出</w:t>
      </w:r>
      <w:proofErr w:type="gramEnd"/>
      <w:r>
        <w:rPr>
          <w:szCs w:val="32"/>
        </w:rPr>
        <w:t>处理、处罚；财政部门应当充分关注审计</w:t>
      </w:r>
      <w:r>
        <w:rPr>
          <w:rFonts w:hint="eastAsia"/>
          <w:szCs w:val="32"/>
        </w:rPr>
        <w:t>成</w:t>
      </w:r>
      <w:r>
        <w:rPr>
          <w:szCs w:val="32"/>
        </w:rPr>
        <w:t>果，协同落实审计结论和备案意见。</w:t>
      </w:r>
    </w:p>
    <w:p w:rsidR="008010F4" w:rsidRDefault="008010F4">
      <w:pPr>
        <w:adjustRightInd/>
        <w:snapToGrid/>
        <w:spacing w:line="600" w:lineRule="exact"/>
        <w:ind w:firstLineChars="200" w:firstLine="640"/>
        <w:textAlignment w:val="auto"/>
        <w:rPr>
          <w:szCs w:val="32"/>
        </w:rPr>
      </w:pPr>
    </w:p>
    <w:p w:rsidR="008010F4" w:rsidRDefault="00BF0708">
      <w:pPr>
        <w:numPr>
          <w:ilvl w:val="0"/>
          <w:numId w:val="5"/>
        </w:numPr>
        <w:adjustRightInd/>
        <w:snapToGrid/>
        <w:spacing w:line="600" w:lineRule="exact"/>
        <w:jc w:val="center"/>
        <w:textAlignment w:val="auto"/>
        <w:rPr>
          <w:rFonts w:ascii="方正黑体_GBK" w:eastAsia="方正黑体_GBK" w:hAnsi="方正黑体_GBK" w:cs="方正黑体_GBK"/>
          <w:szCs w:val="32"/>
        </w:rPr>
      </w:pPr>
      <w:r>
        <w:rPr>
          <w:rFonts w:ascii="方正黑体_GBK" w:eastAsia="方正黑体_GBK" w:hAnsi="方正黑体_GBK" w:cs="方正黑体_GBK" w:hint="eastAsia"/>
          <w:szCs w:val="32"/>
        </w:rPr>
        <w:t xml:space="preserve"> </w:t>
      </w:r>
      <w:r>
        <w:rPr>
          <w:rFonts w:ascii="方正黑体_GBK" w:eastAsia="方正黑体_GBK" w:hAnsi="方正黑体_GBK" w:cs="方正黑体_GBK" w:hint="eastAsia"/>
          <w:szCs w:val="32"/>
        </w:rPr>
        <w:t>附</w:t>
      </w:r>
      <w:r>
        <w:rPr>
          <w:rFonts w:ascii="方正黑体_GBK" w:eastAsia="方正黑体_GBK" w:hAnsi="方正黑体_GBK" w:cs="方正黑体_GBK" w:hint="eastAsia"/>
          <w:szCs w:val="32"/>
        </w:rPr>
        <w:t xml:space="preserve"> </w:t>
      </w:r>
      <w:r>
        <w:rPr>
          <w:rFonts w:ascii="方正黑体_GBK" w:eastAsia="方正黑体_GBK" w:hAnsi="方正黑体_GBK" w:cs="方正黑体_GBK" w:hint="eastAsia"/>
          <w:szCs w:val="32"/>
        </w:rPr>
        <w:t>则</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第十八条</w:t>
      </w:r>
      <w:r>
        <w:rPr>
          <w:szCs w:val="32"/>
        </w:rPr>
        <w:t xml:space="preserve"> </w:t>
      </w:r>
      <w:r>
        <w:rPr>
          <w:szCs w:val="32"/>
        </w:rPr>
        <w:t>公共工程相关的勘察、设计、建设、施工、监理、招标代理、造价咨询等单位及主管部门，应当严格履行法律法规</w:t>
      </w:r>
      <w:r>
        <w:rPr>
          <w:szCs w:val="32"/>
        </w:rPr>
        <w:lastRenderedPageBreak/>
        <w:t>规定的各项业务规范及流程。违反</w:t>
      </w:r>
      <w:r>
        <w:rPr>
          <w:rFonts w:hint="eastAsia"/>
          <w:szCs w:val="32"/>
        </w:rPr>
        <w:t>相关法律法规和国家规定的，依法追究相关单位及责任人员责任</w:t>
      </w:r>
      <w:r>
        <w:rPr>
          <w:szCs w:val="32"/>
        </w:rPr>
        <w:t>。</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第十九条</w:t>
      </w:r>
      <w:r>
        <w:rPr>
          <w:szCs w:val="32"/>
        </w:rPr>
        <w:t xml:space="preserve"> </w:t>
      </w:r>
      <w:r>
        <w:rPr>
          <w:szCs w:val="32"/>
        </w:rPr>
        <w:t>本办法由区审计局负责解释。</w:t>
      </w:r>
    </w:p>
    <w:p w:rsidR="008010F4" w:rsidRDefault="00BF0708">
      <w:pPr>
        <w:adjustRightInd/>
        <w:snapToGrid/>
        <w:spacing w:line="600" w:lineRule="exact"/>
        <w:ind w:firstLineChars="200" w:firstLine="640"/>
        <w:textAlignment w:val="auto"/>
        <w:rPr>
          <w:szCs w:val="32"/>
        </w:rPr>
      </w:pPr>
      <w:r>
        <w:rPr>
          <w:rFonts w:ascii="方正楷体_GBK" w:eastAsia="方正楷体_GBK" w:hAnsi="方正楷体_GBK" w:cs="方正楷体_GBK" w:hint="eastAsia"/>
          <w:szCs w:val="32"/>
        </w:rPr>
        <w:t>第二十条</w:t>
      </w:r>
      <w:r>
        <w:rPr>
          <w:szCs w:val="32"/>
        </w:rPr>
        <w:t xml:space="preserve"> </w:t>
      </w:r>
      <w:r>
        <w:rPr>
          <w:szCs w:val="32"/>
        </w:rPr>
        <w:t>本办法自发布之日起施行。本区已有规定中</w:t>
      </w:r>
      <w:r>
        <w:rPr>
          <w:rFonts w:hint="eastAsia"/>
          <w:szCs w:val="32"/>
        </w:rPr>
        <w:t>有关内容</w:t>
      </w:r>
      <w:r>
        <w:rPr>
          <w:szCs w:val="32"/>
        </w:rPr>
        <w:t>与本办法不一致的，</w:t>
      </w:r>
      <w:r>
        <w:rPr>
          <w:rFonts w:hint="eastAsia"/>
          <w:szCs w:val="32"/>
        </w:rPr>
        <w:t>按本办法执行</w:t>
      </w:r>
      <w:r>
        <w:rPr>
          <w:szCs w:val="32"/>
        </w:rPr>
        <w:t>。</w:t>
      </w:r>
    </w:p>
    <w:p w:rsidR="008010F4" w:rsidRDefault="008010F4">
      <w:pPr>
        <w:pStyle w:val="aa"/>
        <w:spacing w:line="240" w:lineRule="auto"/>
        <w:outlineLvl w:val="9"/>
        <w:rPr>
          <w:rFonts w:hint="eastAsia"/>
          <w:sz w:val="36"/>
        </w:rPr>
      </w:pPr>
    </w:p>
    <w:p w:rsidR="009A0450" w:rsidRDefault="009A0450" w:rsidP="009A0450">
      <w:pPr>
        <w:rPr>
          <w:rFonts w:hint="eastAsia"/>
        </w:rPr>
      </w:pPr>
    </w:p>
    <w:p w:rsidR="009A0450" w:rsidRDefault="009A0450" w:rsidP="009A0450">
      <w:pPr>
        <w:rPr>
          <w:rFonts w:hint="eastAsia"/>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p w:rsidR="009A0450" w:rsidRDefault="009A0450" w:rsidP="009A0450">
      <w:pPr>
        <w:spacing w:line="560" w:lineRule="exact"/>
        <w:ind w:right="1280"/>
        <w:rPr>
          <w:rFonts w:hint="eastAsia"/>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39"/>
      </w:tblGrid>
      <w:tr w:rsidR="009A0450" w:rsidTr="007361E2">
        <w:tc>
          <w:tcPr>
            <w:tcW w:w="9039" w:type="dxa"/>
            <w:tcBorders>
              <w:left w:val="nil"/>
              <w:right w:val="nil"/>
            </w:tcBorders>
          </w:tcPr>
          <w:p w:rsidR="009A0450" w:rsidRPr="00BE394A" w:rsidRDefault="009A0450" w:rsidP="007361E2">
            <w:pPr>
              <w:spacing w:line="600" w:lineRule="exact"/>
              <w:ind w:firstLineChars="50" w:firstLine="140"/>
              <w:rPr>
                <w:sz w:val="30"/>
                <w:szCs w:val="30"/>
              </w:rPr>
            </w:pPr>
            <w:r w:rsidRPr="003801AB">
              <w:rPr>
                <w:rFonts w:hint="eastAsia"/>
                <w:sz w:val="28"/>
                <w:szCs w:val="30"/>
              </w:rPr>
              <w:t>南京市</w:t>
            </w:r>
            <w:r w:rsidRPr="003801AB">
              <w:rPr>
                <w:sz w:val="28"/>
                <w:szCs w:val="30"/>
              </w:rPr>
              <w:t>玄武区人民政府办公室</w:t>
            </w:r>
            <w:r w:rsidRPr="003801AB">
              <w:rPr>
                <w:sz w:val="28"/>
                <w:szCs w:val="30"/>
              </w:rPr>
              <w:t xml:space="preserve">      </w:t>
            </w:r>
            <w:r>
              <w:rPr>
                <w:rFonts w:hint="eastAsia"/>
                <w:sz w:val="28"/>
                <w:szCs w:val="30"/>
              </w:rPr>
              <w:t xml:space="preserve">   </w:t>
            </w:r>
            <w:r w:rsidRPr="003801AB">
              <w:rPr>
                <w:sz w:val="28"/>
                <w:szCs w:val="30"/>
              </w:rPr>
              <w:t xml:space="preserve">     </w:t>
            </w:r>
            <w:r>
              <w:rPr>
                <w:rFonts w:hint="eastAsia"/>
                <w:sz w:val="28"/>
                <w:szCs w:val="30"/>
              </w:rPr>
              <w:t xml:space="preserve"> </w:t>
            </w:r>
            <w:r w:rsidRPr="003801AB">
              <w:rPr>
                <w:sz w:val="28"/>
                <w:szCs w:val="30"/>
              </w:rPr>
              <w:t>202</w:t>
            </w:r>
            <w:r w:rsidRPr="003801AB">
              <w:rPr>
                <w:rFonts w:hint="eastAsia"/>
                <w:sz w:val="28"/>
                <w:szCs w:val="30"/>
              </w:rPr>
              <w:t>6</w:t>
            </w:r>
            <w:r w:rsidRPr="003801AB">
              <w:rPr>
                <w:sz w:val="28"/>
                <w:szCs w:val="30"/>
              </w:rPr>
              <w:t>年</w:t>
            </w:r>
            <w:r>
              <w:rPr>
                <w:rFonts w:hint="eastAsia"/>
                <w:sz w:val="28"/>
                <w:szCs w:val="30"/>
              </w:rPr>
              <w:t>8</w:t>
            </w:r>
            <w:r w:rsidRPr="003801AB">
              <w:rPr>
                <w:sz w:val="28"/>
                <w:szCs w:val="30"/>
              </w:rPr>
              <w:t>月</w:t>
            </w:r>
            <w:r>
              <w:rPr>
                <w:rFonts w:hint="eastAsia"/>
                <w:sz w:val="28"/>
                <w:szCs w:val="30"/>
              </w:rPr>
              <w:t>26</w:t>
            </w:r>
            <w:bookmarkStart w:id="1" w:name="_GoBack"/>
            <w:bookmarkEnd w:id="1"/>
            <w:r w:rsidRPr="003801AB">
              <w:rPr>
                <w:sz w:val="28"/>
                <w:szCs w:val="30"/>
              </w:rPr>
              <w:t>日印发</w:t>
            </w:r>
          </w:p>
        </w:tc>
      </w:tr>
    </w:tbl>
    <w:p w:rsidR="009A0450" w:rsidRPr="009A0450" w:rsidRDefault="009A0450" w:rsidP="009A0450"/>
    <w:sectPr w:rsidR="009A0450" w:rsidRPr="009A0450" w:rsidSect="009A0450">
      <w:footerReference w:type="even" r:id="rId10"/>
      <w:footerReference w:type="default" r:id="rId11"/>
      <w:pgSz w:w="11907" w:h="16840"/>
      <w:pgMar w:top="2098" w:right="1474" w:bottom="1985" w:left="1588" w:header="851" w:footer="1247" w:gutter="0"/>
      <w:cols w:space="0"/>
      <w:docGrid w:linePitch="45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708" w:rsidRDefault="00BF0708">
      <w:pPr>
        <w:spacing w:line="240" w:lineRule="auto"/>
      </w:pPr>
      <w:r>
        <w:separator/>
      </w:r>
    </w:p>
  </w:endnote>
  <w:endnote w:type="continuationSeparator" w:id="0">
    <w:p w:rsidR="00BF0708" w:rsidRDefault="00BF07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00007843" w:usb2="00000001" w:usb3="00000000" w:csb0="000001FF" w:csb1="00000000"/>
  </w:font>
  <w:font w:name="方正楷体_GBK">
    <w:panose1 w:val="03000509000000000000"/>
    <w:charset w:val="86"/>
    <w:family w:val="script"/>
    <w:pitch w:val="fixed"/>
    <w:sig w:usb0="00000001" w:usb1="080E0000" w:usb2="00000010" w:usb3="00000000" w:csb0="00040000" w:csb1="00000000"/>
    <w:embedRegular r:id="rId1" w:subsetted="1" w:fontKey="{912AA19E-C58C-4E3F-909D-878870B252B3}"/>
  </w:font>
  <w:font w:name="方正仿宋_GBK">
    <w:panose1 w:val="03000509000000000000"/>
    <w:charset w:val="86"/>
    <w:family w:val="script"/>
    <w:pitch w:val="fixed"/>
    <w:sig w:usb0="00000001" w:usb1="080E0000" w:usb2="00000010" w:usb3="00000000" w:csb0="00040000" w:csb1="00000000"/>
    <w:embedRegular r:id="rId2" w:subsetted="1" w:fontKey="{31A8CA4D-F55A-4451-B803-E938F06A1ECC}"/>
  </w:font>
  <w:font w:name="方正黑体_GBK">
    <w:panose1 w:val="03000509000000000000"/>
    <w:charset w:val="86"/>
    <w:family w:val="script"/>
    <w:pitch w:val="fixed"/>
    <w:sig w:usb0="00000001" w:usb1="080E0000" w:usb2="00000010" w:usb3="00000000" w:csb0="00040000" w:csb1="00000000"/>
    <w:embedRegular r:id="rId3" w:subsetted="1" w:fontKey="{37FE7A1D-4301-4D12-BA63-E0260675FC66}"/>
  </w:font>
  <w:font w:name="方正仿宋_GB18030">
    <w:altName w:val="方正仿宋_GBK"/>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_GBK">
    <w:panose1 w:val="03000509000000000000"/>
    <w:charset w:val="86"/>
    <w:family w:val="script"/>
    <w:pitch w:val="fixed"/>
    <w:sig w:usb0="00000001" w:usb1="080E0000" w:usb2="00000010" w:usb3="00000000" w:csb0="00040000" w:csb1="00000000"/>
    <w:embedRegular r:id="rId4" w:subsetted="1" w:fontKey="{B93C058A-A3CA-4253-AE6F-1EFFF20F0D33}"/>
  </w:font>
  <w:font w:name="楷体_GB2312">
    <w:panose1 w:val="02010609030101010101"/>
    <w:charset w:val="86"/>
    <w:family w:val="modern"/>
    <w:pitch w:val="fixed"/>
    <w:sig w:usb0="00000001" w:usb1="080E0000" w:usb2="00000010" w:usb3="00000000" w:csb0="00040000" w:csb1="00000000"/>
  </w:font>
  <w:font w:name="TimesNewRomanPSMT">
    <w:altName w:val="Times New Roman"/>
    <w:charset w:val="00"/>
    <w:family w:val="roman"/>
    <w:pitch w:val="default"/>
    <w:sig w:usb0="00000000" w:usb1="00000000" w:usb2="00000001" w:usb3="00000000" w:csb0="400001BF" w:csb1="DFF7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0000000000000000000"/>
    <w:charset w:val="86"/>
    <w:family w:val="roman"/>
    <w:notTrueType/>
    <w:pitch w:val="default"/>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0F4" w:rsidRDefault="00BF0708">
    <w:pPr>
      <w:framePr w:wrap="around" w:vAnchor="text" w:hAnchor="margin" w:xAlign="center" w:y="1"/>
    </w:pPr>
    <w:r>
      <w:fldChar w:fldCharType="begin"/>
    </w:r>
    <w:r>
      <w:instrText xml:space="preserve">PAGE  </w:instrText>
    </w:r>
    <w:r>
      <w:fldChar w:fldCharType="end"/>
    </w:r>
  </w:p>
  <w:p w:rsidR="008010F4" w:rsidRDefault="008010F4">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0F4" w:rsidRDefault="00BF0708">
    <w:pPr>
      <w:ind w:right="360"/>
    </w:pPr>
    <w:r>
      <w:rPr>
        <w:noProof/>
      </w:rPr>
      <mc:AlternateContent>
        <mc:Choice Requires="wps">
          <w:drawing>
            <wp:anchor distT="0" distB="0" distL="114300" distR="114300" simplePos="0" relativeHeight="251659264" behindDoc="0" locked="0" layoutInCell="1" allowOverlap="1" wp14:anchorId="516AA032" wp14:editId="02908545">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010F4" w:rsidRDefault="00BF0708">
                          <w:pPr>
                            <w:pStyle w:val="a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9A0450">
                            <w:rPr>
                              <w:noProof/>
                              <w:sz w:val="28"/>
                              <w:szCs w:val="28"/>
                            </w:rPr>
                            <w:t>7</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8010F4" w:rsidRDefault="00BF0708">
                    <w:pPr>
                      <w:pStyle w:val="a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9A0450">
                      <w:rPr>
                        <w:noProof/>
                        <w:sz w:val="28"/>
                        <w:szCs w:val="28"/>
                      </w:rPr>
                      <w:t>7</w:t>
                    </w:r>
                    <w:r>
                      <w:rPr>
                        <w:sz w:val="28"/>
                        <w:szCs w:val="28"/>
                      </w:rPr>
                      <w:fldChar w:fldCharType="end"/>
                    </w:r>
                    <w:r>
                      <w:rPr>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708" w:rsidRDefault="00BF0708">
      <w:r>
        <w:separator/>
      </w:r>
    </w:p>
  </w:footnote>
  <w:footnote w:type="continuationSeparator" w:id="0">
    <w:p w:rsidR="00BF0708" w:rsidRDefault="00BF07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D00C34"/>
    <w:multiLevelType w:val="singleLevel"/>
    <w:tmpl w:val="F1D00C34"/>
    <w:lvl w:ilvl="0">
      <w:start w:val="1"/>
      <w:numFmt w:val="chineseCounting"/>
      <w:suff w:val="space"/>
      <w:lvlText w:val="第%1章"/>
      <w:lvlJc w:val="left"/>
      <w:rPr>
        <w:rFonts w:hint="eastAsia"/>
      </w:rPr>
    </w:lvl>
  </w:abstractNum>
  <w:abstractNum w:abstractNumId="1">
    <w:nsid w:val="01AD077F"/>
    <w:multiLevelType w:val="singleLevel"/>
    <w:tmpl w:val="01AD077F"/>
    <w:lvl w:ilvl="0">
      <w:start w:val="1"/>
      <w:numFmt w:val="chineseCountingThousand"/>
      <w:pStyle w:val="2"/>
      <w:suff w:val="nothing"/>
      <w:lvlText w:val="（%1）"/>
      <w:lvlJc w:val="left"/>
      <w:pPr>
        <w:ind w:left="-44" w:firstLine="612"/>
      </w:pPr>
      <w:rPr>
        <w:rFonts w:ascii="方正楷体_GBK" w:eastAsia="方正楷体_GBK" w:hAnsi="方正楷体_GBK" w:cs="Times New Roman" w:hint="eastAsia"/>
        <w:b w:val="0"/>
        <w:bCs w:val="0"/>
        <w:i w:val="0"/>
        <w:iCs w:val="0"/>
        <w:caps w:val="0"/>
        <w:smallCaps w:val="0"/>
        <w:strike w:val="0"/>
        <w:dstrike w:val="0"/>
        <w:outline w:val="0"/>
        <w:shadow w:val="0"/>
        <w:emboss w:val="0"/>
        <w:imprint w:val="0"/>
        <w:snapToGrid w:val="0"/>
        <w:vanish w:val="0"/>
        <w:color w:val="000000"/>
        <w:spacing w:val="0"/>
        <w:position w:val="0"/>
        <w:u w:val="none"/>
        <w:vertAlign w:val="baseline"/>
        <w:lang w:val="en-US"/>
      </w:rPr>
    </w:lvl>
  </w:abstractNum>
  <w:abstractNum w:abstractNumId="2">
    <w:nsid w:val="0EC54944"/>
    <w:multiLevelType w:val="singleLevel"/>
    <w:tmpl w:val="0EC54944"/>
    <w:lvl w:ilvl="0">
      <w:start w:val="1"/>
      <w:numFmt w:val="decimal"/>
      <w:pStyle w:val="4"/>
      <w:lvlText w:val="（%1）"/>
      <w:lvlJc w:val="left"/>
      <w:pPr>
        <w:tabs>
          <w:tab w:val="left" w:pos="800"/>
        </w:tabs>
        <w:ind w:left="0" w:firstLine="646"/>
      </w:pPr>
      <w:rPr>
        <w:rFonts w:ascii="Times New Roman" w:eastAsia="方正仿宋_GBK" w:hAnsi="Times New Roman" w:cs="Times New Roman" w:hint="default"/>
        <w:b w:val="0"/>
        <w:bCs w:val="0"/>
        <w:i w:val="0"/>
        <w:iCs w:val="0"/>
        <w:caps w:val="0"/>
        <w:smallCaps w:val="0"/>
        <w:strike w:val="0"/>
        <w:dstrike w:val="0"/>
        <w:outline w:val="0"/>
        <w:shadow w:val="0"/>
        <w:emboss w:val="0"/>
        <w:imprint w:val="0"/>
        <w:snapToGrid w:val="0"/>
        <w:vanish w:val="0"/>
        <w:color w:val="000000"/>
        <w:spacing w:val="0"/>
        <w:position w:val="0"/>
        <w:u w:val="none"/>
        <w:vertAlign w:val="baseline"/>
      </w:rPr>
    </w:lvl>
  </w:abstractNum>
  <w:abstractNum w:abstractNumId="3">
    <w:nsid w:val="56BA7428"/>
    <w:multiLevelType w:val="multilevel"/>
    <w:tmpl w:val="56BA7428"/>
    <w:lvl w:ilvl="0">
      <w:start w:val="1"/>
      <w:numFmt w:val="chineseCountingThousand"/>
      <w:pStyle w:val="mw"/>
      <w:suff w:val="nothing"/>
      <w:lvlText w:val="（%1）"/>
      <w:lvlJc w:val="left"/>
      <w:pPr>
        <w:ind w:left="400" w:firstLine="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4">
    <w:nsid w:val="68956DC5"/>
    <w:multiLevelType w:val="multilevel"/>
    <w:tmpl w:val="68956DC5"/>
    <w:lvl w:ilvl="0">
      <w:start w:val="1"/>
      <w:numFmt w:val="decimal"/>
      <w:pStyle w:val="3"/>
      <w:lvlText w:val="%1．"/>
      <w:lvlJc w:val="left"/>
      <w:pPr>
        <w:tabs>
          <w:tab w:val="left" w:pos="0"/>
        </w:tabs>
        <w:ind w:left="8784" w:hanging="420"/>
      </w:pPr>
      <w:rPr>
        <w:rFonts w:ascii="Times New Roman" w:eastAsia="方正仿宋_GBK" w:hAnsi="Times New Roman" w:hint="default"/>
      </w:rPr>
    </w:lvl>
    <w:lvl w:ilvl="1">
      <w:start w:val="1"/>
      <w:numFmt w:val="lowerLetter"/>
      <w:lvlText w:val="%2)"/>
      <w:lvlJc w:val="left"/>
      <w:pPr>
        <w:tabs>
          <w:tab w:val="left" w:pos="8558"/>
        </w:tabs>
        <w:ind w:left="8558" w:hanging="420"/>
      </w:pPr>
    </w:lvl>
    <w:lvl w:ilvl="2">
      <w:start w:val="1"/>
      <w:numFmt w:val="lowerRoman"/>
      <w:lvlText w:val="%3."/>
      <w:lvlJc w:val="right"/>
      <w:pPr>
        <w:tabs>
          <w:tab w:val="left" w:pos="8978"/>
        </w:tabs>
        <w:ind w:left="8978" w:hanging="420"/>
      </w:pPr>
    </w:lvl>
    <w:lvl w:ilvl="3">
      <w:start w:val="1"/>
      <w:numFmt w:val="decimal"/>
      <w:lvlText w:val="%4."/>
      <w:lvlJc w:val="left"/>
      <w:pPr>
        <w:tabs>
          <w:tab w:val="left" w:pos="9398"/>
        </w:tabs>
        <w:ind w:left="9398" w:hanging="420"/>
      </w:pPr>
    </w:lvl>
    <w:lvl w:ilvl="4">
      <w:start w:val="1"/>
      <w:numFmt w:val="lowerLetter"/>
      <w:lvlText w:val="%5)"/>
      <w:lvlJc w:val="left"/>
      <w:pPr>
        <w:tabs>
          <w:tab w:val="left" w:pos="9818"/>
        </w:tabs>
        <w:ind w:left="9818" w:hanging="420"/>
      </w:pPr>
    </w:lvl>
    <w:lvl w:ilvl="5">
      <w:start w:val="1"/>
      <w:numFmt w:val="lowerRoman"/>
      <w:lvlText w:val="%6."/>
      <w:lvlJc w:val="right"/>
      <w:pPr>
        <w:tabs>
          <w:tab w:val="left" w:pos="10238"/>
        </w:tabs>
        <w:ind w:left="10238" w:hanging="420"/>
      </w:pPr>
    </w:lvl>
    <w:lvl w:ilvl="6">
      <w:start w:val="1"/>
      <w:numFmt w:val="decimal"/>
      <w:lvlText w:val="%7."/>
      <w:lvlJc w:val="left"/>
      <w:pPr>
        <w:tabs>
          <w:tab w:val="left" w:pos="10658"/>
        </w:tabs>
        <w:ind w:left="10658" w:hanging="420"/>
      </w:pPr>
    </w:lvl>
    <w:lvl w:ilvl="7">
      <w:start w:val="1"/>
      <w:numFmt w:val="lowerLetter"/>
      <w:lvlText w:val="%8)"/>
      <w:lvlJc w:val="left"/>
      <w:pPr>
        <w:tabs>
          <w:tab w:val="left" w:pos="11078"/>
        </w:tabs>
        <w:ind w:left="11078" w:hanging="420"/>
      </w:pPr>
    </w:lvl>
    <w:lvl w:ilvl="8">
      <w:start w:val="1"/>
      <w:numFmt w:val="lowerRoman"/>
      <w:lvlText w:val="%9."/>
      <w:lvlJc w:val="right"/>
      <w:pPr>
        <w:tabs>
          <w:tab w:val="left" w:pos="11498"/>
        </w:tabs>
        <w:ind w:left="11498" w:hanging="42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TrueTypeFonts/>
  <w:saveSubsetFonts/>
  <w:bordersDoNotSurroundHeader/>
  <w:bordersDoNotSurroundFooter/>
  <w:hideGrammaticalErrors/>
  <w:proofState w:spelling="clean" w:grammar="clean"/>
  <w:doNotTrackMoves/>
  <w:defaultTabStop w:val="420"/>
  <w:drawingGridHorizontalSpacing w:val="201"/>
  <w:drawingGridVerticalSpacing w:val="455"/>
  <w:displayHorizontalDrawingGridEvery w:val="0"/>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1F0"/>
    <w:rsid w:val="9FFFF124"/>
    <w:rsid w:val="EDF7540A"/>
    <w:rsid w:val="F5E79736"/>
    <w:rsid w:val="FB978E96"/>
    <w:rsid w:val="FBEF5276"/>
    <w:rsid w:val="FF6F3906"/>
    <w:rsid w:val="FF9E3441"/>
    <w:rsid w:val="FFFCC008"/>
    <w:rsid w:val="00013DCD"/>
    <w:rsid w:val="00015809"/>
    <w:rsid w:val="00022D5A"/>
    <w:rsid w:val="000326C2"/>
    <w:rsid w:val="00047B51"/>
    <w:rsid w:val="00051CB3"/>
    <w:rsid w:val="0007029A"/>
    <w:rsid w:val="00080228"/>
    <w:rsid w:val="000803F7"/>
    <w:rsid w:val="00094305"/>
    <w:rsid w:val="00097C2E"/>
    <w:rsid w:val="000B4ADB"/>
    <w:rsid w:val="000E3D61"/>
    <w:rsid w:val="000F2B6C"/>
    <w:rsid w:val="0010533A"/>
    <w:rsid w:val="001129D5"/>
    <w:rsid w:val="00116FB4"/>
    <w:rsid w:val="00135F68"/>
    <w:rsid w:val="00143E28"/>
    <w:rsid w:val="0015529C"/>
    <w:rsid w:val="00157A62"/>
    <w:rsid w:val="00160CFA"/>
    <w:rsid w:val="001635E7"/>
    <w:rsid w:val="00167AF8"/>
    <w:rsid w:val="001953BA"/>
    <w:rsid w:val="001C1EC6"/>
    <w:rsid w:val="001D078A"/>
    <w:rsid w:val="001D6C9E"/>
    <w:rsid w:val="001E0708"/>
    <w:rsid w:val="001F1C50"/>
    <w:rsid w:val="00213A72"/>
    <w:rsid w:val="00235123"/>
    <w:rsid w:val="00240FAA"/>
    <w:rsid w:val="00250469"/>
    <w:rsid w:val="0026174C"/>
    <w:rsid w:val="00261AF8"/>
    <w:rsid w:val="00266335"/>
    <w:rsid w:val="00283484"/>
    <w:rsid w:val="002A00E7"/>
    <w:rsid w:val="002A7748"/>
    <w:rsid w:val="002B3DF1"/>
    <w:rsid w:val="002C2E77"/>
    <w:rsid w:val="002C32D2"/>
    <w:rsid w:val="002C409A"/>
    <w:rsid w:val="002E5215"/>
    <w:rsid w:val="002E7B68"/>
    <w:rsid w:val="002F630C"/>
    <w:rsid w:val="00301116"/>
    <w:rsid w:val="00303773"/>
    <w:rsid w:val="00306DE9"/>
    <w:rsid w:val="00307B09"/>
    <w:rsid w:val="0032484A"/>
    <w:rsid w:val="0032544E"/>
    <w:rsid w:val="00326802"/>
    <w:rsid w:val="0032734D"/>
    <w:rsid w:val="00350172"/>
    <w:rsid w:val="0037436B"/>
    <w:rsid w:val="003808A3"/>
    <w:rsid w:val="00394B56"/>
    <w:rsid w:val="003A0EA2"/>
    <w:rsid w:val="003A6A40"/>
    <w:rsid w:val="003D65AC"/>
    <w:rsid w:val="003E74E1"/>
    <w:rsid w:val="004146C2"/>
    <w:rsid w:val="004207C4"/>
    <w:rsid w:val="0043102B"/>
    <w:rsid w:val="00433513"/>
    <w:rsid w:val="004427E7"/>
    <w:rsid w:val="004500C6"/>
    <w:rsid w:val="00451A08"/>
    <w:rsid w:val="00480E13"/>
    <w:rsid w:val="004B0246"/>
    <w:rsid w:val="004C3795"/>
    <w:rsid w:val="004C5C4D"/>
    <w:rsid w:val="004D347A"/>
    <w:rsid w:val="00521D63"/>
    <w:rsid w:val="0053263F"/>
    <w:rsid w:val="0053496D"/>
    <w:rsid w:val="00545289"/>
    <w:rsid w:val="00582164"/>
    <w:rsid w:val="005B1302"/>
    <w:rsid w:val="005B2414"/>
    <w:rsid w:val="005B369A"/>
    <w:rsid w:val="005C234C"/>
    <w:rsid w:val="005C63AC"/>
    <w:rsid w:val="005D14EB"/>
    <w:rsid w:val="005E1DB4"/>
    <w:rsid w:val="005E5AE8"/>
    <w:rsid w:val="005E70F8"/>
    <w:rsid w:val="0060020F"/>
    <w:rsid w:val="00601246"/>
    <w:rsid w:val="00606481"/>
    <w:rsid w:val="00611EA8"/>
    <w:rsid w:val="006211C6"/>
    <w:rsid w:val="0063247F"/>
    <w:rsid w:val="00644152"/>
    <w:rsid w:val="0064551A"/>
    <w:rsid w:val="006501B8"/>
    <w:rsid w:val="00651FFA"/>
    <w:rsid w:val="00662B57"/>
    <w:rsid w:val="00666DD8"/>
    <w:rsid w:val="00670A05"/>
    <w:rsid w:val="006A2C84"/>
    <w:rsid w:val="006D13CA"/>
    <w:rsid w:val="006D7B46"/>
    <w:rsid w:val="006E1C35"/>
    <w:rsid w:val="006F4520"/>
    <w:rsid w:val="00726F54"/>
    <w:rsid w:val="0074569B"/>
    <w:rsid w:val="00762208"/>
    <w:rsid w:val="007A040A"/>
    <w:rsid w:val="007D4F77"/>
    <w:rsid w:val="007F7A36"/>
    <w:rsid w:val="008010F4"/>
    <w:rsid w:val="00805A18"/>
    <w:rsid w:val="00810790"/>
    <w:rsid w:val="00821B7A"/>
    <w:rsid w:val="00826E88"/>
    <w:rsid w:val="0083069B"/>
    <w:rsid w:val="0083342D"/>
    <w:rsid w:val="008512A5"/>
    <w:rsid w:val="008669CD"/>
    <w:rsid w:val="00866B0C"/>
    <w:rsid w:val="008708F9"/>
    <w:rsid w:val="00871D38"/>
    <w:rsid w:val="00881127"/>
    <w:rsid w:val="00885313"/>
    <w:rsid w:val="00896136"/>
    <w:rsid w:val="008A1B0E"/>
    <w:rsid w:val="008B2C05"/>
    <w:rsid w:val="008B2C2D"/>
    <w:rsid w:val="008C6572"/>
    <w:rsid w:val="008E6ADA"/>
    <w:rsid w:val="008E7BF8"/>
    <w:rsid w:val="008F4710"/>
    <w:rsid w:val="00904820"/>
    <w:rsid w:val="00910EDF"/>
    <w:rsid w:val="009117FB"/>
    <w:rsid w:val="00915F65"/>
    <w:rsid w:val="00934CFC"/>
    <w:rsid w:val="00937245"/>
    <w:rsid w:val="00944C88"/>
    <w:rsid w:val="009534F2"/>
    <w:rsid w:val="009674DA"/>
    <w:rsid w:val="009811D1"/>
    <w:rsid w:val="009A0450"/>
    <w:rsid w:val="009A4CD3"/>
    <w:rsid w:val="009B4CFC"/>
    <w:rsid w:val="009B5DA8"/>
    <w:rsid w:val="009C58D9"/>
    <w:rsid w:val="009E1F8D"/>
    <w:rsid w:val="009F01BF"/>
    <w:rsid w:val="009F2D42"/>
    <w:rsid w:val="00A02C4F"/>
    <w:rsid w:val="00A26928"/>
    <w:rsid w:val="00A35425"/>
    <w:rsid w:val="00A41B10"/>
    <w:rsid w:val="00A50A97"/>
    <w:rsid w:val="00A57FDC"/>
    <w:rsid w:val="00A778AC"/>
    <w:rsid w:val="00A80887"/>
    <w:rsid w:val="00AA2BFF"/>
    <w:rsid w:val="00AB5F19"/>
    <w:rsid w:val="00AD15ED"/>
    <w:rsid w:val="00AD2E09"/>
    <w:rsid w:val="00AD60C5"/>
    <w:rsid w:val="00AE708F"/>
    <w:rsid w:val="00B01782"/>
    <w:rsid w:val="00B01DC2"/>
    <w:rsid w:val="00B05B9E"/>
    <w:rsid w:val="00B2205C"/>
    <w:rsid w:val="00B22C54"/>
    <w:rsid w:val="00B47536"/>
    <w:rsid w:val="00B5360F"/>
    <w:rsid w:val="00B65872"/>
    <w:rsid w:val="00B6791E"/>
    <w:rsid w:val="00B704F4"/>
    <w:rsid w:val="00B778F2"/>
    <w:rsid w:val="00B8284D"/>
    <w:rsid w:val="00B82ED4"/>
    <w:rsid w:val="00B86E57"/>
    <w:rsid w:val="00B90E44"/>
    <w:rsid w:val="00B95B33"/>
    <w:rsid w:val="00BB3293"/>
    <w:rsid w:val="00BC4774"/>
    <w:rsid w:val="00BF0708"/>
    <w:rsid w:val="00BF2665"/>
    <w:rsid w:val="00BF5A8E"/>
    <w:rsid w:val="00BF7455"/>
    <w:rsid w:val="00C00420"/>
    <w:rsid w:val="00C10253"/>
    <w:rsid w:val="00C20F19"/>
    <w:rsid w:val="00C27973"/>
    <w:rsid w:val="00C332F5"/>
    <w:rsid w:val="00C348BA"/>
    <w:rsid w:val="00C5016E"/>
    <w:rsid w:val="00C53FA9"/>
    <w:rsid w:val="00C6242C"/>
    <w:rsid w:val="00C80A9E"/>
    <w:rsid w:val="00C80E34"/>
    <w:rsid w:val="00C91C98"/>
    <w:rsid w:val="00CA2EF4"/>
    <w:rsid w:val="00CC026A"/>
    <w:rsid w:val="00CD555E"/>
    <w:rsid w:val="00D03854"/>
    <w:rsid w:val="00D07D83"/>
    <w:rsid w:val="00D16686"/>
    <w:rsid w:val="00D2204E"/>
    <w:rsid w:val="00D23749"/>
    <w:rsid w:val="00D25755"/>
    <w:rsid w:val="00D563B1"/>
    <w:rsid w:val="00D73277"/>
    <w:rsid w:val="00D81D13"/>
    <w:rsid w:val="00D83286"/>
    <w:rsid w:val="00D879AF"/>
    <w:rsid w:val="00D948B7"/>
    <w:rsid w:val="00DB248C"/>
    <w:rsid w:val="00DE78B3"/>
    <w:rsid w:val="00DF2250"/>
    <w:rsid w:val="00DF41F0"/>
    <w:rsid w:val="00E06C43"/>
    <w:rsid w:val="00E06D37"/>
    <w:rsid w:val="00E43DA4"/>
    <w:rsid w:val="00E51683"/>
    <w:rsid w:val="00E52ACE"/>
    <w:rsid w:val="00E53D5C"/>
    <w:rsid w:val="00E73A83"/>
    <w:rsid w:val="00E824EE"/>
    <w:rsid w:val="00E84685"/>
    <w:rsid w:val="00E84D84"/>
    <w:rsid w:val="00E85970"/>
    <w:rsid w:val="00EA4AF1"/>
    <w:rsid w:val="00EA67F2"/>
    <w:rsid w:val="00ED2A37"/>
    <w:rsid w:val="00ED6EA7"/>
    <w:rsid w:val="00EE4273"/>
    <w:rsid w:val="00EE6516"/>
    <w:rsid w:val="00EF4994"/>
    <w:rsid w:val="00F0300B"/>
    <w:rsid w:val="00F13358"/>
    <w:rsid w:val="00F16C2C"/>
    <w:rsid w:val="00F23516"/>
    <w:rsid w:val="00F25781"/>
    <w:rsid w:val="00F504F7"/>
    <w:rsid w:val="00F6373F"/>
    <w:rsid w:val="00F6548F"/>
    <w:rsid w:val="00FA3211"/>
    <w:rsid w:val="00FB326B"/>
    <w:rsid w:val="00FC1EE8"/>
    <w:rsid w:val="00FD524E"/>
    <w:rsid w:val="00FD5A48"/>
    <w:rsid w:val="00FD60DC"/>
    <w:rsid w:val="00FE114A"/>
    <w:rsid w:val="00FE2432"/>
    <w:rsid w:val="01633E9B"/>
    <w:rsid w:val="02572285"/>
    <w:rsid w:val="04043713"/>
    <w:rsid w:val="05524952"/>
    <w:rsid w:val="059A18ED"/>
    <w:rsid w:val="068B1EC9"/>
    <w:rsid w:val="08710894"/>
    <w:rsid w:val="0AEF5CC1"/>
    <w:rsid w:val="0B574A70"/>
    <w:rsid w:val="0C6163FF"/>
    <w:rsid w:val="0CDA7707"/>
    <w:rsid w:val="0DF021C5"/>
    <w:rsid w:val="10AD5132"/>
    <w:rsid w:val="11DA0FA7"/>
    <w:rsid w:val="138A52B7"/>
    <w:rsid w:val="13AC16D1"/>
    <w:rsid w:val="13B226AB"/>
    <w:rsid w:val="1835515B"/>
    <w:rsid w:val="1B446693"/>
    <w:rsid w:val="1BE74573"/>
    <w:rsid w:val="1D0F659E"/>
    <w:rsid w:val="1DAA6C81"/>
    <w:rsid w:val="1F004588"/>
    <w:rsid w:val="229B41DA"/>
    <w:rsid w:val="22B91715"/>
    <w:rsid w:val="22BB723B"/>
    <w:rsid w:val="22D12F02"/>
    <w:rsid w:val="23151041"/>
    <w:rsid w:val="253357AE"/>
    <w:rsid w:val="25B6018D"/>
    <w:rsid w:val="27BB1A8B"/>
    <w:rsid w:val="29FB0865"/>
    <w:rsid w:val="2D7921CC"/>
    <w:rsid w:val="2DE55AB4"/>
    <w:rsid w:val="313C3C3D"/>
    <w:rsid w:val="31833619"/>
    <w:rsid w:val="329A50BF"/>
    <w:rsid w:val="341B222F"/>
    <w:rsid w:val="35335357"/>
    <w:rsid w:val="35D07049"/>
    <w:rsid w:val="35DA1C76"/>
    <w:rsid w:val="36BD75CE"/>
    <w:rsid w:val="36D63C8A"/>
    <w:rsid w:val="37DBA209"/>
    <w:rsid w:val="382611A3"/>
    <w:rsid w:val="385775AE"/>
    <w:rsid w:val="38926838"/>
    <w:rsid w:val="3A5133C8"/>
    <w:rsid w:val="3AE74C19"/>
    <w:rsid w:val="3BA1126C"/>
    <w:rsid w:val="3C242481"/>
    <w:rsid w:val="3C2D2B00"/>
    <w:rsid w:val="3CC82828"/>
    <w:rsid w:val="3DEE5D45"/>
    <w:rsid w:val="3F7F7B6D"/>
    <w:rsid w:val="4427252A"/>
    <w:rsid w:val="44587486"/>
    <w:rsid w:val="44B32772"/>
    <w:rsid w:val="4638673C"/>
    <w:rsid w:val="4691012F"/>
    <w:rsid w:val="49301E81"/>
    <w:rsid w:val="49521DF7"/>
    <w:rsid w:val="4A227A1C"/>
    <w:rsid w:val="4C9B3AB5"/>
    <w:rsid w:val="4E1C6E78"/>
    <w:rsid w:val="4FCA3781"/>
    <w:rsid w:val="503E6C32"/>
    <w:rsid w:val="52742DDF"/>
    <w:rsid w:val="5536081F"/>
    <w:rsid w:val="59CD09AD"/>
    <w:rsid w:val="59F36CDF"/>
    <w:rsid w:val="5A6840EA"/>
    <w:rsid w:val="5BEFE53A"/>
    <w:rsid w:val="5DC0337C"/>
    <w:rsid w:val="610712C2"/>
    <w:rsid w:val="61C6532F"/>
    <w:rsid w:val="63424833"/>
    <w:rsid w:val="63442359"/>
    <w:rsid w:val="655719E7"/>
    <w:rsid w:val="66815672"/>
    <w:rsid w:val="668A09CB"/>
    <w:rsid w:val="6B2F35E8"/>
    <w:rsid w:val="6DD93FE6"/>
    <w:rsid w:val="6DE2733E"/>
    <w:rsid w:val="70FC24C5"/>
    <w:rsid w:val="716A4DBB"/>
    <w:rsid w:val="73A66718"/>
    <w:rsid w:val="75A86778"/>
    <w:rsid w:val="77FD56A8"/>
    <w:rsid w:val="78C23FF4"/>
    <w:rsid w:val="7A044199"/>
    <w:rsid w:val="7A4B0019"/>
    <w:rsid w:val="7B6475E5"/>
    <w:rsid w:val="7B690757"/>
    <w:rsid w:val="7C2A13BB"/>
    <w:rsid w:val="7C7A6994"/>
    <w:rsid w:val="7F17E3FC"/>
    <w:rsid w:val="7F1B65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方正仿宋_GBK"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uiPriority="1" w:unhideWhenUsed="0" w:qFormat="1"/>
    <w:lsdException w:name="Subtitle" w:semiHidden="0" w:uiPriority="11" w:unhideWhenUsed="0" w:qFormat="1"/>
    <w:lsdException w:name="Dat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semiHidden="0" w:uiPriority="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djustRightInd w:val="0"/>
      <w:snapToGrid w:val="0"/>
      <w:spacing w:line="300" w:lineRule="auto"/>
      <w:jc w:val="both"/>
      <w:textAlignment w:val="baseline"/>
    </w:pPr>
    <w:rPr>
      <w:snapToGrid w:val="0"/>
      <w:kern w:val="32"/>
      <w:sz w:val="32"/>
    </w:rPr>
  </w:style>
  <w:style w:type="paragraph" w:styleId="1">
    <w:name w:val="heading 1"/>
    <w:basedOn w:val="a"/>
    <w:next w:val="a0"/>
    <w:uiPriority w:val="1"/>
    <w:qFormat/>
    <w:pPr>
      <w:tabs>
        <w:tab w:val="left" w:pos="1302"/>
      </w:tabs>
      <w:textAlignment w:val="auto"/>
      <w:outlineLvl w:val="0"/>
    </w:pPr>
    <w:rPr>
      <w:rFonts w:eastAsia="方正黑体_GBK"/>
    </w:rPr>
  </w:style>
  <w:style w:type="paragraph" w:styleId="2">
    <w:name w:val="heading 2"/>
    <w:basedOn w:val="a"/>
    <w:next w:val="a0"/>
    <w:link w:val="2Char"/>
    <w:qFormat/>
    <w:pPr>
      <w:numPr>
        <w:numId w:val="1"/>
      </w:numPr>
      <w:tabs>
        <w:tab w:val="left" w:pos="1624"/>
      </w:tabs>
      <w:outlineLvl w:val="1"/>
    </w:pPr>
    <w:rPr>
      <w:rFonts w:ascii="方正仿宋_GB18030" w:eastAsia="方正楷体_GBK" w:hAnsi="方正仿宋_GB18030" w:cs="方正仿宋_GB18030"/>
      <w:szCs w:val="32"/>
    </w:rPr>
  </w:style>
  <w:style w:type="paragraph" w:styleId="3">
    <w:name w:val="heading 3"/>
    <w:basedOn w:val="a"/>
    <w:next w:val="a0"/>
    <w:qFormat/>
    <w:pPr>
      <w:numPr>
        <w:numId w:val="2"/>
      </w:numPr>
      <w:tabs>
        <w:tab w:val="left" w:pos="1134"/>
      </w:tabs>
      <w:ind w:left="0" w:firstLineChars="200" w:firstLine="200"/>
      <w:outlineLvl w:val="2"/>
    </w:pPr>
  </w:style>
  <w:style w:type="paragraph" w:styleId="4">
    <w:name w:val="heading 4"/>
    <w:basedOn w:val="a"/>
    <w:next w:val="a0"/>
    <w:qFormat/>
    <w:pPr>
      <w:numPr>
        <w:numId w:val="3"/>
      </w:numPr>
      <w:tabs>
        <w:tab w:val="clear" w:pos="800"/>
        <w:tab w:val="left" w:pos="1456"/>
      </w:tabs>
      <w:ind w:firstLineChars="200" w:firstLine="200"/>
      <w:outlineLvl w:val="3"/>
    </w:pPr>
    <w:rPr>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1"/>
    <w:qFormat/>
    <w:pPr>
      <w:ind w:firstLineChars="200" w:firstLine="200"/>
    </w:pPr>
  </w:style>
  <w:style w:type="paragraph" w:styleId="a4">
    <w:name w:val="annotation text"/>
    <w:basedOn w:val="a"/>
    <w:qFormat/>
    <w:pPr>
      <w:adjustRightInd/>
      <w:snapToGrid/>
      <w:spacing w:line="240" w:lineRule="auto"/>
      <w:jc w:val="left"/>
      <w:textAlignment w:val="auto"/>
    </w:pPr>
    <w:rPr>
      <w:rFonts w:ascii="Calibri" w:eastAsia="宋体" w:hAnsi="Calibri" w:cs="Calibri"/>
      <w:snapToGrid/>
      <w:kern w:val="2"/>
      <w:sz w:val="21"/>
      <w:szCs w:val="21"/>
    </w:rPr>
  </w:style>
  <w:style w:type="paragraph" w:styleId="a5">
    <w:name w:val="Date"/>
    <w:basedOn w:val="a"/>
    <w:next w:val="a"/>
    <w:qFormat/>
    <w:pPr>
      <w:ind w:leftChars="2500" w:left="2500"/>
    </w:pPr>
  </w:style>
  <w:style w:type="paragraph" w:styleId="a6">
    <w:name w:val="Balloon Text"/>
    <w:basedOn w:val="a"/>
    <w:qFormat/>
    <w:pPr>
      <w:spacing w:line="240" w:lineRule="auto"/>
    </w:pPr>
    <w:rPr>
      <w:sz w:val="18"/>
      <w:szCs w:val="18"/>
    </w:rPr>
  </w:style>
  <w:style w:type="paragraph" w:styleId="a7">
    <w:name w:val="footer"/>
    <w:basedOn w:val="a"/>
    <w:link w:val="Char"/>
    <w:qFormat/>
    <w:pPr>
      <w:tabs>
        <w:tab w:val="center" w:pos="4153"/>
        <w:tab w:val="right" w:pos="8306"/>
      </w:tabs>
      <w:spacing w:line="240" w:lineRule="auto"/>
      <w:jc w:val="left"/>
    </w:pPr>
    <w:rPr>
      <w:sz w:val="18"/>
      <w:szCs w:val="18"/>
    </w:rPr>
  </w:style>
  <w:style w:type="paragraph" w:styleId="a8">
    <w:name w:val="header"/>
    <w:basedOn w:val="a"/>
    <w:qFormat/>
    <w:pPr>
      <w:tabs>
        <w:tab w:val="center" w:pos="4153"/>
        <w:tab w:val="right" w:pos="8306"/>
      </w:tabs>
      <w:spacing w:line="240" w:lineRule="auto"/>
      <w:jc w:val="center"/>
    </w:pPr>
    <w:rPr>
      <w:sz w:val="18"/>
      <w:szCs w:val="18"/>
    </w:rPr>
  </w:style>
  <w:style w:type="paragraph" w:styleId="10">
    <w:name w:val="toc 1"/>
    <w:basedOn w:val="a"/>
    <w:next w:val="a"/>
    <w:autoRedefine/>
    <w:qFormat/>
  </w:style>
  <w:style w:type="paragraph" w:styleId="20">
    <w:name w:val="toc 2"/>
    <w:basedOn w:val="a"/>
    <w:next w:val="a"/>
    <w:autoRedefine/>
    <w:qFormat/>
    <w:pPr>
      <w:ind w:leftChars="200" w:left="200"/>
    </w:pPr>
  </w:style>
  <w:style w:type="paragraph" w:styleId="a9">
    <w:name w:val="Normal (Web)"/>
    <w:basedOn w:val="a"/>
    <w:unhideWhenUsed/>
    <w:qFormat/>
    <w:pPr>
      <w:widowControl/>
      <w:adjustRightInd/>
      <w:snapToGrid/>
      <w:spacing w:before="100" w:beforeAutospacing="1" w:after="100" w:afterAutospacing="1" w:line="240" w:lineRule="auto"/>
      <w:jc w:val="left"/>
      <w:textAlignment w:val="auto"/>
    </w:pPr>
    <w:rPr>
      <w:rFonts w:ascii="宋体" w:eastAsia="宋体" w:hAnsi="宋体" w:cs="宋体"/>
      <w:snapToGrid/>
      <w:kern w:val="0"/>
      <w:sz w:val="24"/>
      <w:szCs w:val="24"/>
    </w:rPr>
  </w:style>
  <w:style w:type="paragraph" w:styleId="aa">
    <w:name w:val="Title"/>
    <w:basedOn w:val="a"/>
    <w:next w:val="a"/>
    <w:link w:val="Char0"/>
    <w:qFormat/>
    <w:pPr>
      <w:jc w:val="center"/>
      <w:outlineLvl w:val="0"/>
    </w:pPr>
    <w:rPr>
      <w:rFonts w:eastAsia="方正小标宋_GBK"/>
      <w:sz w:val="44"/>
    </w:rPr>
  </w:style>
  <w:style w:type="character" w:styleId="ab">
    <w:name w:val="page number"/>
    <w:qFormat/>
    <w:rPr>
      <w:rFonts w:eastAsia="Times New Roman"/>
      <w:sz w:val="28"/>
      <w:szCs w:val="28"/>
    </w:rPr>
  </w:style>
  <w:style w:type="character" w:styleId="ac">
    <w:name w:val="Hyperlink"/>
    <w:qFormat/>
    <w:rPr>
      <w:color w:val="0563C1"/>
      <w:u w:val="single"/>
    </w:rPr>
  </w:style>
  <w:style w:type="character" w:styleId="ad">
    <w:name w:val="annotation reference"/>
    <w:uiPriority w:val="99"/>
    <w:semiHidden/>
    <w:unhideWhenUsed/>
    <w:qFormat/>
    <w:rPr>
      <w:sz w:val="21"/>
      <w:szCs w:val="21"/>
    </w:rPr>
  </w:style>
  <w:style w:type="paragraph" w:customStyle="1" w:styleId="ae">
    <w:name w:val="次标题"/>
    <w:basedOn w:val="aa"/>
    <w:next w:val="a"/>
    <w:qFormat/>
    <w:pPr>
      <w:spacing w:line="720" w:lineRule="auto"/>
    </w:pPr>
    <w:rPr>
      <w:rFonts w:eastAsia="楷体_GB2312"/>
      <w:sz w:val="32"/>
    </w:rPr>
  </w:style>
  <w:style w:type="paragraph" w:customStyle="1" w:styleId="af">
    <w:name w:val="落款"/>
    <w:basedOn w:val="a"/>
    <w:qFormat/>
    <w:pPr>
      <w:ind w:rightChars="400" w:right="400"/>
      <w:jc w:val="right"/>
    </w:pPr>
  </w:style>
  <w:style w:type="character" w:customStyle="1" w:styleId="11">
    <w:name w:val="未处理的提及1"/>
    <w:qFormat/>
    <w:rPr>
      <w:color w:val="605E5C"/>
      <w:shd w:val="clear" w:color="auto" w:fill="E1DFDD"/>
    </w:rPr>
  </w:style>
  <w:style w:type="character" w:customStyle="1" w:styleId="2Char">
    <w:name w:val="标题 2 Char"/>
    <w:link w:val="2"/>
    <w:qFormat/>
    <w:rPr>
      <w:rFonts w:ascii="方正仿宋_GB18030" w:eastAsia="方正楷体_GBK" w:hAnsi="方正仿宋_GB18030" w:cs="方正仿宋_GB18030"/>
      <w:snapToGrid w:val="0"/>
      <w:kern w:val="32"/>
      <w:sz w:val="32"/>
      <w:szCs w:val="32"/>
    </w:rPr>
  </w:style>
  <w:style w:type="paragraph" w:customStyle="1" w:styleId="12">
    <w:name w:val="修订1"/>
    <w:hidden/>
    <w:uiPriority w:val="99"/>
    <w:semiHidden/>
    <w:qFormat/>
    <w:rPr>
      <w:snapToGrid w:val="0"/>
      <w:kern w:val="32"/>
      <w:sz w:val="32"/>
    </w:rPr>
  </w:style>
  <w:style w:type="paragraph" w:styleId="af0">
    <w:name w:val="List Paragraph"/>
    <w:basedOn w:val="a"/>
    <w:link w:val="Char1"/>
    <w:uiPriority w:val="34"/>
    <w:qFormat/>
    <w:pPr>
      <w:autoSpaceDE w:val="0"/>
      <w:autoSpaceDN w:val="0"/>
      <w:adjustRightInd/>
      <w:snapToGrid/>
      <w:spacing w:line="240" w:lineRule="auto"/>
      <w:ind w:left="129" w:right="270" w:firstLine="640"/>
      <w:textAlignment w:val="auto"/>
    </w:pPr>
    <w:rPr>
      <w:rFonts w:ascii="方正仿宋_GBK" w:hAnsi="方正仿宋_GBK" w:cs="方正仿宋_GBK"/>
      <w:snapToGrid/>
      <w:kern w:val="0"/>
      <w:sz w:val="22"/>
      <w:szCs w:val="22"/>
    </w:rPr>
  </w:style>
  <w:style w:type="character" w:customStyle="1" w:styleId="fontstyle01">
    <w:name w:val="fontstyle01"/>
    <w:qFormat/>
    <w:rPr>
      <w:rFonts w:ascii="方正仿宋_GBK" w:eastAsia="方正仿宋_GBK" w:hint="eastAsia"/>
      <w:color w:val="000000"/>
      <w:sz w:val="32"/>
      <w:szCs w:val="32"/>
    </w:rPr>
  </w:style>
  <w:style w:type="character" w:customStyle="1" w:styleId="fontstyle11">
    <w:name w:val="fontstyle11"/>
    <w:qFormat/>
    <w:rPr>
      <w:rFonts w:ascii="TimesNewRomanPSMT" w:hAnsi="TimesNewRomanPSMT" w:hint="default"/>
      <w:color w:val="000000"/>
      <w:sz w:val="32"/>
      <w:szCs w:val="32"/>
    </w:rPr>
  </w:style>
  <w:style w:type="paragraph" w:customStyle="1" w:styleId="mw">
    <w:name w:val="mw（一）"/>
    <w:basedOn w:val="af0"/>
    <w:next w:val="a"/>
    <w:qFormat/>
    <w:pPr>
      <w:numPr>
        <w:numId w:val="4"/>
      </w:numPr>
      <w:autoSpaceDE/>
      <w:autoSpaceDN/>
      <w:adjustRightInd w:val="0"/>
      <w:snapToGrid w:val="0"/>
      <w:spacing w:line="300" w:lineRule="auto"/>
      <w:ind w:left="0" w:right="0" w:firstLine="640"/>
      <w:textAlignment w:val="baseline"/>
      <w:outlineLvl w:val="0"/>
    </w:pPr>
    <w:rPr>
      <w:rFonts w:ascii="楷体" w:eastAsia="楷体" w:hAnsi="楷体" w:cs="Times New Roman"/>
      <w:bCs/>
      <w:snapToGrid w:val="0"/>
      <w:kern w:val="32"/>
      <w:sz w:val="32"/>
      <w:szCs w:val="32"/>
    </w:rPr>
  </w:style>
  <w:style w:type="character" w:customStyle="1" w:styleId="Char0">
    <w:name w:val="标题 Char"/>
    <w:link w:val="aa"/>
    <w:qFormat/>
    <w:rPr>
      <w:rFonts w:eastAsia="方正小标宋_GBK"/>
      <w:snapToGrid w:val="0"/>
      <w:kern w:val="32"/>
      <w:sz w:val="44"/>
    </w:rPr>
  </w:style>
  <w:style w:type="character" w:customStyle="1" w:styleId="Char">
    <w:name w:val="页脚 Char"/>
    <w:link w:val="a7"/>
    <w:qFormat/>
    <w:rPr>
      <w:snapToGrid w:val="0"/>
      <w:kern w:val="32"/>
      <w:sz w:val="18"/>
      <w:szCs w:val="18"/>
    </w:rPr>
  </w:style>
  <w:style w:type="character" w:customStyle="1" w:styleId="21">
    <w:name w:val="标题 2 字符1"/>
    <w:qFormat/>
    <w:rPr>
      <w:rFonts w:ascii="方正仿宋_GB18030" w:eastAsia="方正楷体_GBK" w:hAnsi="方正仿宋_GB18030" w:cs="方正仿宋_GB18030"/>
      <w:snapToGrid w:val="0"/>
      <w:kern w:val="32"/>
      <w:sz w:val="32"/>
      <w:szCs w:val="32"/>
    </w:rPr>
  </w:style>
  <w:style w:type="character" w:customStyle="1" w:styleId="Char1">
    <w:name w:val="列出段落 Char"/>
    <w:link w:val="af0"/>
    <w:uiPriority w:val="99"/>
    <w:qFormat/>
    <w:rPr>
      <w:rFonts w:ascii="方正仿宋_GBK" w:hAnsi="方正仿宋_GBK" w:cs="方正仿宋_GBK"/>
      <w:sz w:val="22"/>
      <w:szCs w:val="22"/>
    </w:rPr>
  </w:style>
  <w:style w:type="paragraph" w:customStyle="1" w:styleId="22">
    <w:name w:val="修订2"/>
    <w:hidden/>
    <w:uiPriority w:val="99"/>
    <w:semiHidden/>
    <w:qFormat/>
    <w:rPr>
      <w:snapToGrid w:val="0"/>
      <w:kern w:val="32"/>
      <w:sz w:val="32"/>
    </w:rPr>
  </w:style>
  <w:style w:type="character" w:customStyle="1" w:styleId="fontstyle21">
    <w:name w:val="fontstyle21"/>
    <w:qFormat/>
    <w:rPr>
      <w:rFonts w:ascii="Times New Roman" w:hAnsi="Times New Roman" w:cs="Times New Roman" w:hint="default"/>
      <w:color w:val="00000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方正仿宋_GBK"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uiPriority="1" w:unhideWhenUsed="0" w:qFormat="1"/>
    <w:lsdException w:name="Subtitle" w:semiHidden="0" w:uiPriority="11" w:unhideWhenUsed="0" w:qFormat="1"/>
    <w:lsdException w:name="Dat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semiHidden="0" w:uiPriority="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djustRightInd w:val="0"/>
      <w:snapToGrid w:val="0"/>
      <w:spacing w:line="300" w:lineRule="auto"/>
      <w:jc w:val="both"/>
      <w:textAlignment w:val="baseline"/>
    </w:pPr>
    <w:rPr>
      <w:snapToGrid w:val="0"/>
      <w:kern w:val="32"/>
      <w:sz w:val="32"/>
    </w:rPr>
  </w:style>
  <w:style w:type="paragraph" w:styleId="1">
    <w:name w:val="heading 1"/>
    <w:basedOn w:val="a"/>
    <w:next w:val="a0"/>
    <w:uiPriority w:val="1"/>
    <w:qFormat/>
    <w:pPr>
      <w:tabs>
        <w:tab w:val="left" w:pos="1302"/>
      </w:tabs>
      <w:textAlignment w:val="auto"/>
      <w:outlineLvl w:val="0"/>
    </w:pPr>
    <w:rPr>
      <w:rFonts w:eastAsia="方正黑体_GBK"/>
    </w:rPr>
  </w:style>
  <w:style w:type="paragraph" w:styleId="2">
    <w:name w:val="heading 2"/>
    <w:basedOn w:val="a"/>
    <w:next w:val="a0"/>
    <w:link w:val="2Char"/>
    <w:qFormat/>
    <w:pPr>
      <w:numPr>
        <w:numId w:val="1"/>
      </w:numPr>
      <w:tabs>
        <w:tab w:val="left" w:pos="1624"/>
      </w:tabs>
      <w:outlineLvl w:val="1"/>
    </w:pPr>
    <w:rPr>
      <w:rFonts w:ascii="方正仿宋_GB18030" w:eastAsia="方正楷体_GBK" w:hAnsi="方正仿宋_GB18030" w:cs="方正仿宋_GB18030"/>
      <w:szCs w:val="32"/>
    </w:rPr>
  </w:style>
  <w:style w:type="paragraph" w:styleId="3">
    <w:name w:val="heading 3"/>
    <w:basedOn w:val="a"/>
    <w:next w:val="a0"/>
    <w:qFormat/>
    <w:pPr>
      <w:numPr>
        <w:numId w:val="2"/>
      </w:numPr>
      <w:tabs>
        <w:tab w:val="left" w:pos="1134"/>
      </w:tabs>
      <w:ind w:left="0" w:firstLineChars="200" w:firstLine="200"/>
      <w:outlineLvl w:val="2"/>
    </w:pPr>
  </w:style>
  <w:style w:type="paragraph" w:styleId="4">
    <w:name w:val="heading 4"/>
    <w:basedOn w:val="a"/>
    <w:next w:val="a0"/>
    <w:qFormat/>
    <w:pPr>
      <w:numPr>
        <w:numId w:val="3"/>
      </w:numPr>
      <w:tabs>
        <w:tab w:val="clear" w:pos="800"/>
        <w:tab w:val="left" w:pos="1456"/>
      </w:tabs>
      <w:ind w:firstLineChars="200" w:firstLine="200"/>
      <w:outlineLvl w:val="3"/>
    </w:pPr>
    <w:rPr>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1"/>
    <w:qFormat/>
    <w:pPr>
      <w:ind w:firstLineChars="200" w:firstLine="200"/>
    </w:pPr>
  </w:style>
  <w:style w:type="paragraph" w:styleId="a4">
    <w:name w:val="annotation text"/>
    <w:basedOn w:val="a"/>
    <w:qFormat/>
    <w:pPr>
      <w:adjustRightInd/>
      <w:snapToGrid/>
      <w:spacing w:line="240" w:lineRule="auto"/>
      <w:jc w:val="left"/>
      <w:textAlignment w:val="auto"/>
    </w:pPr>
    <w:rPr>
      <w:rFonts w:ascii="Calibri" w:eastAsia="宋体" w:hAnsi="Calibri" w:cs="Calibri"/>
      <w:snapToGrid/>
      <w:kern w:val="2"/>
      <w:sz w:val="21"/>
      <w:szCs w:val="21"/>
    </w:rPr>
  </w:style>
  <w:style w:type="paragraph" w:styleId="a5">
    <w:name w:val="Date"/>
    <w:basedOn w:val="a"/>
    <w:next w:val="a"/>
    <w:qFormat/>
    <w:pPr>
      <w:ind w:leftChars="2500" w:left="2500"/>
    </w:pPr>
  </w:style>
  <w:style w:type="paragraph" w:styleId="a6">
    <w:name w:val="Balloon Text"/>
    <w:basedOn w:val="a"/>
    <w:qFormat/>
    <w:pPr>
      <w:spacing w:line="240" w:lineRule="auto"/>
    </w:pPr>
    <w:rPr>
      <w:sz w:val="18"/>
      <w:szCs w:val="18"/>
    </w:rPr>
  </w:style>
  <w:style w:type="paragraph" w:styleId="a7">
    <w:name w:val="footer"/>
    <w:basedOn w:val="a"/>
    <w:link w:val="Char"/>
    <w:qFormat/>
    <w:pPr>
      <w:tabs>
        <w:tab w:val="center" w:pos="4153"/>
        <w:tab w:val="right" w:pos="8306"/>
      </w:tabs>
      <w:spacing w:line="240" w:lineRule="auto"/>
      <w:jc w:val="left"/>
    </w:pPr>
    <w:rPr>
      <w:sz w:val="18"/>
      <w:szCs w:val="18"/>
    </w:rPr>
  </w:style>
  <w:style w:type="paragraph" w:styleId="a8">
    <w:name w:val="header"/>
    <w:basedOn w:val="a"/>
    <w:qFormat/>
    <w:pPr>
      <w:tabs>
        <w:tab w:val="center" w:pos="4153"/>
        <w:tab w:val="right" w:pos="8306"/>
      </w:tabs>
      <w:spacing w:line="240" w:lineRule="auto"/>
      <w:jc w:val="center"/>
    </w:pPr>
    <w:rPr>
      <w:sz w:val="18"/>
      <w:szCs w:val="18"/>
    </w:rPr>
  </w:style>
  <w:style w:type="paragraph" w:styleId="10">
    <w:name w:val="toc 1"/>
    <w:basedOn w:val="a"/>
    <w:next w:val="a"/>
    <w:autoRedefine/>
    <w:qFormat/>
  </w:style>
  <w:style w:type="paragraph" w:styleId="20">
    <w:name w:val="toc 2"/>
    <w:basedOn w:val="a"/>
    <w:next w:val="a"/>
    <w:autoRedefine/>
    <w:qFormat/>
    <w:pPr>
      <w:ind w:leftChars="200" w:left="200"/>
    </w:pPr>
  </w:style>
  <w:style w:type="paragraph" w:styleId="a9">
    <w:name w:val="Normal (Web)"/>
    <w:basedOn w:val="a"/>
    <w:unhideWhenUsed/>
    <w:qFormat/>
    <w:pPr>
      <w:widowControl/>
      <w:adjustRightInd/>
      <w:snapToGrid/>
      <w:spacing w:before="100" w:beforeAutospacing="1" w:after="100" w:afterAutospacing="1" w:line="240" w:lineRule="auto"/>
      <w:jc w:val="left"/>
      <w:textAlignment w:val="auto"/>
    </w:pPr>
    <w:rPr>
      <w:rFonts w:ascii="宋体" w:eastAsia="宋体" w:hAnsi="宋体" w:cs="宋体"/>
      <w:snapToGrid/>
      <w:kern w:val="0"/>
      <w:sz w:val="24"/>
      <w:szCs w:val="24"/>
    </w:rPr>
  </w:style>
  <w:style w:type="paragraph" w:styleId="aa">
    <w:name w:val="Title"/>
    <w:basedOn w:val="a"/>
    <w:next w:val="a"/>
    <w:link w:val="Char0"/>
    <w:qFormat/>
    <w:pPr>
      <w:jc w:val="center"/>
      <w:outlineLvl w:val="0"/>
    </w:pPr>
    <w:rPr>
      <w:rFonts w:eastAsia="方正小标宋_GBK"/>
      <w:sz w:val="44"/>
    </w:rPr>
  </w:style>
  <w:style w:type="character" w:styleId="ab">
    <w:name w:val="page number"/>
    <w:qFormat/>
    <w:rPr>
      <w:rFonts w:eastAsia="Times New Roman"/>
      <w:sz w:val="28"/>
      <w:szCs w:val="28"/>
    </w:rPr>
  </w:style>
  <w:style w:type="character" w:styleId="ac">
    <w:name w:val="Hyperlink"/>
    <w:qFormat/>
    <w:rPr>
      <w:color w:val="0563C1"/>
      <w:u w:val="single"/>
    </w:rPr>
  </w:style>
  <w:style w:type="character" w:styleId="ad">
    <w:name w:val="annotation reference"/>
    <w:uiPriority w:val="99"/>
    <w:semiHidden/>
    <w:unhideWhenUsed/>
    <w:qFormat/>
    <w:rPr>
      <w:sz w:val="21"/>
      <w:szCs w:val="21"/>
    </w:rPr>
  </w:style>
  <w:style w:type="paragraph" w:customStyle="1" w:styleId="ae">
    <w:name w:val="次标题"/>
    <w:basedOn w:val="aa"/>
    <w:next w:val="a"/>
    <w:qFormat/>
    <w:pPr>
      <w:spacing w:line="720" w:lineRule="auto"/>
    </w:pPr>
    <w:rPr>
      <w:rFonts w:eastAsia="楷体_GB2312"/>
      <w:sz w:val="32"/>
    </w:rPr>
  </w:style>
  <w:style w:type="paragraph" w:customStyle="1" w:styleId="af">
    <w:name w:val="落款"/>
    <w:basedOn w:val="a"/>
    <w:qFormat/>
    <w:pPr>
      <w:ind w:rightChars="400" w:right="400"/>
      <w:jc w:val="right"/>
    </w:pPr>
  </w:style>
  <w:style w:type="character" w:customStyle="1" w:styleId="11">
    <w:name w:val="未处理的提及1"/>
    <w:qFormat/>
    <w:rPr>
      <w:color w:val="605E5C"/>
      <w:shd w:val="clear" w:color="auto" w:fill="E1DFDD"/>
    </w:rPr>
  </w:style>
  <w:style w:type="character" w:customStyle="1" w:styleId="2Char">
    <w:name w:val="标题 2 Char"/>
    <w:link w:val="2"/>
    <w:qFormat/>
    <w:rPr>
      <w:rFonts w:ascii="方正仿宋_GB18030" w:eastAsia="方正楷体_GBK" w:hAnsi="方正仿宋_GB18030" w:cs="方正仿宋_GB18030"/>
      <w:snapToGrid w:val="0"/>
      <w:kern w:val="32"/>
      <w:sz w:val="32"/>
      <w:szCs w:val="32"/>
    </w:rPr>
  </w:style>
  <w:style w:type="paragraph" w:customStyle="1" w:styleId="12">
    <w:name w:val="修订1"/>
    <w:hidden/>
    <w:uiPriority w:val="99"/>
    <w:semiHidden/>
    <w:qFormat/>
    <w:rPr>
      <w:snapToGrid w:val="0"/>
      <w:kern w:val="32"/>
      <w:sz w:val="32"/>
    </w:rPr>
  </w:style>
  <w:style w:type="paragraph" w:styleId="af0">
    <w:name w:val="List Paragraph"/>
    <w:basedOn w:val="a"/>
    <w:link w:val="Char1"/>
    <w:uiPriority w:val="34"/>
    <w:qFormat/>
    <w:pPr>
      <w:autoSpaceDE w:val="0"/>
      <w:autoSpaceDN w:val="0"/>
      <w:adjustRightInd/>
      <w:snapToGrid/>
      <w:spacing w:line="240" w:lineRule="auto"/>
      <w:ind w:left="129" w:right="270" w:firstLine="640"/>
      <w:textAlignment w:val="auto"/>
    </w:pPr>
    <w:rPr>
      <w:rFonts w:ascii="方正仿宋_GBK" w:hAnsi="方正仿宋_GBK" w:cs="方正仿宋_GBK"/>
      <w:snapToGrid/>
      <w:kern w:val="0"/>
      <w:sz w:val="22"/>
      <w:szCs w:val="22"/>
    </w:rPr>
  </w:style>
  <w:style w:type="character" w:customStyle="1" w:styleId="fontstyle01">
    <w:name w:val="fontstyle01"/>
    <w:qFormat/>
    <w:rPr>
      <w:rFonts w:ascii="方正仿宋_GBK" w:eastAsia="方正仿宋_GBK" w:hint="eastAsia"/>
      <w:color w:val="000000"/>
      <w:sz w:val="32"/>
      <w:szCs w:val="32"/>
    </w:rPr>
  </w:style>
  <w:style w:type="character" w:customStyle="1" w:styleId="fontstyle11">
    <w:name w:val="fontstyle11"/>
    <w:qFormat/>
    <w:rPr>
      <w:rFonts w:ascii="TimesNewRomanPSMT" w:hAnsi="TimesNewRomanPSMT" w:hint="default"/>
      <w:color w:val="000000"/>
      <w:sz w:val="32"/>
      <w:szCs w:val="32"/>
    </w:rPr>
  </w:style>
  <w:style w:type="paragraph" w:customStyle="1" w:styleId="mw">
    <w:name w:val="mw（一）"/>
    <w:basedOn w:val="af0"/>
    <w:next w:val="a"/>
    <w:qFormat/>
    <w:pPr>
      <w:numPr>
        <w:numId w:val="4"/>
      </w:numPr>
      <w:autoSpaceDE/>
      <w:autoSpaceDN/>
      <w:adjustRightInd w:val="0"/>
      <w:snapToGrid w:val="0"/>
      <w:spacing w:line="300" w:lineRule="auto"/>
      <w:ind w:left="0" w:right="0" w:firstLine="640"/>
      <w:textAlignment w:val="baseline"/>
      <w:outlineLvl w:val="0"/>
    </w:pPr>
    <w:rPr>
      <w:rFonts w:ascii="楷体" w:eastAsia="楷体" w:hAnsi="楷体" w:cs="Times New Roman"/>
      <w:bCs/>
      <w:snapToGrid w:val="0"/>
      <w:kern w:val="32"/>
      <w:sz w:val="32"/>
      <w:szCs w:val="32"/>
    </w:rPr>
  </w:style>
  <w:style w:type="character" w:customStyle="1" w:styleId="Char0">
    <w:name w:val="标题 Char"/>
    <w:link w:val="aa"/>
    <w:qFormat/>
    <w:rPr>
      <w:rFonts w:eastAsia="方正小标宋_GBK"/>
      <w:snapToGrid w:val="0"/>
      <w:kern w:val="32"/>
      <w:sz w:val="44"/>
    </w:rPr>
  </w:style>
  <w:style w:type="character" w:customStyle="1" w:styleId="Char">
    <w:name w:val="页脚 Char"/>
    <w:link w:val="a7"/>
    <w:qFormat/>
    <w:rPr>
      <w:snapToGrid w:val="0"/>
      <w:kern w:val="32"/>
      <w:sz w:val="18"/>
      <w:szCs w:val="18"/>
    </w:rPr>
  </w:style>
  <w:style w:type="character" w:customStyle="1" w:styleId="21">
    <w:name w:val="标题 2 字符1"/>
    <w:qFormat/>
    <w:rPr>
      <w:rFonts w:ascii="方正仿宋_GB18030" w:eastAsia="方正楷体_GBK" w:hAnsi="方正仿宋_GB18030" w:cs="方正仿宋_GB18030"/>
      <w:snapToGrid w:val="0"/>
      <w:kern w:val="32"/>
      <w:sz w:val="32"/>
      <w:szCs w:val="32"/>
    </w:rPr>
  </w:style>
  <w:style w:type="character" w:customStyle="1" w:styleId="Char1">
    <w:name w:val="列出段落 Char"/>
    <w:link w:val="af0"/>
    <w:uiPriority w:val="99"/>
    <w:qFormat/>
    <w:rPr>
      <w:rFonts w:ascii="方正仿宋_GBK" w:hAnsi="方正仿宋_GBK" w:cs="方正仿宋_GBK"/>
      <w:sz w:val="22"/>
      <w:szCs w:val="22"/>
    </w:rPr>
  </w:style>
  <w:style w:type="paragraph" w:customStyle="1" w:styleId="22">
    <w:name w:val="修订2"/>
    <w:hidden/>
    <w:uiPriority w:val="99"/>
    <w:semiHidden/>
    <w:qFormat/>
    <w:rPr>
      <w:snapToGrid w:val="0"/>
      <w:kern w:val="32"/>
      <w:sz w:val="32"/>
    </w:rPr>
  </w:style>
  <w:style w:type="character" w:customStyle="1" w:styleId="fontstyle21">
    <w:name w:val="fontstyle21"/>
    <w:qFormat/>
    <w:rPr>
      <w:rFonts w:ascii="Times New Roman" w:hAnsi="Times New Roman" w:cs="Times New Roman" w:hint="default"/>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75968E-EC21-4612-9B87-2861526D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405</Words>
  <Characters>2311</Characters>
  <Application>Microsoft Office Word</Application>
  <DocSecurity>0</DocSecurity>
  <Lines>19</Lines>
  <Paragraphs>5</Paragraphs>
  <ScaleCrop>false</ScaleCrop>
  <Company>Microsoft</Company>
  <LinksUpToDate>false</LinksUpToDate>
  <CharactersWithSpaces>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盛玉洁(shengyujie)</cp:lastModifiedBy>
  <cp:revision>2</cp:revision>
  <cp:lastPrinted>2026-05-12T15:02:00Z</cp:lastPrinted>
  <dcterms:created xsi:type="dcterms:W3CDTF">2026-08-26T06:38:00Z</dcterms:created>
  <dcterms:modified xsi:type="dcterms:W3CDTF">2026-08-26T06:38:00Z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eyJoZGlkIjoiMWRlOTQzMzk0NGYwZDhkMGYxMGY1ODk5ZmM1MTRhZjAiLCJ1c2VySWQiOiIyOTI2NDc3NDIifQ==</vt:lpwstr>
  </property>
  <property fmtid="{D5CDD505-2E9C-101B-9397-08002B2CF9AE}" pid="3" name="KSOProductBuildVer">
    <vt:lpwstr>2052-12.1.0.28043</vt:lpwstr>
  </property>
  <property fmtid="{D5CDD505-2E9C-101B-9397-08002B2CF9AE}" pid="4" name="ICV">
    <vt:lpwstr>627A658EBCA9461E9EAEE408FF8EB0A1_13</vt:lpwstr>
  </property>
</Properties>
</file>