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A4EBF">
      <w:pPr>
        <w:overflowPunct w:val="0"/>
        <w:topLinePunct/>
        <w:adjustRightInd w:val="0"/>
        <w:snapToGrid w:val="0"/>
        <w:spacing w:line="560" w:lineRule="exact"/>
        <w:rPr>
          <w:rFonts w:hint="eastAsia" w:ascii="Times New Roman" w:hAnsi="Times New Roman" w:eastAsia="方正黑体_GBK" w:cs="Times New Roman"/>
          <w:sz w:val="32"/>
          <w:szCs w:val="32"/>
          <w:lang w:eastAsia="zh-CN"/>
        </w:rPr>
      </w:pPr>
      <w:r>
        <w:rPr>
          <w:rFonts w:ascii="Times New Roman" w:hAnsi="Times New Roman" w:eastAsia="方正黑体_GBK" w:cs="方正黑体_GBK"/>
          <w:color w:val="000000"/>
          <w:kern w:val="0"/>
          <w:sz w:val="32"/>
          <w:szCs w:val="32"/>
          <w:lang w:bidi="ar"/>
        </w:rPr>
        <w:t>附件</w:t>
      </w:r>
      <w:r>
        <w:rPr>
          <w:rFonts w:hint="eastAsia" w:ascii="Times New Roman" w:hAnsi="Times New Roman" w:eastAsia="等线" w:cs="Times New Roman"/>
          <w:color w:val="000000"/>
          <w:kern w:val="0"/>
          <w:sz w:val="32"/>
          <w:szCs w:val="32"/>
          <w:lang w:val="en-US" w:eastAsia="zh-CN" w:bidi="ar"/>
        </w:rPr>
        <w:t>4</w:t>
      </w:r>
    </w:p>
    <w:p w14:paraId="08EF7F49">
      <w:pPr>
        <w:overflowPunct w:val="0"/>
        <w:topLinePunct/>
        <w:adjustRightInd w:val="0"/>
        <w:snapToGrid w:val="0"/>
        <w:spacing w:after="312" w:afterLines="100" w:line="64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江苏省基金会评估指标</w:t>
      </w:r>
    </w:p>
    <w:tbl>
      <w:tblPr>
        <w:tblStyle w:val="4"/>
        <w:tblW w:w="1445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184"/>
        <w:gridCol w:w="2072"/>
        <w:gridCol w:w="10505"/>
      </w:tblGrid>
      <w:tr w14:paraId="5B54F7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09981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黑体_GBK" w:cs="方正黑体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1DE6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等线" w:cs="等线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F625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等线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等线" w:cs="等线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指标说明</w:t>
            </w:r>
          </w:p>
        </w:tc>
      </w:tr>
      <w:tr w14:paraId="46EAC6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E400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8681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党建工作</w:t>
            </w: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AA52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党的组织</w:t>
            </w:r>
          </w:p>
          <w:p w14:paraId="718E82AC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1DCE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设立党组织（单建、联建；实体型、</w:t>
            </w:r>
            <w:r>
              <w:rPr>
                <w:rStyle w:val="9"/>
                <w:rFonts w:hint="eastAsia" w:eastAsia="方正仿宋_GBK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临时性</w:t>
            </w:r>
            <w:bookmarkStart w:id="0" w:name="_GoBack"/>
            <w:bookmarkEnd w:id="0"/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）（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16C404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注：未设立党组织，但通过选派党建工作指导员、联络员，建立工青妇组织等途径，做好联系服务群众、推荐入党积极分子等工作，为建立党组织创造条件得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  <w:p w14:paraId="668C808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党组织班子成员和社会组织党员管理层人员双向进入、交叉任职（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99728D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党组织书记由社会组织负责人担任得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分，其他人员担任得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  <w:p w14:paraId="10C2B3C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注：党组织应建未建的，不予评为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</w:tc>
      </w:tr>
      <w:tr w14:paraId="3171AB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74A8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DA558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5D84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党的工作</w:t>
            </w:r>
          </w:p>
          <w:p w14:paraId="509D4F1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4183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加强党员教育管理，落实党的基本组织生活制度，各项活动记录内容完整、格式规范（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3870A7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注：包括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三会一课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、主题党日和谈心谈话等制度。实体型党支部还需要落实组织生活会、民主评议党员等制度。</w:t>
            </w:r>
          </w:p>
          <w:p w14:paraId="35667F8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落实意识形态责任制并建立相关制度（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CE01B8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落实党风廉政建设制度，党组织对社会组织重大事项决策、重要业务活动等提出意见（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BEDBC6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党组织引导和支持社会组织有序参与社会治理、提供公共服务、承担社会责任，党员积极参与教育培训以及社会组织工作，模范带头作用明显（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6834CB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注：党组织负责人有违规违纪行为的，不予评为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（含）以上等级；未开展党的工作和活动的，不予评为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4A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</w:tc>
      </w:tr>
      <w:tr w14:paraId="0DF3F5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2E5C4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6111F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基础条件</w:t>
            </w: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009B1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登记备案</w:t>
            </w:r>
          </w:p>
          <w:p w14:paraId="4C35490D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0A511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按规定办理登记和备案（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3E07824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登记事项：名称、业务范围、住所、原始基金、法定代表人、业务主管单位。</w:t>
            </w:r>
          </w:p>
          <w:p w14:paraId="03A7DBCA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备案事项：负责人、理事、监事，印章（单位、财务、法定代表人）、银行账户、分支机构、代表机构、公开募捐活动、慈善信托。</w:t>
            </w:r>
          </w:p>
          <w:p w14:paraId="1FE3B140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注：以上各项，有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项未按规定办理扣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738F0D67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按民政部门及章程示范文本要求，将党的建设及社会主义核心价值观相关内容规范完整写入章程（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FFB8A80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登记或认定为慈善组织（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F568F1C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注：组织需提供理事、监事名单以及公开募捐活动、慈善信托备案事项材料。</w:t>
            </w:r>
          </w:p>
        </w:tc>
      </w:tr>
      <w:tr w14:paraId="2A1C1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ABF8A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6928B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B67B1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年检年报</w:t>
            </w:r>
          </w:p>
          <w:p w14:paraId="3CE99C8F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EC47C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按规定年检年报（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F4C7C2D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年检合格或年报符合要求（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826E743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2312" w:cs="方正仿宋_GB2312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仿宋_GB2312" w:cs="方正仿宋_GB2312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注：申报评估年度前两年存在未按规定参加年检年报，或年检结论基本合格、不合格或年报不符合要求情况的，不予评为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3A</w:t>
            </w:r>
            <w:r>
              <w:rPr>
                <w:rFonts w:ascii="Times New Roman" w:hAnsi="Times New Roman" w:eastAsia="方正仿宋_GB2312" w:cs="方正仿宋_GB2312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  <w:p w14:paraId="57715CEC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年末净资产不低于注册资金，且逐年增加（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02C6D39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低于注册资金或未逐年增加得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分。</w:t>
            </w:r>
          </w:p>
        </w:tc>
      </w:tr>
      <w:tr w14:paraId="2C507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14E02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1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7B2D2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EFF5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机构建设</w:t>
            </w:r>
          </w:p>
          <w:p w14:paraId="561C2113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F196B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理事会设立、制度建设及履职情况（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0386E55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理事会人员构成符合规定；理事无违规取酬情况；建立完善理事会议事决策等相关制度；理事会按时换届，按章程规定召开理事会；理事会履职情况，决定重大业务活动、制定内部管理制度、年度收支预算及决算审定等。有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项不满足扣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7632AADB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监事（会）设立及履职情况（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C4D56B2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监事设立符合规定（按规定需要设立监事会的应设立监事会）；监事不在基金会领取报酬；监事（会）制度健全并按规定履职，列席理事会、对基金会财务等进行监督。有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项不满足扣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7ECA443F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内设机构设立运转情况（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0C37BEF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设立秘书处、办公室等内设机构，且职责明确、运转协调。</w:t>
            </w:r>
          </w:p>
        </w:tc>
      </w:tr>
      <w:tr w14:paraId="39EFD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0AED0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1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479C9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FFADC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制度建设</w:t>
            </w:r>
          </w:p>
          <w:p w14:paraId="0E35F752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7DC10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建立健全各项制度且能够规范执行，包括：财务、项目、资产、投资、人事、志愿者、档案印章管理以及信息公开等制度。</w:t>
            </w:r>
          </w:p>
          <w:p w14:paraId="43C93517">
            <w:pPr>
              <w:overflowPunct w:val="0"/>
              <w:topLinePunct/>
              <w:adjustRightInd w:val="0"/>
              <w:snapToGrid w:val="0"/>
              <w:spacing w:line="30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注：以上各项，缺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项扣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</w:tc>
      </w:tr>
      <w:tr w14:paraId="4FE1D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C96D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1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0129F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DD63B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人力资源管理</w:t>
            </w:r>
          </w:p>
          <w:p w14:paraId="2EC97C8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FCA9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负责人管理（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4A7517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负责人届次、年龄符合规定；秘书长专职；退（离）休领导干部兼职符合规定，并按规定履行报批手续。有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项不满足扣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7A78313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专职工作人员管理（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690087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专职工作人员满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人得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分，每少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人扣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分；人员结构合理，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周岁以下占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﹪以上、本科以上学历者占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50% 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以上得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项不满足扣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分，扣完为止；积极参加法律法规、业务培训得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分，申报评估年度前两年有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年未参加扣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3AD4F1D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专业人才队伍建设（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805473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专职工作人员中，有社工师、会计师等与本基金会业务相关的专业持证人才。</w:t>
            </w:r>
          </w:p>
          <w:p w14:paraId="7FC48B5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志愿者队伍建设（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A75DD65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建有志愿者队伍，人员稳定、管理规范、作用发挥明显。</w:t>
            </w:r>
          </w:p>
          <w:p w14:paraId="7AB6673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注：专职工作人员指建立劳动关系并购买社保的工作人员。返聘、劳动关系在其他单位的工作人员，按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50%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得分。</w:t>
            </w:r>
          </w:p>
        </w:tc>
      </w:tr>
      <w:tr w14:paraId="020D80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0CC7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8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430B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8870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合法运营</w:t>
            </w:r>
          </w:p>
          <w:p w14:paraId="2194C0E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71FF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经费来源和资金使用符合国家政策法规和章程规定（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037C709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注：经费来源和资金使用不符合国家政策法规和章程规定的，不予评为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  <w:p w14:paraId="5851431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资金列入符合规定的单位账簿（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265F86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按规定办理税务登记和申报（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7EBD5F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规范使用票据（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</w:tr>
      <w:tr w14:paraId="50536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49BC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1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00D3F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5C17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会计工作</w:t>
            </w:r>
          </w:p>
          <w:p w14:paraId="736B6374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B869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严格执行《民间非营利组织会计制度》（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E99691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规范设置会计科目、账册、凭单、内外部报表；记账、会计核算规范；会计报表真实、完整。</w:t>
            </w:r>
          </w:p>
          <w:p w14:paraId="026FA359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会计基础（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7A2F29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会计人员配备合理、专业化；会计核算实行电算化；会计档案管理规范。有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项不符合扣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</w:tc>
      </w:tr>
      <w:tr w14:paraId="4E555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E766B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18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1AF1E">
            <w:pPr>
              <w:overflowPunct w:val="0"/>
              <w:topLinePunct/>
              <w:adjustRightInd w:val="0"/>
              <w:snapToGrid w:val="0"/>
              <w:spacing w:line="30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内部治理</w:t>
            </w: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A959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财务管理</w:t>
            </w:r>
          </w:p>
          <w:p w14:paraId="08B7B87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B84F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编制年度预算且执行情况良好（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7EA13E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捐赠收入管理（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C0BE91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接受捐赠按规定签订捐赠协议；接受非货币捐赠，按规定确定公允价值。</w:t>
            </w:r>
          </w:p>
          <w:p w14:paraId="30CEA10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投资管理（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6B0A8D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投资符合《慈善组织保值增值投资活动管理暂行办法》规定且经必要决策程序，得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分；年投资回报率（综合年化收益率）达到一年期银行存款利率得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分，超过一个百分点加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分，加满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分为止。</w:t>
            </w:r>
          </w:p>
          <w:p w14:paraId="55C265C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注：亏损不得分；无投资行为不得分。</w:t>
            </w:r>
          </w:p>
          <w:p w14:paraId="6262705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资产管理（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C6AE4D0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资产使用符合规定；固定资产标准和折旧年限确定合理，折旧计提准确。</w:t>
            </w:r>
          </w:p>
          <w:p w14:paraId="146DC646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关联方（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67F2954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与关联方无违规交易且无有失公平交易行为；关联交易及时披露。</w:t>
            </w:r>
          </w:p>
        </w:tc>
      </w:tr>
      <w:tr w14:paraId="5964E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6F39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18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D4ED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0ADA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监督审计</w:t>
            </w:r>
          </w:p>
          <w:p w14:paraId="4071BF17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2655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年度、换届、离任、重大项目专项审计完整、合规（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6B44DA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注：未发生换届、法定代表人离任，不扣分。</w:t>
            </w:r>
          </w:p>
          <w:p w14:paraId="0A21C6F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对审计发现的问题整改落实到位（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A72F44A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重大事项向业务主管单位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行业管理部门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党建工作机构报告（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E9AA9C1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重大事项包括开展评比达标表彰、举办节庆展会论坛、开展重大投资活动等。</w:t>
            </w:r>
          </w:p>
        </w:tc>
      </w:tr>
      <w:tr w14:paraId="06AA7B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FBC49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1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575AA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工作绩效</w:t>
            </w: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FD78C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捐赠收入规模</w:t>
            </w:r>
          </w:p>
          <w:p w14:paraId="6A444D64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7B7B6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以全省相关领域基金会平均水平为参照数，对基金会申报评估年度前两年的捐赠收入情况进行测算得分（具有公开募捐资格、不具有公开募捐资格分别计算）。</w:t>
            </w:r>
          </w:p>
          <w:p w14:paraId="5ABF17DD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得分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=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标准分值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×1.2×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本基金会前两年平均捐赠收入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（本基金会前两年平均捐赠收入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全省平均水平），最高不超过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00DBCE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5CF1C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6A723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77138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公益支出规模</w:t>
            </w:r>
          </w:p>
          <w:p w14:paraId="13712D86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7789E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以全省相关领域基金会平均水平为参照数，对基金会申报评估年度前两年的公益支出情况进行测算得分（具有公开募捐资格、不具有公开募捐资格分别计算）。</w:t>
            </w:r>
          </w:p>
          <w:p w14:paraId="210AEE6F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得分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=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标准分值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×1.2×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本基金会前两年平均支出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（本基金会前两年平均支出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+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全省平均水平），最高不超过</w:t>
            </w:r>
            <w:r>
              <w:rPr>
                <w:rFonts w:ascii="Times New Roman" w:hAnsi="Times New Roman" w:eastAsia="方正仿宋_GBK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</w:tr>
      <w:tr w14:paraId="49491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E308C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900C6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7110F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公益项目</w:t>
            </w:r>
          </w:p>
          <w:p w14:paraId="37D2C08F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F171A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项目符合宗旨和业务范围（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6B18AEE9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建立项目管理制度（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4ED28768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项目受益对象选择公开公正，有确认且信息齐全（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59C5C4CC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项目立项、实施、监督、反馈、评价、总结、归档等程序完备、材料齐全（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715048BB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项目长期执行、形成品牌、社会知名度高，被媒体宣传报道（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02069F25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参与乡村振兴、对口支援协作、长江经济带发展、长三角一体化发展等国家战略及重大决策部署（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702540F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申报评估年度前两年开展相关项目得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分；相关项目支出达到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万元（含）得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分，每增加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万元加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0.2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分，加满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分为止。</w:t>
            </w:r>
          </w:p>
        </w:tc>
      </w:tr>
      <w:tr w14:paraId="02FEA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4DFD1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3984B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B7052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信息公开</w:t>
            </w:r>
          </w:p>
          <w:p w14:paraId="66C2D3AA">
            <w:pPr>
              <w:overflowPunct w:val="0"/>
              <w:topLinePunct/>
              <w:adjustRightInd w:val="0"/>
              <w:snapToGrid w:val="0"/>
              <w:spacing w:line="34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25463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按照《基金会信息公布办法》《慈善组织信息公开办法》履行信息公开义务（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28C24654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公开内容包括：基本信息、年度工作报告、接受捐赠信息、资金使用情况、公益项目信息等，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项未公开扣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分，扣完为止。</w:t>
            </w:r>
          </w:p>
          <w:p w14:paraId="14E6EE30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建立信息公开平台，信息公开渠道多样（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16D91C6B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设立新闻发言人（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  <w:p w14:paraId="3C1E11DC">
            <w:pPr>
              <w:overflowPunct w:val="0"/>
              <w:topLinePunct/>
              <w:adjustRightInd w:val="0"/>
              <w:snapToGrid w:val="0"/>
              <w:spacing w:line="34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注：慈善组织未按照《慈善组织信息公开办法》履行信息公开义务的，不予评为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3A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（含）以上等级。</w:t>
            </w:r>
          </w:p>
        </w:tc>
      </w:tr>
      <w:tr w14:paraId="5E7725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BBE1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1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C4CD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社会评价</w:t>
            </w: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7BD6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理事监事评价</w:t>
            </w:r>
          </w:p>
          <w:p w14:paraId="4C9A51F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7F3E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对管理状况、综合影响力的评价，评价内容包括对基金会民主决策、领导班子履行职责、财务管理、资金使用、信息公开、社会影响力等方面。</w:t>
            </w:r>
          </w:p>
          <w:p w14:paraId="0965DE3C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注：所有理事、监事参与评价。</w:t>
            </w:r>
          </w:p>
        </w:tc>
      </w:tr>
      <w:tr w14:paraId="7411C7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A0DFE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2096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7BF6C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捐赠人评价</w:t>
            </w:r>
          </w:p>
          <w:p w14:paraId="76F21596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D799B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对管理状况、综合影响力的评价，选择评估申报年度前两年主要捐赠人开展评价，评价内容包括对基金会公益性、项目效果满意度、社会影响力等方面。</w:t>
            </w:r>
          </w:p>
          <w:p w14:paraId="72305A8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注：主要捐赠人是指年度累计捐赠超过基金会当年捐赠收入</w:t>
            </w:r>
            <w:r>
              <w:rPr>
                <w:rStyle w:val="8"/>
                <w:rFonts w:eastAsia="方正仿宋_GBK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5%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以上或者</w:t>
            </w:r>
            <w:r>
              <w:rPr>
                <w:rStyle w:val="8"/>
                <w:rFonts w:eastAsia="方正仿宋_GBK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500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万元以上的捐赠单位或个人。</w:t>
            </w:r>
          </w:p>
        </w:tc>
      </w:tr>
      <w:tr w14:paraId="4827D0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00460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8B0A5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B6BB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受助人评价</w:t>
            </w:r>
          </w:p>
          <w:p w14:paraId="223C5E4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D27D8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对项目管理、效果的评价，评价内容包括对基金会公正公开选定受助人、履行协议等方面。</w:t>
            </w:r>
          </w:p>
          <w:p w14:paraId="4BEED632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注：抽取申报评估年度前两年开展的所有重大项目受助人参与评价，满足以下情形之一的属于重大项目：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该项目的捐赠收入占基金会当年捐赠总收入的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1/5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且金额超过人民币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万元的；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该项目的支出占基金会当年总支出的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1/5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且金额超过人民币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万元的；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项目持续时间在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年以上的（包括</w:t>
            </w:r>
            <w:r>
              <w:rPr>
                <w:rStyle w:val="8"/>
                <w:rFonts w:eastAsia="等线"/>
                <w:color w:val="000000" w:themeColor="text1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年）。</w:t>
            </w:r>
          </w:p>
        </w:tc>
      </w:tr>
      <w:tr w14:paraId="1D008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4B092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52E99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E7E7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pacing w:val="-1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spacing w:val="-1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spacing w:val="-1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业务主管单位评价</w:t>
            </w:r>
          </w:p>
          <w:p w14:paraId="3777C8CA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C4B67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由业务主管单位对基金会工作进行总体评价。</w:t>
            </w:r>
          </w:p>
          <w:p w14:paraId="4D8E481E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注：直接登记的基金会，由党建工作机构（或其授权的行业党委、属地党组织）进行评价。</w:t>
            </w:r>
          </w:p>
        </w:tc>
      </w:tr>
      <w:tr w14:paraId="4C52A3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95680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4BDBD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61A9C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表彰奖励情况</w:t>
            </w:r>
          </w:p>
          <w:p w14:paraId="78EB6D53">
            <w:pPr>
              <w:overflowPunct w:val="0"/>
              <w:topLinePunct/>
              <w:adjustRightInd w:val="0"/>
              <w:snapToGrid w:val="0"/>
              <w:spacing w:line="320" w:lineRule="exact"/>
              <w:jc w:val="center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分）</w:t>
            </w:r>
          </w:p>
        </w:tc>
        <w:tc>
          <w:tcPr>
            <w:tcW w:w="10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B0FD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方正仿宋_GBK" w:cs="方正仿宋_GBK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方正仿宋_GBK" w:cs="方正仿宋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政府部门对基金会和公益项目的表彰奖励情况。</w:t>
            </w:r>
          </w:p>
        </w:tc>
      </w:tr>
      <w:tr w14:paraId="1E0AD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0" w:type="auto"/>
            <w:gridSpan w:val="4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875F93">
            <w:pPr>
              <w:overflowPunct w:val="0"/>
              <w:topLinePunct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Times New Roman" w:hAnsi="Times New Roman" w:eastAsia="等线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方正楷体_GBK" w:cs="方正楷体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注：加</w:t>
            </w:r>
            <w:r>
              <w:rPr>
                <w:rFonts w:ascii="Times New Roman" w:hAnsi="Times New Roman" w:eastAsia="等线" w:cs="Times New Roman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ascii="Times New Roman" w:hAnsi="Times New Roman" w:eastAsia="方正楷体_GBK" w:cs="方正楷体_GBK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项指标无需社会组织提供材料。</w:t>
            </w:r>
          </w:p>
        </w:tc>
      </w:tr>
    </w:tbl>
    <w:p w14:paraId="4BE088C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96A"/>
    <w:rsid w:val="00191D81"/>
    <w:rsid w:val="00602F99"/>
    <w:rsid w:val="00D8196A"/>
    <w:rsid w:val="00E86EEE"/>
    <w:rsid w:val="37EE518E"/>
    <w:rsid w:val="40C7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character" w:customStyle="1" w:styleId="8">
    <w:name w:val="font51"/>
    <w:basedOn w:val="5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9">
    <w:name w:val="font7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3457</Words>
  <Characters>3571</Characters>
  <Lines>26</Lines>
  <Paragraphs>7</Paragraphs>
  <TotalTime>0</TotalTime>
  <ScaleCrop>false</ScaleCrop>
  <LinksUpToDate>false</LinksUpToDate>
  <CharactersWithSpaces>3573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2025-06-20T03:17:00Z</dcterms:created>
  <dc:creator>HP</dc:creator>
  <cp:lastModifiedBy>王琼</cp:lastModifiedBy>
  <dcterms:modified xsi:type="dcterms:W3CDTF">2026-08-05T09:44:12Z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eyJoZGlkIjoiNTUxOWQxZTQ1ZDM0NTUzOWY4ZTBlZjA1MTJhOGQyMzQiLCJ1c2VySWQiOiIyNDEyMDk3MzcifQ==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F759362F8105439398CFBE9B83EFB49A_12</vt:lpwstr>
  </property>
</Properties>
</file>