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FE6B2">
      <w:pPr>
        <w:keepNext w:val="0"/>
        <w:keepLines w:val="0"/>
        <w:pageBreakBefore w:val="0"/>
        <w:widowControl/>
        <w:numPr>
          <w:ilvl w:val="0"/>
          <w:numId w:val="0"/>
        </w:numPr>
        <w:suppressLineNumbers w:val="0"/>
        <w:kinsoku/>
        <w:wordWrap/>
        <w:overflowPunct/>
        <w:topLinePunct w:val="0"/>
        <w:autoSpaceDE/>
        <w:autoSpaceDN/>
        <w:bidi w:val="0"/>
        <w:adjustRightInd/>
        <w:snapToGrid/>
        <w:jc w:val="both"/>
        <w:textAlignment w:val="auto"/>
        <w:rPr>
          <w:rFonts w:hint="eastAsia" w:ascii="Times New Roman" w:hAnsi="Times New Roman" w:eastAsia="宋体" w:cs="Times New Roman"/>
          <w:b w:val="0"/>
          <w:i w:val="0"/>
          <w:strike w:val="0"/>
          <w:color w:val="auto"/>
          <w:kern w:val="2"/>
          <w:sz w:val="28"/>
          <w:szCs w:val="36"/>
          <w:highlight w:val="none"/>
          <w:u w:val="none"/>
          <w:lang w:val="en-US" w:eastAsia="zh-CN" w:bidi="ar-SA"/>
        </w:rPr>
      </w:pPr>
      <w:bookmarkStart w:id="0" w:name="_GoBack"/>
      <w:bookmarkEnd w:id="0"/>
      <w:r>
        <w:rPr>
          <w:rFonts w:hint="eastAsia" w:ascii="Times New Roman" w:hAnsi="Times New Roman" w:eastAsia="宋体" w:cs="Times New Roman"/>
          <w:b w:val="0"/>
          <w:i w:val="0"/>
          <w:strike w:val="0"/>
          <w:color w:val="auto"/>
          <w:kern w:val="2"/>
          <w:sz w:val="28"/>
          <w:szCs w:val="36"/>
          <w:highlight w:val="none"/>
          <w:u w:val="none"/>
          <w:lang w:val="en-US" w:eastAsia="zh-CN" w:bidi="ar-SA"/>
        </w:rPr>
        <w:t>附件一</w:t>
      </w:r>
    </w:p>
    <w:p w14:paraId="28B4E6C7">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240" w:afterAutospacing="0" w:line="600" w:lineRule="exact"/>
        <w:ind w:left="0" w:right="0" w:firstLine="0"/>
        <w:jc w:val="center"/>
        <w:textAlignment w:val="auto"/>
        <w:rPr>
          <w:rFonts w:hint="eastAsia" w:ascii="Times New Roman" w:hAnsi="Times New Roman" w:eastAsia="方正小标宋_GBK" w:cs="方正小标宋_GBK"/>
          <w:b/>
          <w:i w:val="0"/>
          <w:strike w:val="0"/>
          <w:color w:val="auto"/>
          <w:kern w:val="2"/>
          <w:sz w:val="44"/>
          <w:szCs w:val="52"/>
          <w:highlight w:val="none"/>
          <w:u w:val="none"/>
          <w:lang w:val="en-US" w:eastAsia="zh-CN" w:bidi="ar-SA"/>
        </w:rPr>
      </w:pPr>
      <w:r>
        <w:rPr>
          <w:rFonts w:hint="eastAsia" w:ascii="Times New Roman" w:hAnsi="Times New Roman" w:eastAsia="方正小标宋_GBK" w:cs="方正小标宋_GBK"/>
          <w:b/>
          <w:i w:val="0"/>
          <w:strike w:val="0"/>
          <w:color w:val="auto"/>
          <w:kern w:val="2"/>
          <w:sz w:val="44"/>
          <w:szCs w:val="52"/>
          <w:highlight w:val="none"/>
          <w:u w:val="none"/>
          <w:lang w:val="en-US" w:eastAsia="zh-CN" w:bidi="ar-SA"/>
        </w:rPr>
        <w:t>玄武区人工智能产业母基金</w:t>
      </w:r>
    </w:p>
    <w:p w14:paraId="2E94B5FA">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240" w:afterAutospacing="0" w:line="600" w:lineRule="exact"/>
        <w:ind w:left="0" w:right="0" w:firstLine="0"/>
        <w:jc w:val="center"/>
        <w:textAlignment w:val="auto"/>
        <w:rPr>
          <w:rFonts w:hint="eastAsia" w:ascii="Times New Roman" w:hAnsi="Times New Roman" w:eastAsia="方正小标宋_GBK" w:cs="方正小标宋_GBK"/>
          <w:b/>
          <w:i w:val="0"/>
          <w:strike w:val="0"/>
          <w:color w:val="auto"/>
          <w:kern w:val="2"/>
          <w:sz w:val="44"/>
          <w:szCs w:val="52"/>
          <w:highlight w:val="none"/>
          <w:u w:val="none"/>
          <w:lang w:val="en-US" w:eastAsia="zh-CN" w:bidi="ar-SA"/>
        </w:rPr>
      </w:pPr>
      <w:r>
        <w:rPr>
          <w:rFonts w:hint="eastAsia" w:ascii="Times New Roman" w:hAnsi="Times New Roman" w:eastAsia="方正小标宋_GBK" w:cs="方正小标宋_GBK"/>
          <w:b/>
          <w:i w:val="0"/>
          <w:strike w:val="0"/>
          <w:color w:val="auto"/>
          <w:kern w:val="2"/>
          <w:sz w:val="44"/>
          <w:szCs w:val="52"/>
          <w:highlight w:val="none"/>
          <w:u w:val="none"/>
          <w:lang w:val="en-US" w:eastAsia="zh-CN" w:bidi="ar-SA"/>
        </w:rPr>
        <w:t>概念验证/天使子基金管理机构要求</w:t>
      </w:r>
    </w:p>
    <w:p w14:paraId="0CE84196">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一、基金类型说明</w:t>
      </w:r>
    </w:p>
    <w:p w14:paraId="421C1EED">
      <w:pPr>
        <w:keepNext w:val="0"/>
        <w:keepLines w:val="0"/>
        <w:pageBreakBefore w:val="0"/>
        <w:widowControl/>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一）概念验证子基金：概念验证指从技术、市场、产业等维度，对科技成果进行验证，旨在验证技术可行性并判断商业价值、评估市场潜力，是吸引社会资本推动科技成果形成产品、迈向市场化产业化应用阶段的重要环节。</w:t>
      </w:r>
    </w:p>
    <w:p w14:paraId="71029AD9">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概念验证子基金为主要投向上述阶段的企业和项目的基金，对上述阶段投资总额合计应不低于子基金对外投资总额的60%。如子基金后续对前期已认定的概念验证阶段企业和项目进行追投，该部分追投金额可纳入概念验证阶段投资金额统计。</w:t>
      </w:r>
    </w:p>
    <w:p w14:paraId="241D941F">
      <w:pPr>
        <w:keepNext w:val="0"/>
        <w:keepLines w:val="0"/>
        <w:pageBreakBefore w:val="0"/>
        <w:widowControl/>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（二）天使子基金：指主要投向种子期、初创期科技型企业的股权投资基金。</w:t>
      </w:r>
    </w:p>
    <w:p w14:paraId="3320CFBC">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1．种子期：指尚处于酝酿和发明阶段的企业，仅有原型产品和概念，没有或很少销售收入。</w:t>
      </w:r>
    </w:p>
    <w:p w14:paraId="63C26FCB">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2．初创期：指企业的产品开发完成尚未量产、或商业模式经过一定验证，需要更大范围推广。</w:t>
      </w:r>
    </w:p>
    <w:p w14:paraId="49F2D487">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二、管理机构要求</w:t>
      </w:r>
    </w:p>
    <w:p w14:paraId="6473E1A3">
      <w:pPr>
        <w:keepNext w:val="0"/>
        <w:keepLines w:val="0"/>
        <w:pageBreakBefore w:val="0"/>
        <w:widowControl/>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（一）发起方：</w:t>
      </w:r>
    </w:p>
    <w:p w14:paraId="7C12E5E0">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1．鼓励国内外知名投资机构发起设立基金，优先与市场头部早期投资机构合作（近三年曾在清科、投中等权威榜单中上榜最佳早期/天使投资机构TOP50的机构）；</w:t>
      </w:r>
    </w:p>
    <w:p w14:paraId="6507FFE8">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2．鼓励国内外知名高等院校、科研院所、重点实验室等技术源头单位、国际知名的技术转移机构及国家/省/市级科技企业孵化器及国家、省、市新型研发机构、南京市概念验证中心、中小试基地和成果产业化基地等发起设立基金。</w:t>
      </w:r>
    </w:p>
    <w:p w14:paraId="6A20C4B7">
      <w:pPr>
        <w:keepNext w:val="0"/>
        <w:keepLines w:val="0"/>
        <w:pageBreakBefore w:val="0"/>
        <w:widowControl/>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二）设立登记：子基金管理机构由子基金发起方或其关联方担任，应在中国大陆依法设立公司或合伙企业，注册资本符合中国证券投资基金业协会的相关监管要求，并在中国证券投资基金业协会登记为私募基金管理人。相关管理主体在子基金中的出资比例不低于子基金认缴规模的1%。</w:t>
      </w:r>
    </w:p>
    <w:p w14:paraId="66EAE8B5">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（三）内控制度：管理机构有健全的股权投资管理和风险控制流程、规范的项目遴选和投资决策制度。</w:t>
      </w:r>
    </w:p>
    <w:p w14:paraId="35879EA5">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四）管理团队：管理团队稳定，至少配备2名具备3年以上基金管理、早期项目股权投资、孵化培育、科技成果转移转化、产业研发等经验的核心人员。对于与国内外知名高等院校、科研院所、科技企业孵化器、国家、省、市重点实验室、技术创新中心、新型研发机构等合作紧密的团队优先考虑；对于具备科研成果技术成熟度评估能力、能够链接产业需求方，或具备原型开发、小试中试等验证基础设施对接能力的团队优先考虑。</w:t>
      </w:r>
    </w:p>
    <w:p w14:paraId="6AC5B086">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五）基金管理与投资能力：子基金管理机构应具备与申报基金规模相匹配的基金管理业绩。拟设子基金管理机构或管理团队核心成员，作为共同发起方或首两轮外部投资机构，曾主导投资过至少10个具有成果转化背景的早期科技创新项目。</w:t>
      </w:r>
    </w:p>
    <w:p w14:paraId="3E7BD5B2">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六）投后服务及孵化能力：管理机构具备较深厚的综合服务能力和资源，熟悉概念验证、科技成果转化流程，具有投资孵化经验，能够较好地为被投企业提供创业辅导、管理咨询、市场开拓等投后增值服务。子基金管理机构可提供投资孵化案例，以及帮助已投企业成功对外融资、市场推广或客户对接的说明材料。</w:t>
      </w:r>
    </w:p>
    <w:p w14:paraId="1B1DFDE4">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七）产业研究能力：管理机构应具备子基金重点投资领域的产业研究能力，提交申请时，可结合南京市及玄武区产业情况，提交子基金重点投资领域的产业研究报告、拟设子基金投资策略与南京市及玄武区产业发展匹配情况，分析该领域国内技术短板、产业卡脖子问题以及南京产业链相关情况，并对该产业前沿技术的发展方向和趋势进行研究分析。</w:t>
      </w:r>
    </w:p>
    <w:p w14:paraId="6F58EAB0">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八）储备项目：子基金管理机构应具备助力玄武区产业发展的能力，在重点领域及申报阶段拥有充足的项目储备，并提供储备项目的详细介绍材料，包括但不限于项目介绍PPT、内部报告、调研资料、跟进进展等。</w:t>
      </w:r>
    </w:p>
    <w:p w14:paraId="17A7AB37">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（九）无相关监管处罚：管理机构及其董事、监事、高级管理人员及其他从业人员在最近3年无重大违法违规行为。</w:t>
      </w:r>
    </w:p>
    <w:p w14:paraId="61E1FCD5">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（十）法律法规、中国证券投资基金业协会规定的其他条件。</w:t>
      </w:r>
    </w:p>
    <w:p w14:paraId="4FFCEDFB">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（十一）其他</w:t>
      </w:r>
    </w:p>
    <w:p w14:paraId="46BAC2DE">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鼓励概念验证子基金参与发起轮的投资，包括但不限于以下项目类型：</w:t>
      </w:r>
    </w:p>
    <w:p w14:paraId="5E996CEE">
      <w:pPr>
        <w:keepNext w:val="0"/>
        <w:keepLines w:val="0"/>
        <w:pageBreakBefore w:val="0"/>
        <w:widowControl/>
        <w:numPr>
          <w:ilvl w:val="0"/>
          <w:numId w:val="1"/>
        </w:numPr>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国家、省、市重点实验室，国家、省、市制造业创新中心，技术创新中心和产业创新中心，高等院校及研究机构在研的处于概念验证和中试阶段的科创项目。</w:t>
      </w:r>
    </w:p>
    <w:p w14:paraId="3F498B93">
      <w:pPr>
        <w:keepNext w:val="0"/>
        <w:keepLines w:val="0"/>
        <w:pageBreakBefore w:val="0"/>
        <w:widowControl/>
        <w:numPr>
          <w:ilvl w:val="0"/>
          <w:numId w:val="1"/>
        </w:numPr>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省、市、区重点科技成果转化项目。</w:t>
      </w:r>
    </w:p>
    <w:p w14:paraId="4AC66B6B">
      <w:pPr>
        <w:keepNext w:val="0"/>
        <w:keepLines w:val="0"/>
        <w:pageBreakBefore w:val="0"/>
        <w:widowControl/>
        <w:numPr>
          <w:ilvl w:val="0"/>
          <w:numId w:val="1"/>
        </w:numPr>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海外高层次人才团队项目。</w:t>
      </w:r>
    </w:p>
    <w:p w14:paraId="7ED11CA9">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t>在不违反相关法律法规及监管政策的前提下，子基金管理机构可对尚未实体运作项目进行投资决策、报送相关合规自查材料，必要时可先与项目团队签订发起人协议等文件。支持引导尚未实体运作项目在合理期限内注册企业实体，子基金作为发起人对企业进行股权投资。</w:t>
      </w:r>
    </w:p>
    <w:p w14:paraId="6D72D64C">
      <w:pP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40"/>
          <w:highlight w:val="none"/>
          <w:u w:val="none"/>
          <w:lang w:val="en-US" w:eastAsia="zh-CN" w:bidi="ar-SA"/>
        </w:rPr>
        <w:br w:type="page"/>
      </w:r>
    </w:p>
    <w:p w14:paraId="63A1513F">
      <w:pPr>
        <w:keepNext w:val="0"/>
        <w:keepLines w:val="0"/>
        <w:pageBreakBefore w:val="0"/>
        <w:widowControl/>
        <w:suppressLineNumbers w:val="0"/>
        <w:kinsoku/>
        <w:wordWrap/>
        <w:overflowPunct/>
        <w:topLinePunct w:val="0"/>
        <w:autoSpaceDE/>
        <w:autoSpaceDN/>
        <w:bidi w:val="0"/>
        <w:adjustRightInd/>
        <w:snapToGrid/>
        <w:jc w:val="left"/>
        <w:textAlignment w:val="auto"/>
        <w:rPr>
          <w:rFonts w:hint="eastAsia" w:ascii="Times New Roman" w:hAnsi="Times New Roman" w:eastAsia="宋体" w:cs="Times New Roman"/>
          <w:b w:val="0"/>
          <w:i w:val="0"/>
          <w:strike w:val="0"/>
          <w:color w:val="auto"/>
          <w:kern w:val="2"/>
          <w:sz w:val="28"/>
          <w:szCs w:val="36"/>
          <w:highlight w:val="none"/>
          <w:u w:val="none"/>
          <w:lang w:val="en-US" w:eastAsia="zh-CN" w:bidi="ar-SA"/>
        </w:rPr>
      </w:pPr>
      <w:r>
        <w:rPr>
          <w:rFonts w:hint="eastAsia" w:ascii="Times New Roman" w:hAnsi="Times New Roman" w:eastAsia="宋体" w:cs="Times New Roman"/>
          <w:b w:val="0"/>
          <w:i w:val="0"/>
          <w:strike w:val="0"/>
          <w:color w:val="auto"/>
          <w:kern w:val="2"/>
          <w:sz w:val="28"/>
          <w:szCs w:val="36"/>
          <w:highlight w:val="none"/>
          <w:u w:val="none"/>
          <w:lang w:val="en-US" w:eastAsia="zh-CN" w:bidi="ar-SA"/>
        </w:rPr>
        <w:t>附件二</w:t>
      </w:r>
    </w:p>
    <w:p w14:paraId="513A7899">
      <w:pPr>
        <w:keepNext w:val="0"/>
        <w:keepLines w:val="0"/>
        <w:pageBreakBefore w:val="0"/>
        <w:widowControl/>
        <w:suppressLineNumbers w:val="0"/>
        <w:kinsoku/>
        <w:wordWrap/>
        <w:overflowPunct/>
        <w:topLinePunct w:val="0"/>
        <w:autoSpaceDE/>
        <w:autoSpaceDN/>
        <w:bidi w:val="0"/>
        <w:adjustRightInd/>
        <w:snapToGrid/>
        <w:spacing w:before="0" w:beforeAutospacing="0" w:after="240" w:afterAutospacing="0" w:line="600" w:lineRule="exact"/>
        <w:ind w:left="0" w:leftChars="0" w:right="0" w:rightChars="0" w:firstLine="0" w:firstLineChars="0"/>
        <w:jc w:val="center"/>
        <w:textAlignment w:val="auto"/>
        <w:rPr>
          <w:rFonts w:hint="eastAsia" w:ascii="Times New Roman" w:hAnsi="Times New Roman" w:eastAsia="方正小标宋_GBK" w:cs="方正小标宋_GBK"/>
          <w:b/>
          <w:i w:val="0"/>
          <w:strike w:val="0"/>
          <w:color w:val="auto"/>
          <w:kern w:val="2"/>
          <w:sz w:val="44"/>
          <w:szCs w:val="44"/>
          <w:highlight w:val="none"/>
          <w:u w:val="none"/>
          <w:lang w:val="en-US" w:eastAsia="zh-CN" w:bidi="ar-SA"/>
        </w:rPr>
      </w:pPr>
      <w:r>
        <w:rPr>
          <w:rFonts w:hint="eastAsia" w:ascii="Times New Roman" w:hAnsi="Times New Roman" w:eastAsia="方正小标宋_GBK" w:cs="方正小标宋_GBK"/>
          <w:b/>
          <w:i w:val="0"/>
          <w:strike w:val="0"/>
          <w:color w:val="auto"/>
          <w:kern w:val="2"/>
          <w:sz w:val="44"/>
          <w:szCs w:val="44"/>
          <w:highlight w:val="none"/>
          <w:u w:val="none"/>
          <w:lang w:val="en-US" w:eastAsia="zh-CN" w:bidi="ar-SA"/>
        </w:rPr>
        <w:t>玄武区人工智能产业投资母基金</w:t>
      </w:r>
    </w:p>
    <w:p w14:paraId="44428CA6">
      <w:pPr>
        <w:keepNext w:val="0"/>
        <w:keepLines w:val="0"/>
        <w:pageBreakBefore w:val="0"/>
        <w:widowControl/>
        <w:suppressLineNumbers w:val="0"/>
        <w:kinsoku/>
        <w:wordWrap/>
        <w:overflowPunct/>
        <w:topLinePunct w:val="0"/>
        <w:autoSpaceDE/>
        <w:autoSpaceDN/>
        <w:bidi w:val="0"/>
        <w:adjustRightInd/>
        <w:snapToGrid/>
        <w:spacing w:before="0" w:beforeAutospacing="0" w:after="240" w:afterAutospacing="0" w:line="600" w:lineRule="exact"/>
        <w:ind w:left="0" w:leftChars="0" w:right="0" w:rightChars="0" w:firstLine="0" w:firstLineChars="0"/>
        <w:jc w:val="center"/>
        <w:textAlignment w:val="auto"/>
        <w:rPr>
          <w:rFonts w:hint="eastAsia" w:ascii="Times New Roman" w:hAnsi="Times New Roman" w:eastAsia="方正小标宋_GBK" w:cs="方正小标宋_GBK"/>
          <w:b/>
          <w:i w:val="0"/>
          <w:strike w:val="0"/>
          <w:color w:val="auto"/>
          <w:kern w:val="2"/>
          <w:sz w:val="44"/>
          <w:szCs w:val="44"/>
          <w:highlight w:val="none"/>
          <w:u w:val="none"/>
          <w:lang w:val="en-US" w:eastAsia="zh-CN" w:bidi="ar-SA"/>
        </w:rPr>
      </w:pPr>
      <w:r>
        <w:rPr>
          <w:rFonts w:hint="eastAsia" w:ascii="Times New Roman" w:hAnsi="Times New Roman" w:eastAsia="方正小标宋_GBK" w:cs="方正小标宋_GBK"/>
          <w:b/>
          <w:i w:val="0"/>
          <w:strike w:val="0"/>
          <w:color w:val="auto"/>
          <w:kern w:val="2"/>
          <w:sz w:val="44"/>
          <w:szCs w:val="44"/>
          <w:highlight w:val="none"/>
          <w:u w:val="none"/>
          <w:lang w:val="en-US" w:eastAsia="zh-CN" w:bidi="ar-SA"/>
        </w:rPr>
        <w:t>VC子基金管理机构要求</w:t>
      </w:r>
    </w:p>
    <w:p w14:paraId="756B3A2E">
      <w:pPr>
        <w:pStyle w:val="4"/>
        <w:keepNext w:val="0"/>
        <w:keepLines w:val="0"/>
        <w:pageBreakBefore w:val="0"/>
        <w:widowControl/>
        <w:suppressLineNumbers w:val="0"/>
        <w:kinsoku/>
        <w:wordWrap/>
        <w:overflowPunct/>
        <w:topLinePunct w:val="0"/>
        <w:autoSpaceDE/>
        <w:autoSpaceDN/>
        <w:bidi w:val="0"/>
        <w:adjustRightInd/>
        <w:snapToGrid/>
        <w:spacing w:before="240" w:beforeAutospacing="0" w:after="0" w:afterAutospacing="0" w:line="600" w:lineRule="exact"/>
        <w:ind w:left="0" w:leftChars="0" w:right="0" w:firstLine="640" w:firstLineChars="200"/>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VC子基金应重点围绕成长期的企业进行投资。</w:t>
      </w:r>
    </w:p>
    <w:p w14:paraId="7BB37D46">
      <w:pPr>
        <w:keepNext w:val="0"/>
        <w:keepLines w:val="0"/>
        <w:pageBreakBefore w:val="0"/>
        <w:widowControl/>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（一）发起方：</w:t>
      </w:r>
    </w:p>
    <w:p w14:paraId="0204A19A">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鼓励国内外知名投资机构发起设立基金，优先与市场头部创业投资机构合作（近三年曾在清科、投中等权威榜单中上榜最佳创业投资机构TOP50的机构）。</w:t>
      </w:r>
    </w:p>
    <w:p w14:paraId="0921EE25">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积极吸引中央企业、产业龙头/链主企业、大型金融机构发起设立基金，中央企业、产业龙头/链主企业或大型金融机构相关出资主体在子基金中出资不低于25%的，重点考量可为玄武区引进的资金和产业资源，可适当放宽下述要求。</w:t>
      </w:r>
    </w:p>
    <w:p w14:paraId="7C714491">
      <w:pPr>
        <w:keepNext w:val="0"/>
        <w:keepLines w:val="0"/>
        <w:pageBreakBefore w:val="0"/>
        <w:widowControl/>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（二）设立登记： 子基金管理机构由子基金发起方或其关联方担任，应在中国大陆依法设立公司或合伙企业，注册资本符合中国证券投资基金业协会的相关监管要求，并在中国证券投资基金业协会登记为私募基金管理人。相关管理主体在子基金中的出资比例不低于子基金认缴规模的1%。</w:t>
      </w:r>
    </w:p>
    <w:p w14:paraId="77940E93">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（三）内控制度： 管理机构有健全的股权投资管理和风险控制流程、规范的项目遴选和投资决策制度。</w:t>
      </w:r>
    </w:p>
    <w:p w14:paraId="64E5486C">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（四）管理团队： 管理团队稳定，至少配备3名具备3年以上股权投资或基金管理工作经验、具备良好管理业绩和职业操守信誉的专职高级管理人员。</w:t>
      </w:r>
    </w:p>
    <w:p w14:paraId="2A546B39">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（五）基金管理与投资能力： 子基金管理机构应具备良好的募资能力和投资业绩。子基金管理机构（含其主要股东或控股子公司）受托管理的私募股权基金和创业投资基金总规模不低于申报子基金规模的2倍或等值可自由兑换货币。管理机构或管理团队核心成员过往在申报子基金的重点投资领域中有相应投资及退出业绩，过往已投企业中至少有10个已实现保值增值退出，或在管基金IRR达到20%，或已投资3家上市公司、独角兽。</w:t>
      </w:r>
    </w:p>
    <w:p w14:paraId="5BF6BAD0">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（六）投后服务能力： 管理机构具备完善的投后服务体系，能提供战略规划、资源对接、合规风控、人才引育、融资赋能等全链条服务，助力被投项目快速成长、稳健运营、价值提升。</w:t>
      </w:r>
    </w:p>
    <w:p w14:paraId="0B373098">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（七）产业研究能力： 管理机构应具备子基金重点投资领域的产业研究能力，提交申请时，可结合南京市及玄武区产业情况，提交子基金重点投资领域的产业研究报告、拟设子基金投资策略与南京市及玄武区产业发展匹配情况，分析该领域国内技术短板、产业卡脖子问题以及南京产业链相关情况，并对该产业前沿技术的发展方向和趋势进行研究分析。</w:t>
      </w:r>
    </w:p>
    <w:p w14:paraId="7D52CE70">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（八）储备项目： 子基金管理机构应具备助力玄武区产业发展的能力，在重点领域及申报阶段拥有充足的项目储备，并提供储备项目的详细介绍材料，包括但不限于项目介绍PPT、内部报告、调研资料、跟进进展等。</w:t>
      </w:r>
    </w:p>
    <w:p w14:paraId="2E7B67FE">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（九）无相关监管处罚： 管理机构及其董事、监事、高级管理人员及其他从业人员在最近3年无重大违法违规行为。</w:t>
      </w:r>
    </w:p>
    <w:p w14:paraId="6C969E48">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（十）法律法规、中国证券投资基金业协会规定的其他条件。</w:t>
      </w:r>
    </w:p>
    <w:p w14:paraId="4C55D464">
      <w:pPr>
        <w:keepNext w:val="0"/>
        <w:keepLines w:val="0"/>
        <w:pageBreakBefore w:val="0"/>
        <w:widowControl/>
        <w:suppressLineNumbers w:val="0"/>
        <w:kinsoku/>
        <w:wordWrap/>
        <w:overflowPunct/>
        <w:topLinePunct w:val="0"/>
        <w:autoSpaceDE/>
        <w:autoSpaceDN/>
        <w:bidi w:val="0"/>
        <w:adjustRightInd/>
        <w:snapToGrid/>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p>
    <w:p w14:paraId="6EEE6FB7">
      <w:pPr>
        <w:rPr>
          <w:rFonts w:hint="default" w:ascii="Times New Roman" w:hAnsi="Times New Roman" w:eastAsia="宋体" w:cs="Times New Roman"/>
          <w:b w:val="0"/>
          <w:i w:val="0"/>
          <w:strike w:val="0"/>
          <w:color w:val="auto"/>
          <w:kern w:val="2"/>
          <w:sz w:val="28"/>
          <w:szCs w:val="36"/>
          <w:highlight w:val="none"/>
          <w:u w:val="none"/>
          <w:lang w:val="en-US" w:eastAsia="zh-CN" w:bidi="ar-SA"/>
        </w:rPr>
      </w:pPr>
      <w:r>
        <w:rPr>
          <w:rFonts w:hint="default" w:ascii="Times New Roman" w:hAnsi="Times New Roman" w:eastAsia="宋体" w:cs="Times New Roman"/>
          <w:b w:val="0"/>
          <w:i w:val="0"/>
          <w:strike w:val="0"/>
          <w:color w:val="auto"/>
          <w:kern w:val="2"/>
          <w:sz w:val="28"/>
          <w:szCs w:val="36"/>
          <w:highlight w:val="none"/>
          <w:u w:val="none"/>
          <w:lang w:val="en-US" w:eastAsia="zh-CN" w:bidi="ar-SA"/>
        </w:rPr>
        <w:br w:type="page"/>
      </w:r>
    </w:p>
    <w:p w14:paraId="01C12EB7">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ascii="Times New Roman" w:hAnsi="Times New Roman" w:eastAsia="宋体" w:cs="Times New Roman"/>
          <w:b w:val="0"/>
          <w:i w:val="0"/>
          <w:strike w:val="0"/>
          <w:color w:val="auto"/>
          <w:kern w:val="2"/>
          <w:sz w:val="28"/>
          <w:szCs w:val="36"/>
          <w:highlight w:val="none"/>
          <w:u w:val="none"/>
          <w:lang w:val="en-US" w:eastAsia="zh-CN" w:bidi="ar-SA"/>
        </w:rPr>
      </w:pPr>
      <w:r>
        <w:rPr>
          <w:rFonts w:hint="eastAsia" w:ascii="Times New Roman" w:hAnsi="Times New Roman" w:eastAsia="宋体" w:cs="Times New Roman"/>
          <w:b w:val="0"/>
          <w:i w:val="0"/>
          <w:strike w:val="0"/>
          <w:color w:val="auto"/>
          <w:kern w:val="2"/>
          <w:sz w:val="28"/>
          <w:szCs w:val="36"/>
          <w:highlight w:val="none"/>
          <w:u w:val="none"/>
          <w:lang w:val="en-US" w:eastAsia="zh-CN" w:bidi="ar-SA"/>
        </w:rPr>
        <w:t>附件三</w:t>
      </w:r>
    </w:p>
    <w:p w14:paraId="106F78E3">
      <w:pPr>
        <w:keepNext w:val="0"/>
        <w:keepLines w:val="0"/>
        <w:pageBreakBefore w:val="0"/>
        <w:widowControl/>
        <w:suppressLineNumbers w:val="0"/>
        <w:kinsoku/>
        <w:wordWrap/>
        <w:overflowPunct/>
        <w:topLinePunct w:val="0"/>
        <w:autoSpaceDE/>
        <w:autoSpaceDN/>
        <w:bidi w:val="0"/>
        <w:adjustRightInd/>
        <w:snapToGrid/>
        <w:spacing w:before="0" w:beforeAutospacing="0" w:after="240" w:afterAutospacing="0" w:line="600" w:lineRule="exact"/>
        <w:ind w:left="0" w:leftChars="0" w:right="0" w:rightChars="0" w:firstLine="0" w:firstLineChars="0"/>
        <w:jc w:val="center"/>
        <w:textAlignment w:val="auto"/>
        <w:rPr>
          <w:rFonts w:hint="eastAsia" w:ascii="Times New Roman" w:hAnsi="Times New Roman" w:eastAsia="方正小标宋_GBK" w:cs="方正小标宋_GBK"/>
          <w:b/>
          <w:i w:val="0"/>
          <w:strike w:val="0"/>
          <w:color w:val="auto"/>
          <w:kern w:val="2"/>
          <w:sz w:val="44"/>
          <w:szCs w:val="44"/>
          <w:highlight w:val="none"/>
          <w:u w:val="none"/>
          <w:lang w:val="en-US" w:eastAsia="zh-CN" w:bidi="ar-SA"/>
        </w:rPr>
      </w:pPr>
      <w:r>
        <w:rPr>
          <w:rFonts w:hint="eastAsia" w:ascii="Times New Roman" w:hAnsi="Times New Roman" w:eastAsia="方正小标宋_GBK" w:cs="方正小标宋_GBK"/>
          <w:b/>
          <w:i w:val="0"/>
          <w:strike w:val="0"/>
          <w:color w:val="auto"/>
          <w:kern w:val="2"/>
          <w:sz w:val="44"/>
          <w:szCs w:val="44"/>
          <w:highlight w:val="none"/>
          <w:u w:val="none"/>
          <w:lang w:val="en-US" w:eastAsia="zh-CN" w:bidi="ar-SA"/>
        </w:rPr>
        <w:t>玄武区人工智能产业投资母基金</w:t>
      </w:r>
    </w:p>
    <w:p w14:paraId="68F59C66">
      <w:pPr>
        <w:keepNext w:val="0"/>
        <w:keepLines w:val="0"/>
        <w:pageBreakBefore w:val="0"/>
        <w:widowControl/>
        <w:suppressLineNumbers w:val="0"/>
        <w:kinsoku/>
        <w:wordWrap/>
        <w:overflowPunct/>
        <w:topLinePunct w:val="0"/>
        <w:autoSpaceDE/>
        <w:autoSpaceDN/>
        <w:bidi w:val="0"/>
        <w:adjustRightInd/>
        <w:snapToGrid/>
        <w:spacing w:before="0" w:beforeAutospacing="0" w:after="240" w:afterAutospacing="0" w:line="600" w:lineRule="exact"/>
        <w:ind w:left="0" w:leftChars="0" w:right="0" w:rightChars="0" w:firstLine="0" w:firstLineChars="0"/>
        <w:jc w:val="center"/>
        <w:textAlignment w:val="auto"/>
        <w:rPr>
          <w:rFonts w:hint="eastAsia" w:ascii="Times New Roman" w:hAnsi="Times New Roman" w:eastAsia="方正小标宋_GBK" w:cs="方正小标宋_GBK"/>
          <w:b/>
          <w:i w:val="0"/>
          <w:strike w:val="0"/>
          <w:color w:val="auto"/>
          <w:kern w:val="2"/>
          <w:sz w:val="44"/>
          <w:szCs w:val="44"/>
          <w:highlight w:val="none"/>
          <w:u w:val="none"/>
          <w:lang w:val="en-US" w:eastAsia="zh-CN" w:bidi="ar-SA"/>
        </w:rPr>
      </w:pPr>
      <w:r>
        <w:rPr>
          <w:rFonts w:hint="eastAsia" w:ascii="Times New Roman" w:hAnsi="Times New Roman" w:eastAsia="方正小标宋_GBK" w:cs="方正小标宋_GBK"/>
          <w:b/>
          <w:i w:val="0"/>
          <w:strike w:val="0"/>
          <w:color w:val="auto"/>
          <w:kern w:val="2"/>
          <w:sz w:val="44"/>
          <w:szCs w:val="44"/>
          <w:highlight w:val="none"/>
          <w:u w:val="none"/>
          <w:lang w:val="en-US" w:eastAsia="zh-CN" w:bidi="ar-SA"/>
        </w:rPr>
        <w:t>PE子基金管理机构要求</w:t>
      </w:r>
    </w:p>
    <w:p w14:paraId="0F9EA764">
      <w:pPr>
        <w:pStyle w:val="4"/>
        <w:keepNext w:val="0"/>
        <w:keepLines w:val="0"/>
        <w:pageBreakBefore w:val="0"/>
        <w:widowControl/>
        <w:suppressLineNumbers w:val="0"/>
        <w:kinsoku/>
        <w:wordWrap/>
        <w:overflowPunct/>
        <w:topLinePunct w:val="0"/>
        <w:autoSpaceDE/>
        <w:autoSpaceDN/>
        <w:bidi w:val="0"/>
        <w:adjustRightInd/>
        <w:snapToGrid/>
        <w:spacing w:before="240" w:beforeAutospacing="0" w:after="0" w:afterAutospacing="0" w:line="600" w:lineRule="exact"/>
        <w:ind w:left="0" w:leftChars="0" w:right="0" w:firstLine="640" w:firstLineChars="200"/>
        <w:jc w:val="left"/>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PE子基金应重点围绕成熟期的企业进行投资。</w:t>
      </w:r>
    </w:p>
    <w:p w14:paraId="38565BE8">
      <w:pPr>
        <w:keepNext w:val="0"/>
        <w:keepLines w:val="0"/>
        <w:pageBreakBefore w:val="0"/>
        <w:widowControl/>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（一）发起方：</w:t>
      </w:r>
    </w:p>
    <w:p w14:paraId="1AAB1318">
      <w:pPr>
        <w:keepNext w:val="0"/>
        <w:keepLines w:val="0"/>
        <w:pageBreakBefore w:val="0"/>
        <w:widowControl/>
        <w:suppressLineNumbers w:val="0"/>
        <w:kinsoku/>
        <w:wordWrap/>
        <w:overflowPunct/>
        <w:topLinePunct w:val="0"/>
        <w:autoSpaceDE/>
        <w:autoSpaceDN/>
        <w:bidi w:val="0"/>
        <w:adjustRightInd/>
        <w:snapToGrid/>
        <w:spacing w:after="120"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iCs w:val="0"/>
          <w:caps w:val="0"/>
          <w:strike w:val="0"/>
          <w:color w:val="auto"/>
          <w:spacing w:val="0"/>
          <w:sz w:val="32"/>
          <w:szCs w:val="32"/>
          <w:highlight w:val="none"/>
          <w:u w:val="none"/>
        </w:rPr>
        <w:t>鼓励国内外知名投资机构发起设立基金，优先与市场头部私募股权投资机构合作（近三年曾在清科、投中等权威榜单中上榜最佳私募股权投资机构TOP50的机构）。</w:t>
      </w:r>
    </w:p>
    <w:p w14:paraId="0BD487DF">
      <w:pPr>
        <w:keepNext w:val="0"/>
        <w:keepLines w:val="0"/>
        <w:pageBreakBefore w:val="0"/>
        <w:widowControl/>
        <w:suppressLineNumbers w:val="0"/>
        <w:kinsoku/>
        <w:wordWrap/>
        <w:overflowPunct/>
        <w:topLinePunct w:val="0"/>
        <w:autoSpaceDE/>
        <w:autoSpaceDN/>
        <w:bidi w:val="0"/>
        <w:adjustRightInd/>
        <w:snapToGrid/>
        <w:spacing w:after="120"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iCs w:val="0"/>
          <w:caps w:val="0"/>
          <w:strike w:val="0"/>
          <w:color w:val="auto"/>
          <w:spacing w:val="0"/>
          <w:sz w:val="32"/>
          <w:szCs w:val="32"/>
          <w:highlight w:val="none"/>
          <w:u w:val="none"/>
        </w:rPr>
        <w:t>积极吸引中央企业、产业龙头/链主企业、大型金融机构发起设立基金，中央企业、产业龙头/链主企业或大型金融机构相关出资主体在子基金中出资不低于25%的，重点考量可为玄武区引进的资金和产业资源，可适当放宽下述要求。</w:t>
      </w:r>
    </w:p>
    <w:p w14:paraId="4909D72C">
      <w:pPr>
        <w:keepNext w:val="0"/>
        <w:keepLines w:val="0"/>
        <w:pageBreakBefore w:val="0"/>
        <w:widowControl/>
        <w:suppressLineNumbers w:val="0"/>
        <w:kinsoku/>
        <w:wordWrap/>
        <w:overflowPunct/>
        <w:topLinePunct w:val="0"/>
        <w:autoSpaceDE/>
        <w:autoSpaceDN/>
        <w:bidi w:val="0"/>
        <w:adjustRightInd/>
        <w:snapToGrid/>
        <w:spacing w:line="600" w:lineRule="exact"/>
        <w:ind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（二）设立登记： 子基金管理机构由子基金发起方或其关联方担任，应在中国大陆依法设立公司或合伙企业，注册资本符合中国证券投资基金业协会的相关监管要求，并在中国证券投资基金业协会登记为私募基金管理人。相关管理主体在子基金中的出资比例不低于子基金认缴规模的1%。</w:t>
      </w:r>
    </w:p>
    <w:p w14:paraId="48FA9925">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（三）内控制度： 管理机构有健全的股权投资管理和风险控制流程、规范的项目遴选和投资决策制度。</w:t>
      </w:r>
    </w:p>
    <w:p w14:paraId="71D1E25F">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（四）管理团队： 管理团队稳定，至少配备5名具备3年以上股权投资或基金管理工作经验、具备良好管理业绩和职业操守信誉的专职高级管理人员。</w:t>
      </w:r>
    </w:p>
    <w:p w14:paraId="02671930">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（五）基金管理与投资能力： 子基金管理机构应具备良好的募资能力和投资业绩。子基金管理机构（含其主要股东或控股子公司）受托管理的私募股权基金和创业投资基金总规模不低于人民币50亿元或等值可自由兑换货币。管理机构或管理团队核心成员过往在申报子基金的重点投资领域中有相应投资及退出业绩，过往已投企业中至少有10个已实现保值增值退出，或至少有8个已实现上市。</w:t>
      </w:r>
    </w:p>
    <w:p w14:paraId="7DB89983">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（六）投后服务能力： 管理机构具备完善的投后服务体系，能提供战略规划、资源对接、合规风控、人才引育、融资赋能等全链条服务，助力被投项目快速成长、稳健运营、价值提升。</w:t>
      </w:r>
    </w:p>
    <w:p w14:paraId="14999227">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（七）产业研究能力： 管理机构应具备子基金重点投资领域的产业研究能力，提交申请时，可结合南京市及玄武区产业情况，提交子基金重点投资领域的产业研究报告、拟设子基金投资策略与南京市及玄武区产业发展匹配情况，分析该领域国内技术短板、产业卡脖子问题以及南京产业链相关情况，并对该产业前沿技术的发展方向和趋势进行研究分析。</w:t>
      </w:r>
    </w:p>
    <w:p w14:paraId="77FBF3F9">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（八）储备项目： 子基金管理机构应具备助力玄武区产业发展的能力，在重点领域及申报阶段拥有充足的项目储备，并提供储备项目的详细介绍材料，包括但不限于项目介绍PPT、内部报告、调研资料、跟进进展等。</w:t>
      </w:r>
    </w:p>
    <w:p w14:paraId="6F222002">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（九）无相关监管处罚： 管理机构及其董事、监事、高级管理人员及其他从业人员在最近3年无重大违法违规行为。</w:t>
      </w:r>
    </w:p>
    <w:p w14:paraId="338B8B5C">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r>
        <w:rPr>
          <w:rFonts w:hint="eastAsia" w:ascii="Times New Roman" w:hAnsi="Times New Roman" w:eastAsia="方正仿宋_GBK" w:cs="方正仿宋_GBK"/>
          <w:b w:val="0"/>
          <w:i w:val="0"/>
          <w:strike w:val="0"/>
          <w:color w:val="auto"/>
          <w:kern w:val="2"/>
          <w:sz w:val="32"/>
          <w:szCs w:val="32"/>
          <w:highlight w:val="none"/>
          <w:u w:val="none"/>
          <w:lang w:val="en-US" w:eastAsia="zh-CN" w:bidi="ar-SA"/>
        </w:rPr>
        <w:t>（十）法律法规、中国证券投资基金业协会规定的其他条件。</w:t>
      </w:r>
    </w:p>
    <w:p w14:paraId="089E134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宋体" w:cs="Times New Roman"/>
          <w:b w:val="0"/>
          <w:i w:val="0"/>
          <w:strike w:val="0"/>
          <w:color w:val="auto"/>
          <w:kern w:val="2"/>
          <w:sz w:val="28"/>
          <w:szCs w:val="36"/>
          <w:highlight w:val="none"/>
          <w:u w:val="none"/>
          <w:lang w:val="en-US" w:eastAsia="zh-CN" w:bidi="ar-SA"/>
        </w:rPr>
      </w:pPr>
      <w:r>
        <w:rPr>
          <w:rFonts w:hint="default" w:ascii="Times New Roman" w:hAnsi="Times New Roman" w:eastAsia="宋体" w:cs="Times New Roman"/>
          <w:b w:val="0"/>
          <w:i w:val="0"/>
          <w:strike w:val="0"/>
          <w:color w:val="auto"/>
          <w:kern w:val="2"/>
          <w:sz w:val="28"/>
          <w:szCs w:val="36"/>
          <w:highlight w:val="none"/>
          <w:u w:val="none"/>
          <w:lang w:val="en-US" w:eastAsia="zh-CN" w:bidi="ar-SA"/>
        </w:rPr>
        <w:br w:type="page"/>
      </w:r>
    </w:p>
    <w:p w14:paraId="08551763">
      <w:pPr>
        <w:keepNext w:val="0"/>
        <w:keepLines w:val="0"/>
        <w:pageBreakBefore w:val="0"/>
        <w:widowControl/>
        <w:suppressLineNumbers w:val="0"/>
        <w:kinsoku/>
        <w:wordWrap/>
        <w:overflowPunct/>
        <w:topLinePunct w:val="0"/>
        <w:autoSpaceDE/>
        <w:autoSpaceDN/>
        <w:bidi w:val="0"/>
        <w:adjustRightInd/>
        <w:snapToGrid/>
        <w:jc w:val="both"/>
        <w:textAlignment w:val="auto"/>
        <w:rPr>
          <w:rFonts w:hint="eastAsia" w:ascii="Times New Roman" w:hAnsi="Times New Roman" w:eastAsia="宋体" w:cs="Times New Roman"/>
          <w:b w:val="0"/>
          <w:i w:val="0"/>
          <w:strike w:val="0"/>
          <w:color w:val="auto"/>
          <w:kern w:val="2"/>
          <w:sz w:val="28"/>
          <w:szCs w:val="36"/>
          <w:highlight w:val="none"/>
          <w:u w:val="none"/>
          <w:lang w:val="en-US" w:eastAsia="zh-CN" w:bidi="ar-SA"/>
        </w:rPr>
      </w:pPr>
      <w:r>
        <w:rPr>
          <w:rFonts w:hint="eastAsia" w:ascii="Times New Roman" w:hAnsi="Times New Roman" w:eastAsia="宋体" w:cs="Times New Roman"/>
          <w:b w:val="0"/>
          <w:i w:val="0"/>
          <w:strike w:val="0"/>
          <w:color w:val="auto"/>
          <w:kern w:val="2"/>
          <w:sz w:val="28"/>
          <w:szCs w:val="36"/>
          <w:highlight w:val="none"/>
          <w:u w:val="none"/>
          <w:lang w:val="en-US" w:eastAsia="zh-CN" w:bidi="ar-SA"/>
        </w:rPr>
        <w:t>附件四</w:t>
      </w:r>
    </w:p>
    <w:p w14:paraId="104D75B2">
      <w:pPr>
        <w:keepNext w:val="0"/>
        <w:keepLines w:val="0"/>
        <w:pageBreakBefore w:val="0"/>
        <w:widowControl/>
        <w:suppressLineNumbers w:val="0"/>
        <w:kinsoku/>
        <w:wordWrap/>
        <w:overflowPunct/>
        <w:topLinePunct w:val="0"/>
        <w:autoSpaceDE/>
        <w:autoSpaceDN/>
        <w:bidi w:val="0"/>
        <w:adjustRightInd/>
        <w:snapToGrid/>
        <w:spacing w:before="0" w:beforeAutospacing="0" w:after="240" w:afterAutospacing="0" w:line="600" w:lineRule="exact"/>
        <w:ind w:left="0" w:leftChars="0" w:right="0" w:rightChars="0" w:firstLine="0" w:firstLineChars="0"/>
        <w:jc w:val="center"/>
        <w:textAlignment w:val="auto"/>
        <w:rPr>
          <w:rFonts w:hint="eastAsia" w:ascii="Times New Roman" w:hAnsi="Times New Roman" w:eastAsia="方正小标宋_GBK" w:cs="方正小标宋_GBK"/>
          <w:b/>
          <w:i w:val="0"/>
          <w:strike w:val="0"/>
          <w:color w:val="auto"/>
          <w:kern w:val="2"/>
          <w:sz w:val="44"/>
          <w:szCs w:val="44"/>
          <w:highlight w:val="none"/>
          <w:u w:val="none"/>
          <w:lang w:val="en-US" w:eastAsia="zh-CN" w:bidi="ar-SA"/>
        </w:rPr>
      </w:pPr>
      <w:r>
        <w:rPr>
          <w:rFonts w:hint="eastAsia" w:ascii="Times New Roman" w:hAnsi="Times New Roman" w:eastAsia="方正小标宋_GBK" w:cs="方正小标宋_GBK"/>
          <w:b/>
          <w:i w:val="0"/>
          <w:strike w:val="0"/>
          <w:color w:val="auto"/>
          <w:kern w:val="2"/>
          <w:sz w:val="44"/>
          <w:szCs w:val="44"/>
          <w:highlight w:val="none"/>
          <w:u w:val="none"/>
          <w:lang w:val="en-US" w:eastAsia="zh-CN" w:bidi="ar-SA"/>
        </w:rPr>
        <w:t>玄武区人工智能产业投资母基金</w:t>
      </w:r>
    </w:p>
    <w:p w14:paraId="6902B1BE">
      <w:pPr>
        <w:keepNext w:val="0"/>
        <w:keepLines w:val="0"/>
        <w:pageBreakBefore w:val="0"/>
        <w:widowControl/>
        <w:suppressLineNumbers w:val="0"/>
        <w:kinsoku/>
        <w:wordWrap/>
        <w:overflowPunct/>
        <w:topLinePunct w:val="0"/>
        <w:autoSpaceDE/>
        <w:autoSpaceDN/>
        <w:bidi w:val="0"/>
        <w:adjustRightInd/>
        <w:snapToGrid/>
        <w:spacing w:before="0" w:beforeAutospacing="0" w:after="240" w:afterAutospacing="0" w:line="600" w:lineRule="exact"/>
        <w:ind w:left="0" w:leftChars="0" w:right="0" w:rightChars="0" w:firstLine="0" w:firstLineChars="0"/>
        <w:jc w:val="center"/>
        <w:textAlignment w:val="auto"/>
        <w:rPr>
          <w:rFonts w:hint="eastAsia" w:ascii="Times New Roman" w:hAnsi="Times New Roman" w:eastAsia="方正小标宋_GBK" w:cs="方正小标宋_GBK"/>
          <w:b/>
          <w:i w:val="0"/>
          <w:strike w:val="0"/>
          <w:color w:val="auto"/>
          <w:kern w:val="2"/>
          <w:sz w:val="44"/>
          <w:szCs w:val="44"/>
          <w:highlight w:val="none"/>
          <w:u w:val="none"/>
          <w:lang w:val="en-US" w:eastAsia="zh-CN" w:bidi="ar-SA"/>
        </w:rPr>
      </w:pPr>
      <w:r>
        <w:rPr>
          <w:rFonts w:hint="eastAsia" w:ascii="Times New Roman" w:hAnsi="Times New Roman" w:eastAsia="方正小标宋_GBK" w:cs="方正小标宋_GBK"/>
          <w:b/>
          <w:i w:val="0"/>
          <w:strike w:val="0"/>
          <w:color w:val="auto"/>
          <w:kern w:val="2"/>
          <w:sz w:val="44"/>
          <w:szCs w:val="44"/>
          <w:highlight w:val="none"/>
          <w:u w:val="none"/>
          <w:lang w:val="en-US" w:eastAsia="zh-CN" w:bidi="ar-SA"/>
        </w:rPr>
        <w:t>并购子基金管理机构要求</w:t>
      </w:r>
    </w:p>
    <w:p w14:paraId="6D7B07C8">
      <w:pPr>
        <w:spacing w:line="600" w:lineRule="exact"/>
        <w:ind w:firstLine="640" w:firstLineChars="200"/>
        <w:jc w:val="both"/>
        <w:rPr>
          <w:rFonts w:hint="eastAsia" w:ascii="Times New Roman" w:hAnsi="Times New Roman" w:eastAsia="方正仿宋_GBK" w:cs="方正仿宋_GBK"/>
          <w:color w:val="auto"/>
          <w:spacing w:val="0"/>
          <w:kern w:val="2"/>
          <w:sz w:val="32"/>
          <w:szCs w:val="32"/>
          <w:highlight w:val="none"/>
          <w:u w:val="none"/>
          <w:lang w:val="en-US" w:eastAsia="zh-CN" w:bidi="ar-SA"/>
        </w:rPr>
      </w:pPr>
      <w:r>
        <w:rPr>
          <w:rFonts w:hint="eastAsia" w:ascii="Times New Roman" w:hAnsi="Times New Roman" w:eastAsia="方正仿宋_GBK" w:cs="方正仿宋_GBK"/>
          <w:color w:val="auto"/>
          <w:spacing w:val="0"/>
          <w:sz w:val="32"/>
          <w:szCs w:val="32"/>
          <w:highlight w:val="none"/>
          <w:u w:val="none"/>
        </w:rPr>
        <w:t>并购子基金以支持企业并购重组、产业整合和转型升级为主要目标，聚焦成熟期企业或优质资产，通过整合重组实现资源集中与技术突破，补齐产业链短板。</w:t>
      </w:r>
    </w:p>
    <w:p w14:paraId="0369339C">
      <w:pPr>
        <w:spacing w:line="600" w:lineRule="exact"/>
        <w:ind w:firstLine="640" w:firstLineChars="200"/>
        <w:jc w:val="both"/>
        <w:rPr>
          <w:rFonts w:hint="eastAsia" w:ascii="Times New Roman" w:hAnsi="Times New Roman" w:eastAsia="方正仿宋_GBK" w:cs="方正仿宋_GBK"/>
          <w:color w:val="auto"/>
          <w:spacing w:val="0"/>
          <w:kern w:val="2"/>
          <w:sz w:val="32"/>
          <w:szCs w:val="32"/>
          <w:highlight w:val="none"/>
          <w:u w:val="none"/>
          <w:lang w:val="en-US" w:eastAsia="zh-CN" w:bidi="ar-SA"/>
        </w:rPr>
      </w:pPr>
      <w:r>
        <w:rPr>
          <w:rFonts w:hint="eastAsia" w:ascii="Times New Roman" w:hAnsi="Times New Roman" w:eastAsia="方正仿宋_GBK" w:cs="方正仿宋_GBK"/>
          <w:color w:val="auto"/>
          <w:spacing w:val="0"/>
          <w:kern w:val="2"/>
          <w:sz w:val="32"/>
          <w:szCs w:val="32"/>
          <w:highlight w:val="none"/>
          <w:u w:val="none"/>
          <w:lang w:val="en-US" w:eastAsia="zh-CN" w:bidi="ar-SA"/>
        </w:rPr>
        <w:t>（一）发起方：</w:t>
      </w:r>
    </w:p>
    <w:p w14:paraId="03F541C5">
      <w:pPr>
        <w:spacing w:line="600" w:lineRule="exact"/>
        <w:ind w:firstLine="640" w:firstLineChars="200"/>
        <w:jc w:val="both"/>
        <w:rPr>
          <w:rFonts w:hint="eastAsia" w:ascii="Times New Roman" w:hAnsi="Times New Roman" w:eastAsia="方正仿宋_GBK" w:cs="方正仿宋_GBK"/>
          <w:color w:val="auto"/>
          <w:spacing w:val="0"/>
          <w:kern w:val="2"/>
          <w:sz w:val="32"/>
          <w:szCs w:val="32"/>
          <w:highlight w:val="none"/>
          <w:u w:val="none"/>
          <w:lang w:val="en-US" w:eastAsia="zh-CN" w:bidi="ar-SA"/>
        </w:rPr>
      </w:pPr>
      <w:r>
        <w:rPr>
          <w:rFonts w:hint="eastAsia" w:ascii="Times New Roman" w:hAnsi="Times New Roman" w:eastAsia="方正仿宋_GBK" w:cs="方正仿宋_GBK"/>
          <w:color w:val="auto"/>
          <w:spacing w:val="0"/>
          <w:sz w:val="32"/>
          <w:szCs w:val="32"/>
          <w:highlight w:val="none"/>
          <w:u w:val="none"/>
        </w:rPr>
        <w:t>鼓励国内外知名投资机构发起设立基金，优先与市场头部并购投资机构合作（近三年曾在清科、投中等权威榜单中上榜最佳并购投资机构TOP50的机构）。</w:t>
      </w:r>
    </w:p>
    <w:p w14:paraId="177EBEDB">
      <w:pPr>
        <w:spacing w:line="600" w:lineRule="exact"/>
        <w:ind w:firstLine="640" w:firstLineChars="200"/>
        <w:jc w:val="both"/>
        <w:rPr>
          <w:rFonts w:hint="eastAsia" w:ascii="Times New Roman" w:hAnsi="Times New Roman" w:eastAsia="方正仿宋_GBK" w:cs="方正仿宋_GBK"/>
          <w:color w:val="auto"/>
          <w:spacing w:val="0"/>
          <w:kern w:val="2"/>
          <w:sz w:val="32"/>
          <w:szCs w:val="32"/>
          <w:highlight w:val="none"/>
          <w:u w:val="none"/>
          <w:lang w:val="en-US" w:eastAsia="zh-CN" w:bidi="ar-SA"/>
        </w:rPr>
      </w:pPr>
      <w:r>
        <w:rPr>
          <w:rFonts w:hint="eastAsia" w:ascii="Times New Roman" w:hAnsi="Times New Roman" w:eastAsia="方正仿宋_GBK" w:cs="方正仿宋_GBK"/>
          <w:color w:val="auto"/>
          <w:spacing w:val="0"/>
          <w:sz w:val="32"/>
          <w:szCs w:val="32"/>
          <w:highlight w:val="none"/>
          <w:u w:val="none"/>
        </w:rPr>
        <w:t>积极吸引中央企业、产业龙头/链主企业、大型金融机构发起设立基金，中央企业、产业龙头/链主企业或大型金融机构相关出资主体在子基金中出资不低于25%的，重点考量可为南京市</w:t>
      </w:r>
      <w:r>
        <w:rPr>
          <w:rFonts w:hint="eastAsia" w:ascii="Times New Roman" w:hAnsi="Times New Roman" w:eastAsia="方正仿宋_GBK" w:cs="方正仿宋_GBK"/>
          <w:color w:val="auto"/>
          <w:spacing w:val="0"/>
          <w:sz w:val="32"/>
          <w:szCs w:val="32"/>
          <w:highlight w:val="none"/>
          <w:u w:val="none"/>
          <w:lang w:val="en-US" w:eastAsia="zh-CN"/>
        </w:rPr>
        <w:t>及玄武区</w:t>
      </w:r>
      <w:r>
        <w:rPr>
          <w:rFonts w:hint="eastAsia" w:ascii="Times New Roman" w:hAnsi="Times New Roman" w:eastAsia="方正仿宋_GBK" w:cs="方正仿宋_GBK"/>
          <w:color w:val="auto"/>
          <w:spacing w:val="0"/>
          <w:sz w:val="32"/>
          <w:szCs w:val="32"/>
          <w:highlight w:val="none"/>
          <w:u w:val="none"/>
        </w:rPr>
        <w:t>引进的资金和产业资源，可适当放宽下述要求。</w:t>
      </w:r>
    </w:p>
    <w:p w14:paraId="27216158">
      <w:pPr>
        <w:spacing w:line="600" w:lineRule="exact"/>
        <w:ind w:firstLine="640" w:firstLineChars="200"/>
        <w:jc w:val="both"/>
        <w:rPr>
          <w:rFonts w:hint="eastAsia" w:ascii="Times New Roman" w:hAnsi="Times New Roman" w:eastAsia="方正仿宋_GBK" w:cs="方正仿宋_GBK"/>
          <w:color w:val="auto"/>
          <w:spacing w:val="0"/>
          <w:kern w:val="2"/>
          <w:sz w:val="32"/>
          <w:szCs w:val="32"/>
          <w:highlight w:val="none"/>
          <w:u w:val="none"/>
          <w:lang w:val="en-US" w:eastAsia="zh-CN" w:bidi="ar-SA"/>
        </w:rPr>
      </w:pPr>
      <w:r>
        <w:rPr>
          <w:rFonts w:hint="eastAsia" w:ascii="Times New Roman" w:hAnsi="Times New Roman" w:eastAsia="方正仿宋_GBK" w:cs="方正仿宋_GBK"/>
          <w:color w:val="auto"/>
          <w:spacing w:val="0"/>
          <w:kern w:val="2"/>
          <w:sz w:val="32"/>
          <w:szCs w:val="32"/>
          <w:highlight w:val="none"/>
          <w:u w:val="none"/>
          <w:lang w:val="en-US" w:eastAsia="zh-CN" w:bidi="ar-SA"/>
        </w:rPr>
        <w:t>（二）设立登记：子基金管理机构由子基金发起方或其关联方担任，应在中国大陆依法设立公司或合伙企业，注册资本符合中国证券投资基金业协会的相关监管要求，并在中国证券投资基金业协会登记为私募基金管理人。相关管理主体在子基金的出资比例不低于子基金认缴规模的1%。</w:t>
      </w:r>
    </w:p>
    <w:p w14:paraId="08E07242">
      <w:pPr>
        <w:spacing w:line="600" w:lineRule="exact"/>
        <w:ind w:firstLine="640" w:firstLineChars="200"/>
        <w:jc w:val="both"/>
        <w:rPr>
          <w:rFonts w:hint="eastAsia" w:ascii="Times New Roman" w:hAnsi="Times New Roman" w:eastAsia="方正仿宋_GBK" w:cs="方正仿宋_GBK"/>
          <w:color w:val="auto"/>
          <w:spacing w:val="0"/>
          <w:kern w:val="2"/>
          <w:sz w:val="32"/>
          <w:szCs w:val="32"/>
          <w:highlight w:val="none"/>
          <w:u w:val="none"/>
          <w:lang w:val="en-US" w:eastAsia="zh-CN" w:bidi="ar-SA"/>
        </w:rPr>
      </w:pPr>
      <w:r>
        <w:rPr>
          <w:rFonts w:hint="eastAsia" w:ascii="Times New Roman" w:hAnsi="Times New Roman" w:eastAsia="方正仿宋_GBK" w:cs="方正仿宋_GBK"/>
          <w:color w:val="auto"/>
          <w:spacing w:val="0"/>
          <w:kern w:val="2"/>
          <w:sz w:val="32"/>
          <w:szCs w:val="32"/>
          <w:highlight w:val="none"/>
          <w:u w:val="none"/>
          <w:lang w:val="en-US" w:eastAsia="zh-CN" w:bidi="ar-SA"/>
        </w:rPr>
        <w:t>（三）内控制度：管理机构有健全的股权投资管理和风险控制流程、规范的项目遴选和投资决策制度。</w:t>
      </w:r>
    </w:p>
    <w:p w14:paraId="18EE5C24">
      <w:pPr>
        <w:spacing w:line="600" w:lineRule="exact"/>
        <w:ind w:firstLine="640" w:firstLineChars="200"/>
        <w:jc w:val="both"/>
        <w:rPr>
          <w:rFonts w:hint="eastAsia" w:ascii="Times New Roman" w:hAnsi="Times New Roman" w:eastAsia="方正仿宋_GBK" w:cs="方正仿宋_GBK"/>
          <w:color w:val="auto"/>
          <w:spacing w:val="0"/>
          <w:kern w:val="2"/>
          <w:sz w:val="32"/>
          <w:szCs w:val="32"/>
          <w:highlight w:val="none"/>
          <w:u w:val="none"/>
          <w:lang w:val="en-US" w:eastAsia="zh-CN" w:bidi="ar-SA"/>
        </w:rPr>
      </w:pPr>
      <w:r>
        <w:rPr>
          <w:rFonts w:hint="eastAsia" w:ascii="Times New Roman" w:hAnsi="Times New Roman" w:eastAsia="方正仿宋_GBK" w:cs="方正仿宋_GBK"/>
          <w:color w:val="auto"/>
          <w:spacing w:val="0"/>
          <w:kern w:val="2"/>
          <w:sz w:val="32"/>
          <w:szCs w:val="32"/>
          <w:highlight w:val="none"/>
          <w:u w:val="none"/>
          <w:lang w:val="en-US" w:eastAsia="zh-CN" w:bidi="ar-SA"/>
        </w:rPr>
        <w:t>（四）管理团队：管理团队稳定，至少配备5名具备3年以上并购投资及基金管理工作经验、具备良好管理业绩和职业操守信誉的专职高级管理人员，且管理团队具备成熟的并购整合实操能力。</w:t>
      </w:r>
    </w:p>
    <w:p w14:paraId="4EC46809">
      <w:pPr>
        <w:spacing w:line="600" w:lineRule="exact"/>
        <w:ind w:firstLine="640" w:firstLineChars="200"/>
        <w:jc w:val="both"/>
        <w:rPr>
          <w:rFonts w:hint="eastAsia" w:ascii="Times New Roman" w:hAnsi="Times New Roman" w:eastAsia="方正仿宋_GBK" w:cs="方正仿宋_GBK"/>
          <w:color w:val="auto"/>
          <w:spacing w:val="0"/>
          <w:kern w:val="2"/>
          <w:sz w:val="32"/>
          <w:szCs w:val="32"/>
          <w:highlight w:val="none"/>
          <w:u w:val="none"/>
          <w:lang w:val="en-US" w:eastAsia="zh-CN" w:bidi="ar-SA"/>
        </w:rPr>
      </w:pPr>
      <w:r>
        <w:rPr>
          <w:rFonts w:hint="eastAsia" w:ascii="Times New Roman" w:hAnsi="Times New Roman" w:eastAsia="方正仿宋_GBK" w:cs="方正仿宋_GBK"/>
          <w:color w:val="auto"/>
          <w:spacing w:val="0"/>
          <w:kern w:val="2"/>
          <w:sz w:val="32"/>
          <w:szCs w:val="32"/>
          <w:highlight w:val="none"/>
          <w:u w:val="none"/>
          <w:lang w:val="en-US" w:eastAsia="zh-CN" w:bidi="ar-SA"/>
        </w:rPr>
        <w:t>（五）基金管理与投资能力：子基金管理机构应具备良好的募资能力和投资业绩。子基金管理机构（含其主要股东或控股子公司）受托管理的私募股权基金和创业投资基金总规模不低于人民币50亿元或等值可自由兑换货币。管理机构或管理团队核心成员应有成功主导完成的并购投资交易。</w:t>
      </w:r>
    </w:p>
    <w:p w14:paraId="3EF4627B">
      <w:pPr>
        <w:spacing w:line="600" w:lineRule="exact"/>
        <w:ind w:firstLine="640" w:firstLineChars="200"/>
        <w:jc w:val="both"/>
        <w:rPr>
          <w:rFonts w:hint="eastAsia" w:ascii="Times New Roman" w:hAnsi="Times New Roman" w:eastAsia="方正仿宋_GBK" w:cs="方正仿宋_GBK"/>
          <w:color w:val="auto"/>
          <w:spacing w:val="0"/>
          <w:kern w:val="2"/>
          <w:sz w:val="32"/>
          <w:szCs w:val="32"/>
          <w:highlight w:val="none"/>
          <w:u w:val="none"/>
          <w:lang w:val="en-US" w:eastAsia="zh-CN" w:bidi="ar-SA"/>
        </w:rPr>
      </w:pPr>
      <w:r>
        <w:rPr>
          <w:rFonts w:hint="eastAsia" w:ascii="Times New Roman" w:hAnsi="Times New Roman" w:eastAsia="方正仿宋_GBK" w:cs="方正仿宋_GBK"/>
          <w:color w:val="auto"/>
          <w:spacing w:val="0"/>
          <w:kern w:val="2"/>
          <w:sz w:val="32"/>
          <w:szCs w:val="32"/>
          <w:highlight w:val="none"/>
          <w:u w:val="none"/>
          <w:lang w:val="en-US" w:eastAsia="zh-CN" w:bidi="ar-SA"/>
        </w:rPr>
        <w:t>（六）投后服务能力：管理机构拥有丰富的上市公司、产业集团及中介机构（券商、律所等）资源，能够为被投企业提供产业赋能、战略梳理、运营提升、并购标的撮合等增值服务。</w:t>
      </w:r>
    </w:p>
    <w:p w14:paraId="29DB6202">
      <w:pPr>
        <w:spacing w:line="600" w:lineRule="exact"/>
        <w:ind w:firstLine="640" w:firstLineChars="200"/>
        <w:jc w:val="both"/>
        <w:rPr>
          <w:rFonts w:hint="eastAsia" w:ascii="Times New Roman" w:hAnsi="Times New Roman" w:eastAsia="方正仿宋_GBK" w:cs="方正仿宋_GBK"/>
          <w:color w:val="auto"/>
          <w:spacing w:val="0"/>
          <w:kern w:val="2"/>
          <w:sz w:val="32"/>
          <w:szCs w:val="32"/>
          <w:highlight w:val="none"/>
          <w:u w:val="none"/>
          <w:lang w:val="en-US" w:eastAsia="zh-CN" w:bidi="ar-SA"/>
        </w:rPr>
      </w:pPr>
      <w:r>
        <w:rPr>
          <w:rFonts w:hint="eastAsia" w:ascii="Times New Roman" w:hAnsi="Times New Roman" w:eastAsia="方正仿宋_GBK" w:cs="方正仿宋_GBK"/>
          <w:color w:val="auto"/>
          <w:spacing w:val="0"/>
          <w:kern w:val="2"/>
          <w:sz w:val="32"/>
          <w:szCs w:val="32"/>
          <w:highlight w:val="none"/>
          <w:u w:val="none"/>
          <w:lang w:val="en-US" w:eastAsia="zh-CN" w:bidi="ar-SA"/>
        </w:rPr>
        <w:t>（七）产业研究能力：管理机构应具备子基金重点投资领域的产业研究能力，提交申请时，可结合南京市及玄武区产业情况，提交子基金重点投资领域的产业研究报告、拟设子基金投资策略与南京市及玄武区产业发展匹配情况，分析该领域国内技术短板、产业卡脖子问题以及南京产业链相关情况，并对该产业前沿技术的发展方向和趋势进行研究分析。</w:t>
      </w:r>
    </w:p>
    <w:p w14:paraId="7CE13F04">
      <w:pPr>
        <w:spacing w:line="600" w:lineRule="exact"/>
        <w:ind w:firstLine="640" w:firstLineChars="200"/>
        <w:jc w:val="both"/>
        <w:rPr>
          <w:rFonts w:hint="eastAsia" w:ascii="Times New Roman" w:hAnsi="Times New Roman" w:eastAsia="方正仿宋_GBK" w:cs="方正仿宋_GBK"/>
          <w:color w:val="auto"/>
          <w:spacing w:val="0"/>
          <w:kern w:val="2"/>
          <w:sz w:val="32"/>
          <w:szCs w:val="32"/>
          <w:highlight w:val="none"/>
          <w:u w:val="none"/>
          <w:lang w:val="en-US" w:eastAsia="zh-CN" w:bidi="ar-SA"/>
        </w:rPr>
      </w:pPr>
      <w:r>
        <w:rPr>
          <w:rFonts w:hint="eastAsia" w:ascii="Times New Roman" w:hAnsi="Times New Roman" w:eastAsia="方正仿宋_GBK" w:cs="方正仿宋_GBK"/>
          <w:color w:val="auto"/>
          <w:spacing w:val="0"/>
          <w:kern w:val="2"/>
          <w:sz w:val="32"/>
          <w:szCs w:val="32"/>
          <w:highlight w:val="none"/>
          <w:u w:val="none"/>
          <w:lang w:val="en-US" w:eastAsia="zh-CN" w:bidi="ar-SA"/>
        </w:rPr>
        <w:t>（八）储备项目：子基金管理机构应具备助力玄武区产业发展的能力，在重点领域及申报阶段拥有充足的项目储备，并提供储备项目的详细介绍材料，包括但不限于项目介绍PPT、内部报告、调研资料，跟进进展等。</w:t>
      </w:r>
    </w:p>
    <w:p w14:paraId="7189C62C">
      <w:pPr>
        <w:spacing w:line="600" w:lineRule="exact"/>
        <w:ind w:firstLine="640" w:firstLineChars="200"/>
        <w:jc w:val="both"/>
        <w:rPr>
          <w:rFonts w:hint="eastAsia" w:ascii="Times New Roman" w:hAnsi="Times New Roman" w:eastAsia="方正仿宋_GBK" w:cs="方正仿宋_GBK"/>
          <w:color w:val="auto"/>
          <w:spacing w:val="0"/>
          <w:kern w:val="2"/>
          <w:sz w:val="32"/>
          <w:szCs w:val="32"/>
          <w:highlight w:val="none"/>
          <w:u w:val="none"/>
          <w:lang w:val="en-US" w:eastAsia="zh-CN" w:bidi="ar-SA"/>
        </w:rPr>
      </w:pPr>
      <w:r>
        <w:rPr>
          <w:rFonts w:hint="eastAsia" w:ascii="Times New Roman" w:hAnsi="Times New Roman" w:eastAsia="方正仿宋_GBK" w:cs="方正仿宋_GBK"/>
          <w:color w:val="auto"/>
          <w:spacing w:val="0"/>
          <w:kern w:val="2"/>
          <w:sz w:val="32"/>
          <w:szCs w:val="32"/>
          <w:highlight w:val="none"/>
          <w:u w:val="none"/>
          <w:lang w:val="en-US" w:eastAsia="zh-CN" w:bidi="ar-SA"/>
        </w:rPr>
        <w:t>（九）无相关监管处罚：管理机构及其董事、监事、高级管理人员及其他从业人员在最近3年无重大违法违规行为；</w:t>
      </w:r>
    </w:p>
    <w:p w14:paraId="304E7A89">
      <w:pPr>
        <w:spacing w:line="600" w:lineRule="exact"/>
        <w:ind w:firstLine="640" w:firstLineChars="200"/>
        <w:jc w:val="both"/>
        <w:rPr>
          <w:rFonts w:hint="eastAsia" w:ascii="Times New Roman" w:hAnsi="Times New Roman" w:eastAsia="方正仿宋_GBK" w:cs="方正仿宋_GBK"/>
          <w:color w:val="auto"/>
          <w:spacing w:val="0"/>
          <w:kern w:val="2"/>
          <w:sz w:val="32"/>
          <w:szCs w:val="32"/>
          <w:highlight w:val="none"/>
          <w:u w:val="none"/>
          <w:lang w:val="en-US" w:eastAsia="zh-CN" w:bidi="ar-SA"/>
        </w:rPr>
      </w:pPr>
      <w:r>
        <w:rPr>
          <w:rFonts w:hint="eastAsia" w:ascii="Times New Roman" w:hAnsi="Times New Roman" w:eastAsia="方正仿宋_GBK" w:cs="方正仿宋_GBK"/>
          <w:color w:val="auto"/>
          <w:spacing w:val="0"/>
          <w:kern w:val="2"/>
          <w:sz w:val="32"/>
          <w:szCs w:val="32"/>
          <w:highlight w:val="none"/>
          <w:u w:val="none"/>
          <w:lang w:val="en-US" w:eastAsia="zh-CN" w:bidi="ar-SA"/>
        </w:rPr>
        <w:t>（十）法律法规、中国证券投资基金业协会规定的其他条件。</w:t>
      </w:r>
    </w:p>
    <w:p w14:paraId="39C8DC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leftChars="0" w:right="0" w:rightChars="0" w:firstLine="640" w:firstLineChars="200"/>
        <w:jc w:val="both"/>
        <w:textAlignment w:val="auto"/>
        <w:rPr>
          <w:rFonts w:hint="eastAsia" w:ascii="Times New Roman" w:hAnsi="Times New Roman" w:eastAsia="方正仿宋_GBK" w:cs="方正仿宋_GBK"/>
          <w:b w:val="0"/>
          <w:i w:val="0"/>
          <w:strike w:val="0"/>
          <w:color w:val="auto"/>
          <w:kern w:val="2"/>
          <w:sz w:val="32"/>
          <w:szCs w:val="32"/>
          <w:highlight w:val="none"/>
          <w:u w:val="none"/>
          <w:lang w:val="en-US" w:eastAsia="zh-CN" w:bidi="ar-SA"/>
        </w:rPr>
      </w:pPr>
    </w:p>
    <w:p w14:paraId="0EB892FD">
      <w:pPr>
        <w:keepNext w:val="0"/>
        <w:keepLines w:val="0"/>
        <w:pageBreakBefore w:val="0"/>
        <w:widowControl/>
        <w:suppressLineNumbers w:val="0"/>
        <w:kinsoku/>
        <w:wordWrap/>
        <w:overflowPunct/>
        <w:topLinePunct w:val="0"/>
        <w:autoSpaceDE/>
        <w:autoSpaceDN/>
        <w:bidi w:val="0"/>
        <w:adjustRightInd/>
        <w:snapToGrid/>
        <w:spacing w:line="600" w:lineRule="exact"/>
        <w:ind w:left="0" w:leftChars="0" w:firstLine="560" w:firstLineChars="200"/>
        <w:jc w:val="both"/>
        <w:textAlignment w:val="auto"/>
        <w:rPr>
          <w:rFonts w:hint="default" w:ascii="Times New Roman" w:hAnsi="Times New Roman" w:eastAsia="宋体" w:cs="Times New Roman"/>
          <w:b w:val="0"/>
          <w:i w:val="0"/>
          <w:strike w:val="0"/>
          <w:color w:val="auto"/>
          <w:kern w:val="2"/>
          <w:sz w:val="28"/>
          <w:szCs w:val="36"/>
          <w:highlight w:val="none"/>
          <w:u w:val="none"/>
          <w:lang w:val="en-US" w:eastAsia="zh-CN" w:bidi="ar-SA"/>
        </w:rPr>
      </w:pPr>
    </w:p>
    <w:p w14:paraId="0B131F2C">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default" w:ascii="Times New Roman" w:hAnsi="Times New Roman" w:eastAsia="宋体" w:cs="Times New Roman"/>
          <w:b w:val="0"/>
          <w:i w:val="0"/>
          <w:strike w:val="0"/>
          <w:color w:val="auto"/>
          <w:kern w:val="2"/>
          <w:sz w:val="28"/>
          <w:szCs w:val="36"/>
          <w:highlight w:val="none"/>
          <w:u w:val="none"/>
          <w:lang w:val="en-US" w:eastAsia="zh-CN" w:bidi="ar-SA"/>
        </w:rPr>
      </w:pPr>
    </w:p>
    <w:p w14:paraId="6136C24F">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left="0" w:leftChars="0" w:firstLine="560" w:firstLineChars="200"/>
        <w:jc w:val="both"/>
        <w:textAlignment w:val="auto"/>
        <w:rPr>
          <w:rFonts w:hint="default" w:ascii="Times New Roman" w:hAnsi="Times New Roman" w:eastAsia="宋体" w:cs="Times New Roman"/>
          <w:b w:val="0"/>
          <w:i w:val="0"/>
          <w:strike w:val="0"/>
          <w:color w:val="auto"/>
          <w:kern w:val="2"/>
          <w:sz w:val="28"/>
          <w:szCs w:val="36"/>
          <w:highlight w:val="none"/>
          <w:u w:val="none"/>
          <w:lang w:val="en-US" w:eastAsia="zh-CN" w:bidi="ar-SA"/>
        </w:rPr>
      </w:pPr>
    </w:p>
    <w:p w14:paraId="3D0A4E97">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left="0" w:leftChars="0" w:firstLine="560" w:firstLineChars="200"/>
        <w:jc w:val="both"/>
        <w:textAlignment w:val="auto"/>
        <w:rPr>
          <w:rFonts w:hint="eastAsia" w:ascii="Times New Roman" w:hAnsi="Times New Roman" w:eastAsia="宋体" w:cs="Times New Roman"/>
          <w:b w:val="0"/>
          <w:i w:val="0"/>
          <w:strike w:val="0"/>
          <w:color w:val="auto"/>
          <w:kern w:val="2"/>
          <w:sz w:val="28"/>
          <w:szCs w:val="36"/>
          <w:highlight w:val="none"/>
          <w:u w:val="none"/>
          <w:lang w:val="en-US" w:eastAsia="zh-CN" w:bidi="ar-SA"/>
        </w:rPr>
      </w:pPr>
    </w:p>
    <w:p w14:paraId="4FE92252">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left="0" w:leftChars="0" w:firstLine="560" w:firstLineChars="200"/>
        <w:jc w:val="both"/>
        <w:textAlignment w:val="auto"/>
        <w:rPr>
          <w:rFonts w:hint="eastAsia" w:ascii="Times New Roman" w:hAnsi="Times New Roman" w:eastAsia="宋体" w:cs="Times New Roman"/>
          <w:b w:val="0"/>
          <w:i w:val="0"/>
          <w:strike w:val="0"/>
          <w:color w:val="auto"/>
          <w:kern w:val="2"/>
          <w:sz w:val="28"/>
          <w:szCs w:val="36"/>
          <w:highlight w:val="none"/>
          <w:u w:val="none"/>
          <w:lang w:val="en-US" w:eastAsia="zh-CN" w:bidi="ar-SA"/>
        </w:rPr>
      </w:pPr>
    </w:p>
    <w:p w14:paraId="16A64EDF">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jc w:val="left"/>
        <w:textAlignment w:val="auto"/>
        <w:rPr>
          <w:rFonts w:hint="eastAsia" w:ascii="Times New Roman" w:hAnsi="Times New Roman" w:eastAsia="宋体" w:cs="Times New Roman"/>
          <w:b w:val="0"/>
          <w:i w:val="0"/>
          <w:strike w:val="0"/>
          <w:color w:val="auto"/>
          <w:kern w:val="2"/>
          <w:sz w:val="28"/>
          <w:szCs w:val="36"/>
          <w:highlight w:val="none"/>
          <w:u w:val="none"/>
          <w:lang w:val="en-US" w:eastAsia="zh-CN" w:bidi="ar-SA"/>
        </w:rPr>
      </w:pPr>
    </w:p>
    <w:p w14:paraId="08F8D307">
      <w:pPr>
        <w:keepNext w:val="0"/>
        <w:keepLines w:val="0"/>
        <w:pageBreakBefore w:val="0"/>
        <w:kinsoku/>
        <w:wordWrap/>
        <w:overflowPunct/>
        <w:topLinePunct w:val="0"/>
        <w:autoSpaceDE/>
        <w:autoSpaceDN/>
        <w:bidi w:val="0"/>
        <w:adjustRightInd/>
        <w:snapToGrid/>
        <w:spacing w:line="600" w:lineRule="exact"/>
        <w:ind w:firstLine="560" w:firstLineChars="200"/>
        <w:textAlignment w:val="auto"/>
        <w:rPr>
          <w:rFonts w:hint="eastAsia" w:ascii="Times New Roman" w:hAnsi="Times New Roman" w:eastAsia="宋体" w:cs="Times New Roman"/>
          <w:b w:val="0"/>
          <w:i w:val="0"/>
          <w:strike w:val="0"/>
          <w:color w:val="auto"/>
          <w:kern w:val="2"/>
          <w:sz w:val="28"/>
          <w:szCs w:val="36"/>
          <w:highlight w:val="none"/>
          <w:u w:val="none"/>
          <w:lang w:val="en-US" w:eastAsia="zh-CN" w:bidi="ar-SA"/>
        </w:rPr>
      </w:pPr>
    </w:p>
    <w:p w14:paraId="1CA2D03E">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leftChars="200"/>
        <w:jc w:val="both"/>
        <w:textAlignment w:val="auto"/>
        <w:rPr>
          <w:rFonts w:hint="default" w:ascii="Times New Roman" w:hAnsi="Times New Roman" w:eastAsia="宋体" w:cs="Times New Roman"/>
          <w:b w:val="0"/>
          <w:i w:val="0"/>
          <w:strike w:val="0"/>
          <w:color w:val="auto"/>
          <w:kern w:val="2"/>
          <w:sz w:val="28"/>
          <w:szCs w:val="36"/>
          <w:highlight w:val="none"/>
          <w:u w:val="none"/>
          <w:lang w:val="en-US" w:eastAsia="zh-CN" w:bidi="ar-SA"/>
        </w:rPr>
      </w:pPr>
    </w:p>
    <w:p w14:paraId="30B6FBD5">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leftChars="200"/>
        <w:jc w:val="both"/>
        <w:textAlignment w:val="auto"/>
        <w:rPr>
          <w:rFonts w:hint="default" w:ascii="Times New Roman" w:hAnsi="Times New Roman" w:eastAsia="宋体" w:cs="Times New Roman"/>
          <w:b w:val="0"/>
          <w:i w:val="0"/>
          <w:strike w:val="0"/>
          <w:color w:val="auto"/>
          <w:kern w:val="2"/>
          <w:sz w:val="28"/>
          <w:szCs w:val="36"/>
          <w:highlight w:val="none"/>
          <w:u w:val="none"/>
          <w:lang w:val="en-US" w:eastAsia="zh-CN" w:bidi="ar-SA"/>
        </w:rPr>
      </w:pPr>
    </w:p>
    <w:p w14:paraId="1CD0CD3B">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ind w:leftChars="200"/>
        <w:jc w:val="both"/>
        <w:textAlignment w:val="auto"/>
        <w:rPr>
          <w:rFonts w:hint="default" w:ascii="Times New Roman" w:hAnsi="Times New Roman" w:eastAsia="宋体" w:cs="Times New Roman"/>
          <w:b w:val="0"/>
          <w:i w:val="0"/>
          <w:strike w:val="0"/>
          <w:color w:val="auto"/>
          <w:kern w:val="2"/>
          <w:sz w:val="28"/>
          <w:szCs w:val="36"/>
          <w:highlight w:val="none"/>
          <w:u w:val="none"/>
          <w:lang w:val="en-US" w:eastAsia="zh-CN" w:bidi="ar-SA"/>
        </w:rPr>
      </w:pPr>
    </w:p>
    <w:p w14:paraId="3E726F7F">
      <w:pPr>
        <w:keepNext w:val="0"/>
        <w:keepLines w:val="0"/>
        <w:pageBreakBefore w:val="0"/>
        <w:widowControl/>
        <w:numPr>
          <w:ilvl w:val="0"/>
          <w:numId w:val="0"/>
        </w:numPr>
        <w:suppressLineNumbers w:val="0"/>
        <w:kinsoku/>
        <w:wordWrap/>
        <w:overflowPunct/>
        <w:topLinePunct w:val="0"/>
        <w:autoSpaceDE/>
        <w:autoSpaceDN/>
        <w:bidi w:val="0"/>
        <w:adjustRightInd/>
        <w:snapToGrid/>
        <w:spacing w:line="600" w:lineRule="exact"/>
        <w:jc w:val="both"/>
        <w:textAlignment w:val="auto"/>
        <w:rPr>
          <w:rFonts w:hint="default" w:ascii="Times New Roman" w:hAnsi="Times New Roman" w:eastAsia="宋体" w:cs="Times New Roman"/>
          <w:b w:val="0"/>
          <w:i w:val="0"/>
          <w:strike w:val="0"/>
          <w:color w:val="auto"/>
          <w:kern w:val="2"/>
          <w:sz w:val="28"/>
          <w:szCs w:val="36"/>
          <w:highlight w:val="none"/>
          <w:u w:val="none"/>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embedRegular r:id="rId1" w:fontKey="{3F1A78CD-C044-4A57-9AC0-C21387AE61D2}"/>
  </w:font>
  <w:font w:name="方正仿宋_GBK">
    <w:panose1 w:val="03000509000000000000"/>
    <w:charset w:val="86"/>
    <w:family w:val="script"/>
    <w:pitch w:val="default"/>
    <w:sig w:usb0="00000001" w:usb1="080E0000" w:usb2="00000000" w:usb3="00000000" w:csb0="00040000" w:csb1="00000000"/>
    <w:embedRegular r:id="rId2" w:fontKey="{6E0B3FCF-EF0D-4DC2-844C-8A24B34E12D8}"/>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1742ED"/>
    <w:multiLevelType w:val="singleLevel"/>
    <w:tmpl w:val="931742ED"/>
    <w:lvl w:ilvl="0" w:tentative="0">
      <w:start w:val="1"/>
      <w:numFmt w:val="decimal"/>
      <w:suff w:val="nothing"/>
      <w:lvlText w:val="%1．"/>
      <w:lvlJc w:val="left"/>
      <w:pPr>
        <w:ind w:left="0" w:firstLine="4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397D92"/>
    <w:rsid w:val="007D60B9"/>
    <w:rsid w:val="0C0849DB"/>
    <w:rsid w:val="0D260C07"/>
    <w:rsid w:val="122711D7"/>
    <w:rsid w:val="145C4FE3"/>
    <w:rsid w:val="171C2F64"/>
    <w:rsid w:val="21E2455B"/>
    <w:rsid w:val="2F397D92"/>
    <w:rsid w:val="3D5A2C88"/>
    <w:rsid w:val="421001C4"/>
    <w:rsid w:val="48795D43"/>
    <w:rsid w:val="4DF46BC9"/>
    <w:rsid w:val="5AD24121"/>
    <w:rsid w:val="6BD67C63"/>
    <w:rsid w:val="71404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7442</Words>
  <Characters>7552</Characters>
  <Lines>0</Lines>
  <Paragraphs>0</Paragraphs>
  <TotalTime>5</TotalTime>
  <ScaleCrop>false</ScaleCrop>
  <LinksUpToDate>false</LinksUpToDate>
  <CharactersWithSpaces>7570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2026-07-06T00:42:00Z</dcterms:created>
  <dc:creator>Cloud、</dc:creator>
  <cp:lastModifiedBy>水番啊</cp:lastModifiedBy>
  <dcterms:modified xsi:type="dcterms:W3CDTF">2026-08-27T07:19:38Z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1A39D20F5F1C4F72B1D3F964C6651F0A_13</vt:lpwstr>
  </property>
  <property fmtid="{D5CDD505-2E9C-101B-9397-08002B2CF9AE}" pid="4" name="KSOTemplateDocerSaveRecord">
    <vt:lpwstr>eyJoZGlkIjoiMTE1MDk0MzU1Yjk2Njk4ZmJiMjQzOTk3MDYzOTIzMDQiLCJ1c2VySWQiOiI1MjM4NjIwOTEifQ==</vt:lpwstr>
  </property>
</Properties>
</file>