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D15D4">
      <w:pPr>
        <w:adjustRightInd w:val="0"/>
        <w:snapToGrid w:val="0"/>
        <w:spacing w:line="520" w:lineRule="exact"/>
        <w:jc w:val="center"/>
        <w:outlineLvl w:val="0"/>
        <w:rPr>
          <w:rFonts w:hint="eastAsia" w:eastAsia="方正小标宋_GBK"/>
          <w:bCs/>
          <w:sz w:val="44"/>
          <w:szCs w:val="32"/>
        </w:rPr>
      </w:pPr>
      <w:bookmarkStart w:id="0" w:name="XZQH1"/>
    </w:p>
    <w:p w14:paraId="01C83B77">
      <w:pPr>
        <w:adjustRightInd w:val="0"/>
        <w:snapToGrid w:val="0"/>
        <w:spacing w:line="520" w:lineRule="exact"/>
        <w:jc w:val="center"/>
        <w:outlineLvl w:val="0"/>
        <w:rPr>
          <w:rFonts w:hint="eastAsia" w:eastAsia="方正小标宋_GBK"/>
          <w:bCs/>
          <w:sz w:val="44"/>
          <w:szCs w:val="32"/>
        </w:rPr>
      </w:pPr>
    </w:p>
    <w:p w14:paraId="280C7842">
      <w:pPr>
        <w:adjustRightInd w:val="0"/>
        <w:snapToGrid w:val="0"/>
        <w:spacing w:line="520" w:lineRule="exact"/>
        <w:jc w:val="center"/>
        <w:outlineLvl w:val="0"/>
        <w:rPr>
          <w:rFonts w:hint="eastAsia" w:eastAsia="方正小标宋_GBK"/>
          <w:bCs/>
          <w:sz w:val="44"/>
          <w:szCs w:val="32"/>
        </w:rPr>
      </w:pPr>
    </w:p>
    <w:p w14:paraId="1E40397E">
      <w:pPr>
        <w:adjustRightInd w:val="0"/>
        <w:snapToGrid w:val="0"/>
        <w:spacing w:line="520" w:lineRule="exact"/>
        <w:jc w:val="center"/>
        <w:outlineLvl w:val="0"/>
        <w:rPr>
          <w:rFonts w:hint="eastAsia" w:eastAsia="方正小标宋_GBK"/>
          <w:bCs/>
          <w:sz w:val="44"/>
          <w:szCs w:val="32"/>
        </w:rPr>
      </w:pPr>
    </w:p>
    <w:p w14:paraId="632F8738">
      <w:pPr>
        <w:adjustRightInd w:val="0"/>
        <w:snapToGrid w:val="0"/>
        <w:spacing w:line="520" w:lineRule="exact"/>
        <w:jc w:val="center"/>
        <w:outlineLvl w:val="0"/>
        <w:rPr>
          <w:rFonts w:hint="eastAsia" w:eastAsia="方正小标宋_GBK"/>
          <w:bCs/>
          <w:sz w:val="44"/>
          <w:szCs w:val="32"/>
        </w:rPr>
      </w:pPr>
    </w:p>
    <w:p w14:paraId="7E74FE31">
      <w:pPr>
        <w:adjustRightInd w:val="0"/>
        <w:snapToGrid w:val="0"/>
        <w:spacing w:line="520" w:lineRule="exact"/>
        <w:jc w:val="center"/>
        <w:outlineLvl w:val="0"/>
        <w:rPr>
          <w:rFonts w:hint="eastAsia" w:eastAsia="方正小标宋_GBK"/>
          <w:bCs/>
          <w:sz w:val="44"/>
          <w:szCs w:val="32"/>
        </w:rPr>
      </w:pPr>
    </w:p>
    <w:p w14:paraId="780B15E4">
      <w:pPr>
        <w:adjustRightInd w:val="0"/>
        <w:snapToGrid w:val="0"/>
        <w:spacing w:line="520" w:lineRule="exact"/>
        <w:jc w:val="center"/>
        <w:outlineLvl w:val="0"/>
        <w:rPr>
          <w:rFonts w:hint="eastAsia" w:eastAsia="方正小标宋_GBK"/>
          <w:bCs/>
          <w:sz w:val="44"/>
          <w:szCs w:val="32"/>
        </w:rPr>
      </w:pPr>
    </w:p>
    <w:p w14:paraId="45E13DA2">
      <w:pPr>
        <w:adjustRightInd w:val="0"/>
        <w:snapToGrid w:val="0"/>
        <w:spacing w:line="520" w:lineRule="exact"/>
        <w:jc w:val="center"/>
        <w:rPr>
          <w:rFonts w:eastAsia="方正仿宋_GBK"/>
          <w:bCs/>
          <w:sz w:val="32"/>
          <w:szCs w:val="32"/>
        </w:rPr>
      </w:pPr>
      <w:bookmarkStart w:id="1" w:name="ZDGGWH"/>
      <w:r>
        <w:rPr>
          <w:rFonts w:hint="eastAsia" w:eastAsia="方正仿宋_GBK"/>
          <w:bCs/>
          <w:sz w:val="32"/>
          <w:szCs w:val="32"/>
        </w:rPr>
        <w:t>宁（玄）预征告〔</w:t>
      </w:r>
      <w:r>
        <w:rPr>
          <w:rFonts w:eastAsia="方正仿宋_GBK"/>
          <w:bCs/>
          <w:sz w:val="32"/>
          <w:szCs w:val="32"/>
        </w:rPr>
        <w:t>20</w:t>
      </w:r>
      <w:r>
        <w:rPr>
          <w:rFonts w:hint="eastAsia" w:eastAsia="方正仿宋_GBK"/>
          <w:bCs/>
          <w:sz w:val="32"/>
          <w:szCs w:val="32"/>
        </w:rPr>
        <w:t>26〕</w:t>
      </w:r>
      <w:r>
        <w:rPr>
          <w:rFonts w:hint="eastAsia" w:eastAsia="方正仿宋_GBK"/>
          <w:bCs/>
          <w:sz w:val="32"/>
          <w:szCs w:val="32"/>
          <w:u w:val="none"/>
          <w:lang w:val="en-US" w:eastAsia="zh-CN"/>
        </w:rPr>
        <w:t>4</w:t>
      </w:r>
      <w:r>
        <w:rPr>
          <w:rFonts w:hint="eastAsia" w:eastAsia="方正仿宋_GBK"/>
          <w:bCs/>
          <w:sz w:val="32"/>
          <w:szCs w:val="32"/>
        </w:rPr>
        <w:t>号</w:t>
      </w:r>
      <w:bookmarkEnd w:id="1"/>
    </w:p>
    <w:p w14:paraId="24A0B183">
      <w:pPr>
        <w:adjustRightInd w:val="0"/>
        <w:snapToGrid w:val="0"/>
        <w:spacing w:line="520" w:lineRule="exact"/>
        <w:jc w:val="center"/>
        <w:outlineLvl w:val="0"/>
        <w:rPr>
          <w:rFonts w:hint="eastAsia" w:eastAsia="方正小标宋_GBK"/>
          <w:bCs/>
          <w:sz w:val="44"/>
          <w:szCs w:val="32"/>
        </w:rPr>
      </w:pPr>
    </w:p>
    <w:p w14:paraId="5B91C927">
      <w:pPr>
        <w:adjustRightInd w:val="0"/>
        <w:snapToGrid w:val="0"/>
        <w:spacing w:line="520" w:lineRule="exact"/>
        <w:jc w:val="center"/>
        <w:outlineLvl w:val="0"/>
        <w:rPr>
          <w:rFonts w:hint="eastAsia" w:eastAsia="方正小标宋_GBK"/>
          <w:bCs/>
          <w:sz w:val="44"/>
          <w:szCs w:val="32"/>
        </w:rPr>
      </w:pPr>
    </w:p>
    <w:p w14:paraId="5ED02B65">
      <w:pPr>
        <w:adjustRightInd w:val="0"/>
        <w:snapToGrid w:val="0"/>
        <w:spacing w:line="520" w:lineRule="exact"/>
        <w:jc w:val="center"/>
        <w:outlineLvl w:val="0"/>
        <w:rPr>
          <w:rFonts w:eastAsia="方正小标宋_GBK"/>
          <w:bCs/>
          <w:sz w:val="44"/>
          <w:szCs w:val="32"/>
        </w:rPr>
      </w:pPr>
      <w:r>
        <w:rPr>
          <w:rFonts w:hint="eastAsia" w:eastAsia="方正小标宋_GBK"/>
          <w:bCs/>
          <w:sz w:val="44"/>
          <w:szCs w:val="32"/>
        </w:rPr>
        <w:t>南京市玄武区</w:t>
      </w:r>
      <w:bookmarkEnd w:id="0"/>
      <w:r>
        <w:rPr>
          <w:rFonts w:hint="eastAsia" w:eastAsia="方正小标宋_GBK"/>
          <w:bCs/>
          <w:sz w:val="44"/>
          <w:szCs w:val="32"/>
        </w:rPr>
        <w:t>人民政府征收土地预公告</w:t>
      </w:r>
    </w:p>
    <w:p w14:paraId="48148905">
      <w:pPr>
        <w:adjustRightInd w:val="0"/>
        <w:snapToGrid w:val="0"/>
        <w:spacing w:line="540" w:lineRule="exact"/>
        <w:ind w:firstLine="640" w:firstLineChars="200"/>
        <w:rPr>
          <w:rFonts w:hint="eastAsia" w:eastAsia="方正仿宋_GBK"/>
          <w:bCs/>
          <w:sz w:val="32"/>
          <w:szCs w:val="32"/>
          <w:lang w:val="en-US" w:eastAsia="zh-CN"/>
        </w:rPr>
      </w:pPr>
      <w:r>
        <w:rPr>
          <w:rFonts w:hint="eastAsia" w:eastAsia="方正仿宋_GBK"/>
          <w:bCs/>
          <w:sz w:val="32"/>
          <w:szCs w:val="32"/>
          <w:lang w:val="en-US" w:eastAsia="zh-CN"/>
        </w:rPr>
        <w:t xml:space="preserve"> </w:t>
      </w:r>
    </w:p>
    <w:p w14:paraId="516B13CB">
      <w:pPr>
        <w:adjustRightInd w:val="0"/>
        <w:snapToGrid w:val="0"/>
        <w:spacing w:line="540" w:lineRule="exact"/>
        <w:ind w:firstLine="640" w:firstLineChars="200"/>
        <w:rPr>
          <w:rFonts w:eastAsia="方正仿宋_GBK"/>
          <w:sz w:val="32"/>
          <w:szCs w:val="32"/>
        </w:rPr>
      </w:pPr>
      <w:r>
        <w:rPr>
          <w:rFonts w:hint="eastAsia" w:eastAsia="方正仿宋_GBK"/>
          <w:sz w:val="32"/>
          <w:szCs w:val="32"/>
        </w:rPr>
        <w:t>根据《中华人民共和国土地管理法》《中华人民共和国土地管理法实施条例》《江苏省土地管理条例》《市政府关于印发南京市集体土地征收补偿安置办法的通知》（宁政规字〔2022〕4号）有关规定，因公共利益需要，经南京市玄武区人民政府决定，启动光华路（马高路-康园路）土地征收工作。现将有关情况公告如下：</w:t>
      </w:r>
    </w:p>
    <w:p w14:paraId="13E32878">
      <w:pPr>
        <w:adjustRightInd w:val="0"/>
        <w:snapToGrid w:val="0"/>
        <w:spacing w:line="520" w:lineRule="exact"/>
        <w:ind w:firstLine="640" w:firstLineChars="200"/>
        <w:rPr>
          <w:rFonts w:eastAsia="方正黑体_GBK"/>
          <w:sz w:val="32"/>
          <w:szCs w:val="32"/>
        </w:rPr>
      </w:pPr>
      <w:r>
        <w:rPr>
          <w:rFonts w:hint="eastAsia" w:eastAsia="方正黑体_GBK"/>
          <w:sz w:val="32"/>
          <w:szCs w:val="32"/>
        </w:rPr>
        <w:t>一、征收目的</w:t>
      </w:r>
    </w:p>
    <w:p w14:paraId="0C942F48">
      <w:pPr>
        <w:adjustRightInd w:val="0"/>
        <w:snapToGrid w:val="0"/>
        <w:spacing w:line="520" w:lineRule="exact"/>
        <w:ind w:firstLine="640" w:firstLineChars="200"/>
        <w:rPr>
          <w:rFonts w:eastAsia="方正仿宋_GBK"/>
          <w:sz w:val="32"/>
          <w:szCs w:val="32"/>
        </w:rPr>
      </w:pPr>
      <w:r>
        <w:rPr>
          <w:rFonts w:hint="eastAsia" w:eastAsia="方正仿宋_GBK"/>
          <w:sz w:val="32"/>
          <w:szCs w:val="32"/>
        </w:rPr>
        <w:t>根据《中华人民共和国土地管理法》第四十五条规定，本次征收土地目的为“由政府组织实施的能源、交通、水利、通信、邮政等基础设施建设需要用地的”情形。</w:t>
      </w:r>
    </w:p>
    <w:p w14:paraId="2BE68CAA">
      <w:pPr>
        <w:adjustRightInd w:val="0"/>
        <w:snapToGrid w:val="0"/>
        <w:spacing w:line="520" w:lineRule="exact"/>
        <w:ind w:firstLine="640" w:firstLineChars="200"/>
        <w:rPr>
          <w:rFonts w:eastAsia="方正黑体_GBK"/>
          <w:sz w:val="32"/>
          <w:szCs w:val="32"/>
        </w:rPr>
      </w:pPr>
      <w:r>
        <w:rPr>
          <w:rFonts w:hint="eastAsia" w:eastAsia="方正黑体_GBK"/>
          <w:sz w:val="32"/>
          <w:szCs w:val="32"/>
        </w:rPr>
        <w:t>二、征收范围</w:t>
      </w:r>
    </w:p>
    <w:p w14:paraId="46AF0F61">
      <w:pPr>
        <w:adjustRightInd w:val="0"/>
        <w:snapToGrid w:val="0"/>
        <w:spacing w:line="520" w:lineRule="exact"/>
        <w:ind w:firstLine="640" w:firstLineChars="200"/>
        <w:rPr>
          <w:rFonts w:eastAsia="方正仿宋_GBK"/>
          <w:sz w:val="32"/>
          <w:szCs w:val="32"/>
        </w:rPr>
      </w:pPr>
      <w:r>
        <w:rPr>
          <w:rFonts w:hint="eastAsia" w:eastAsia="方正仿宋_GBK"/>
          <w:sz w:val="32"/>
          <w:szCs w:val="32"/>
        </w:rPr>
        <w:t>本次预征收土地位于玄武区孝陵卫街道沧波村大门西二组、大门西三组、沧波村集体、小门西二组、小门西一组、杨庄一组集体范围内。预征收土地位置详见附图。</w:t>
      </w:r>
    </w:p>
    <w:p w14:paraId="44EDC9DD">
      <w:pPr>
        <w:adjustRightInd w:val="0"/>
        <w:snapToGrid w:val="0"/>
        <w:spacing w:line="520" w:lineRule="exact"/>
        <w:ind w:firstLine="640" w:firstLineChars="200"/>
        <w:rPr>
          <w:rFonts w:eastAsia="方正仿宋_GBK"/>
          <w:sz w:val="32"/>
          <w:szCs w:val="32"/>
        </w:rPr>
      </w:pPr>
      <w:r>
        <w:rPr>
          <w:rFonts w:hint="eastAsia" w:eastAsia="方正仿宋_GBK"/>
          <w:sz w:val="32"/>
          <w:szCs w:val="32"/>
        </w:rPr>
        <w:t>实际征收土地范围以征地批准文件为准。</w:t>
      </w:r>
    </w:p>
    <w:p w14:paraId="71660404">
      <w:pPr>
        <w:adjustRightInd w:val="0"/>
        <w:snapToGrid w:val="0"/>
        <w:spacing w:line="520" w:lineRule="exact"/>
        <w:ind w:firstLine="640" w:firstLineChars="200"/>
        <w:rPr>
          <w:rFonts w:eastAsia="方正黑体_GBK"/>
          <w:sz w:val="32"/>
          <w:szCs w:val="32"/>
        </w:rPr>
      </w:pPr>
      <w:r>
        <w:rPr>
          <w:rFonts w:hint="eastAsia" w:eastAsia="方正黑体_GBK"/>
          <w:sz w:val="32"/>
          <w:szCs w:val="32"/>
        </w:rPr>
        <w:t>三、公告期限</w:t>
      </w:r>
    </w:p>
    <w:p w14:paraId="71B4FA65">
      <w:pPr>
        <w:adjustRightInd w:val="0"/>
        <w:snapToGrid w:val="0"/>
        <w:spacing w:line="520" w:lineRule="exact"/>
        <w:ind w:firstLine="640" w:firstLineChars="200"/>
        <w:rPr>
          <w:rFonts w:eastAsia="方正仿宋_GBK"/>
          <w:sz w:val="32"/>
          <w:szCs w:val="32"/>
        </w:rPr>
      </w:pPr>
      <w:r>
        <w:rPr>
          <w:rFonts w:hint="eastAsia" w:eastAsia="方正仿宋_GBK"/>
          <w:sz w:val="32"/>
          <w:szCs w:val="32"/>
        </w:rPr>
        <w:t>本征收土地预公告期限为</w:t>
      </w:r>
      <w:r>
        <w:rPr>
          <w:rFonts w:eastAsia="方正仿宋_GBK"/>
          <w:sz w:val="32"/>
          <w:szCs w:val="32"/>
        </w:rPr>
        <w:t>20</w:t>
      </w:r>
      <w:r>
        <w:rPr>
          <w:rFonts w:hint="eastAsia" w:eastAsia="方正仿宋_GBK"/>
          <w:sz w:val="32"/>
          <w:szCs w:val="32"/>
          <w:u w:val="none"/>
        </w:rPr>
        <w:t>26</w:t>
      </w:r>
      <w:r>
        <w:rPr>
          <w:rFonts w:hint="eastAsia" w:eastAsia="方正仿宋_GBK"/>
          <w:sz w:val="32"/>
          <w:szCs w:val="32"/>
        </w:rPr>
        <w:t>年</w:t>
      </w:r>
      <w:r>
        <w:rPr>
          <w:rFonts w:hint="eastAsia" w:eastAsia="方正仿宋_GBK"/>
          <w:sz w:val="32"/>
          <w:szCs w:val="32"/>
          <w:u w:val="none"/>
          <w:lang w:val="en-US" w:eastAsia="zh-CN"/>
        </w:rPr>
        <w:t>6</w:t>
      </w:r>
      <w:r>
        <w:rPr>
          <w:rFonts w:hint="eastAsia" w:eastAsia="方正仿宋_GBK"/>
          <w:sz w:val="32"/>
          <w:szCs w:val="32"/>
        </w:rPr>
        <w:t>月</w:t>
      </w:r>
      <w:r>
        <w:rPr>
          <w:rFonts w:hint="eastAsia" w:eastAsia="方正仿宋_GBK"/>
          <w:sz w:val="32"/>
          <w:szCs w:val="32"/>
          <w:u w:val="none"/>
          <w:lang w:val="en-US" w:eastAsia="zh-CN"/>
        </w:rPr>
        <w:t>30</w:t>
      </w:r>
      <w:r>
        <w:rPr>
          <w:rFonts w:hint="eastAsia" w:eastAsia="方正仿宋_GBK"/>
          <w:sz w:val="32"/>
          <w:szCs w:val="32"/>
        </w:rPr>
        <w:t>日至</w:t>
      </w:r>
      <w:r>
        <w:rPr>
          <w:rFonts w:eastAsia="方正仿宋_GBK"/>
          <w:sz w:val="32"/>
          <w:szCs w:val="32"/>
        </w:rPr>
        <w:t>20</w:t>
      </w:r>
      <w:r>
        <w:rPr>
          <w:rFonts w:hint="eastAsia" w:eastAsia="方正仿宋_GBK"/>
          <w:sz w:val="32"/>
          <w:szCs w:val="32"/>
          <w:u w:val="none"/>
        </w:rPr>
        <w:t>26</w:t>
      </w:r>
      <w:r>
        <w:rPr>
          <w:rFonts w:hint="eastAsia" w:eastAsia="方正仿宋_GBK"/>
          <w:sz w:val="32"/>
          <w:szCs w:val="32"/>
        </w:rPr>
        <w:t>年</w:t>
      </w:r>
      <w:r>
        <w:rPr>
          <w:rFonts w:hint="eastAsia" w:eastAsia="方正仿宋_GBK"/>
          <w:sz w:val="32"/>
          <w:szCs w:val="32"/>
          <w:u w:val="none"/>
          <w:lang w:val="en-US" w:eastAsia="zh-CN"/>
        </w:rPr>
        <w:t>7</w:t>
      </w:r>
      <w:r>
        <w:rPr>
          <w:rFonts w:hint="eastAsia" w:eastAsia="方正仿宋_GBK"/>
          <w:sz w:val="32"/>
          <w:szCs w:val="32"/>
        </w:rPr>
        <w:t>月</w:t>
      </w:r>
      <w:r>
        <w:rPr>
          <w:rFonts w:hint="eastAsia" w:eastAsia="方正仿宋_GBK"/>
          <w:sz w:val="32"/>
          <w:szCs w:val="32"/>
          <w:u w:val="single"/>
        </w:rPr>
        <w:t xml:space="preserve">  </w:t>
      </w:r>
      <w:r>
        <w:rPr>
          <w:rFonts w:hint="eastAsia" w:eastAsia="方正仿宋_GBK"/>
          <w:sz w:val="32"/>
          <w:szCs w:val="32"/>
          <w:u w:val="none"/>
          <w:lang w:val="en-US" w:eastAsia="zh-CN"/>
        </w:rPr>
        <w:t>13</w:t>
      </w:r>
      <w:r>
        <w:rPr>
          <w:rFonts w:hint="eastAsia" w:eastAsia="方正仿宋_GBK"/>
          <w:sz w:val="32"/>
          <w:szCs w:val="32"/>
        </w:rPr>
        <w:t>日。</w:t>
      </w:r>
    </w:p>
    <w:p w14:paraId="46F6F917">
      <w:pPr>
        <w:adjustRightInd w:val="0"/>
        <w:snapToGrid w:val="0"/>
        <w:spacing w:line="520" w:lineRule="exact"/>
        <w:ind w:firstLine="640" w:firstLineChars="200"/>
        <w:rPr>
          <w:rFonts w:eastAsia="方正黑体_GBK"/>
          <w:sz w:val="32"/>
          <w:szCs w:val="32"/>
        </w:rPr>
      </w:pPr>
      <w:r>
        <w:rPr>
          <w:rFonts w:hint="eastAsia" w:eastAsia="方正黑体_GBK"/>
          <w:sz w:val="32"/>
          <w:szCs w:val="32"/>
        </w:rPr>
        <w:t>四、工作安排</w:t>
      </w:r>
    </w:p>
    <w:p w14:paraId="0BBEBFB3">
      <w:pPr>
        <w:adjustRightInd w:val="0"/>
        <w:snapToGrid w:val="0"/>
        <w:spacing w:line="520" w:lineRule="exact"/>
        <w:ind w:firstLine="640" w:firstLineChars="200"/>
        <w:rPr>
          <w:rFonts w:eastAsia="方正仿宋_GBK"/>
          <w:sz w:val="32"/>
          <w:szCs w:val="32"/>
        </w:rPr>
      </w:pPr>
      <w:r>
        <w:rPr>
          <w:rFonts w:hint="eastAsia" w:eastAsia="方正仿宋_GBK"/>
          <w:sz w:val="32"/>
          <w:szCs w:val="32"/>
        </w:rPr>
        <w:t>征收土地预公告发布后，玄武区人民政府将组织开展预征收土地现状调查和社会稳定风险评估。预征收土地现状调查内容包括：预征收土地的位置、权属、地类、面积以及农村村民住宅、房屋以外的其他地上附着物和青苗等的位置、权属、种类和数量等。请土地所有权人、使用权人予以配合，并在《预征收土地现状调查表》上对调查结果予以签名或盖章。预征收土地社会稳定风险评估工作中，将听取被征地的农村集体经济组织及其成员、村民委员会和其他利害关系人的意见。</w:t>
      </w:r>
    </w:p>
    <w:p w14:paraId="2FCCEF6C">
      <w:pPr>
        <w:adjustRightInd w:val="0"/>
        <w:snapToGrid w:val="0"/>
        <w:spacing w:line="520" w:lineRule="exact"/>
        <w:ind w:firstLine="640" w:firstLineChars="200"/>
        <w:rPr>
          <w:rFonts w:eastAsia="方正仿宋_GBK"/>
          <w:sz w:val="32"/>
          <w:szCs w:val="32"/>
        </w:rPr>
      </w:pPr>
      <w:r>
        <w:rPr>
          <w:rFonts w:hint="eastAsia" w:eastAsia="方正仿宋_GBK"/>
          <w:sz w:val="32"/>
          <w:szCs w:val="32"/>
        </w:rPr>
        <w:t>拟于</w:t>
      </w:r>
      <w:r>
        <w:rPr>
          <w:rFonts w:eastAsia="方正仿宋_GBK"/>
          <w:sz w:val="32"/>
          <w:szCs w:val="32"/>
        </w:rPr>
        <w:t>20</w:t>
      </w:r>
      <w:r>
        <w:rPr>
          <w:rFonts w:hint="eastAsia" w:eastAsia="方正仿宋_GBK"/>
          <w:sz w:val="32"/>
          <w:szCs w:val="32"/>
          <w:u w:val="none"/>
        </w:rPr>
        <w:t>26</w:t>
      </w:r>
      <w:r>
        <w:rPr>
          <w:rFonts w:hint="eastAsia" w:eastAsia="方正仿宋_GBK"/>
          <w:sz w:val="32"/>
          <w:szCs w:val="32"/>
        </w:rPr>
        <w:t>年</w:t>
      </w:r>
      <w:r>
        <w:rPr>
          <w:rFonts w:hint="eastAsia" w:eastAsia="方正仿宋_GBK"/>
          <w:sz w:val="32"/>
          <w:szCs w:val="32"/>
          <w:u w:val="none"/>
          <w:lang w:val="en-US" w:eastAsia="zh-CN"/>
        </w:rPr>
        <w:t>6</w:t>
      </w:r>
      <w:r>
        <w:rPr>
          <w:rFonts w:hint="eastAsia" w:eastAsia="方正仿宋_GBK"/>
          <w:sz w:val="32"/>
          <w:szCs w:val="32"/>
        </w:rPr>
        <w:t>月</w:t>
      </w:r>
      <w:r>
        <w:rPr>
          <w:rFonts w:hint="eastAsia" w:eastAsia="方正仿宋_GBK"/>
          <w:sz w:val="32"/>
          <w:szCs w:val="32"/>
          <w:u w:val="none"/>
          <w:lang w:val="en-US" w:eastAsia="zh-CN"/>
        </w:rPr>
        <w:t>30</w:t>
      </w:r>
      <w:r>
        <w:rPr>
          <w:rFonts w:hint="eastAsia" w:eastAsia="方正仿宋_GBK"/>
          <w:sz w:val="32"/>
          <w:szCs w:val="32"/>
        </w:rPr>
        <w:t>日至</w:t>
      </w:r>
      <w:r>
        <w:rPr>
          <w:rFonts w:eastAsia="方正仿宋_GBK"/>
          <w:sz w:val="32"/>
          <w:szCs w:val="32"/>
        </w:rPr>
        <w:t>20</w:t>
      </w:r>
      <w:r>
        <w:rPr>
          <w:rFonts w:hint="eastAsia" w:eastAsia="方正仿宋_GBK"/>
          <w:sz w:val="32"/>
          <w:szCs w:val="32"/>
          <w:u w:val="none"/>
        </w:rPr>
        <w:t>26</w:t>
      </w:r>
      <w:r>
        <w:rPr>
          <w:rFonts w:hint="eastAsia" w:eastAsia="方正仿宋_GBK"/>
          <w:sz w:val="32"/>
          <w:szCs w:val="32"/>
        </w:rPr>
        <w:t>年</w:t>
      </w:r>
      <w:r>
        <w:rPr>
          <w:rFonts w:hint="eastAsia" w:eastAsia="方正仿宋_GBK"/>
          <w:sz w:val="32"/>
          <w:szCs w:val="32"/>
          <w:u w:val="none"/>
          <w:lang w:val="en-US" w:eastAsia="zh-CN"/>
        </w:rPr>
        <w:t>7</w:t>
      </w:r>
      <w:r>
        <w:rPr>
          <w:rFonts w:hint="eastAsia" w:eastAsia="方正仿宋_GBK"/>
          <w:sz w:val="32"/>
          <w:szCs w:val="32"/>
        </w:rPr>
        <w:t>月</w:t>
      </w:r>
      <w:r>
        <w:rPr>
          <w:rFonts w:hint="eastAsia" w:eastAsia="方正仿宋_GBK"/>
          <w:sz w:val="32"/>
          <w:szCs w:val="32"/>
          <w:u w:val="none"/>
          <w:lang w:val="en-US" w:eastAsia="zh-CN"/>
        </w:rPr>
        <w:t>13</w:t>
      </w:r>
      <w:r>
        <w:rPr>
          <w:rFonts w:hint="eastAsia" w:eastAsia="方正仿宋_GBK"/>
          <w:sz w:val="32"/>
          <w:szCs w:val="32"/>
        </w:rPr>
        <w:t>日，由玄武区人民政府孝陵卫街道办事处开展土地现状调查，请有关单位和个人予以支持配合。</w:t>
      </w:r>
    </w:p>
    <w:p w14:paraId="6409E151">
      <w:pPr>
        <w:adjustRightInd w:val="0"/>
        <w:snapToGrid w:val="0"/>
        <w:spacing w:line="520" w:lineRule="exact"/>
        <w:ind w:firstLine="640" w:firstLineChars="200"/>
        <w:rPr>
          <w:rFonts w:eastAsia="方正黑体_GBK"/>
          <w:sz w:val="32"/>
          <w:szCs w:val="32"/>
        </w:rPr>
      </w:pPr>
      <w:r>
        <w:rPr>
          <w:rFonts w:hint="eastAsia" w:eastAsia="方正黑体_GBK"/>
          <w:sz w:val="32"/>
          <w:szCs w:val="32"/>
        </w:rPr>
        <w:t>五、其他事项</w:t>
      </w:r>
    </w:p>
    <w:p w14:paraId="6A15CD85">
      <w:pPr>
        <w:adjustRightInd w:val="0"/>
        <w:snapToGrid w:val="0"/>
        <w:spacing w:line="520" w:lineRule="exact"/>
        <w:ind w:firstLine="640" w:firstLineChars="200"/>
        <w:rPr>
          <w:rFonts w:eastAsia="方正仿宋_GBK"/>
          <w:sz w:val="32"/>
          <w:szCs w:val="32"/>
        </w:rPr>
      </w:pPr>
      <w:r>
        <w:rPr>
          <w:rFonts w:hint="eastAsia" w:eastAsia="方正仿宋_GBK"/>
          <w:sz w:val="32"/>
          <w:szCs w:val="32"/>
        </w:rPr>
        <w:t>自本征收土地预公告发布之日起，任何单位和个人在预征收土地范围内有下列情形的，不作为增加补偿的依据：</w:t>
      </w:r>
    </w:p>
    <w:p w14:paraId="617A5323">
      <w:pPr>
        <w:adjustRightInd w:val="0"/>
        <w:snapToGrid w:val="0"/>
        <w:spacing w:line="520" w:lineRule="exact"/>
        <w:ind w:firstLine="640" w:firstLineChars="200"/>
        <w:rPr>
          <w:rFonts w:eastAsia="方正仿宋_GBK"/>
          <w:sz w:val="32"/>
          <w:szCs w:val="32"/>
        </w:rPr>
      </w:pPr>
      <w:r>
        <w:rPr>
          <w:rFonts w:hint="eastAsia" w:eastAsia="方正仿宋_GBK"/>
          <w:sz w:val="32"/>
          <w:szCs w:val="32"/>
        </w:rPr>
        <w:t>（一）抢栽、抢建；</w:t>
      </w:r>
    </w:p>
    <w:p w14:paraId="2CD44E2B">
      <w:pPr>
        <w:adjustRightInd w:val="0"/>
        <w:snapToGrid w:val="0"/>
        <w:spacing w:line="520" w:lineRule="exact"/>
        <w:ind w:firstLine="640" w:firstLineChars="200"/>
        <w:rPr>
          <w:rFonts w:eastAsia="方正仿宋_GBK"/>
          <w:sz w:val="32"/>
          <w:szCs w:val="32"/>
        </w:rPr>
      </w:pPr>
      <w:r>
        <w:rPr>
          <w:rFonts w:hint="eastAsia" w:eastAsia="方正仿宋_GBK"/>
          <w:sz w:val="32"/>
          <w:szCs w:val="32"/>
        </w:rPr>
        <w:t>（二）改变土地、房屋用途；</w:t>
      </w:r>
    </w:p>
    <w:p w14:paraId="67C7830A">
      <w:pPr>
        <w:adjustRightInd w:val="0"/>
        <w:snapToGrid w:val="0"/>
        <w:spacing w:line="520" w:lineRule="exact"/>
        <w:ind w:firstLine="640" w:firstLineChars="200"/>
        <w:rPr>
          <w:rFonts w:eastAsia="方正仿宋_GBK"/>
          <w:sz w:val="32"/>
          <w:szCs w:val="32"/>
        </w:rPr>
      </w:pPr>
      <w:r>
        <w:rPr>
          <w:rFonts w:hint="eastAsia" w:eastAsia="方正仿宋_GBK"/>
          <w:sz w:val="32"/>
          <w:szCs w:val="32"/>
        </w:rPr>
        <w:t>（三）办理不动产转让、分割、析产等；</w:t>
      </w:r>
    </w:p>
    <w:p w14:paraId="6BFAF20B">
      <w:pPr>
        <w:adjustRightInd w:val="0"/>
        <w:snapToGrid w:val="0"/>
        <w:spacing w:line="520" w:lineRule="exact"/>
        <w:ind w:firstLine="640" w:firstLineChars="200"/>
        <w:rPr>
          <w:rFonts w:eastAsia="方正仿宋_GBK"/>
          <w:sz w:val="32"/>
          <w:szCs w:val="32"/>
        </w:rPr>
      </w:pPr>
      <w:r>
        <w:rPr>
          <w:rFonts w:hint="eastAsia" w:eastAsia="方正仿宋_GBK"/>
          <w:sz w:val="32"/>
          <w:szCs w:val="32"/>
        </w:rPr>
        <w:t>（四）办理户口迁入、分户等，因出生、婚嫁、全日制在校大中专学生毕业等落户的除外；</w:t>
      </w:r>
      <w:r>
        <w:rPr>
          <w:rFonts w:eastAsia="方正仿宋_GBK"/>
          <w:sz w:val="32"/>
          <w:szCs w:val="32"/>
        </w:rPr>
        <w:t xml:space="preserve"> </w:t>
      </w:r>
    </w:p>
    <w:p w14:paraId="152480EA">
      <w:pPr>
        <w:adjustRightInd w:val="0"/>
        <w:snapToGrid w:val="0"/>
        <w:spacing w:line="520" w:lineRule="exact"/>
        <w:ind w:firstLine="640" w:firstLineChars="200"/>
        <w:rPr>
          <w:rFonts w:eastAsia="方正仿宋_GBK"/>
          <w:sz w:val="32"/>
          <w:szCs w:val="32"/>
        </w:rPr>
      </w:pPr>
      <w:r>
        <w:rPr>
          <w:rFonts w:hint="eastAsia" w:eastAsia="方正仿宋_GBK"/>
          <w:sz w:val="32"/>
          <w:szCs w:val="32"/>
        </w:rPr>
        <w:t>（五）其他不当增加补偿的情形。</w:t>
      </w:r>
    </w:p>
    <w:p w14:paraId="347260A8">
      <w:pPr>
        <w:adjustRightInd w:val="0"/>
        <w:snapToGrid w:val="0"/>
        <w:spacing w:line="520" w:lineRule="exact"/>
        <w:ind w:firstLine="640" w:firstLineChars="200"/>
        <w:rPr>
          <w:rFonts w:eastAsia="方正仿宋_GBK"/>
          <w:sz w:val="32"/>
          <w:szCs w:val="32"/>
        </w:rPr>
      </w:pPr>
      <w:r>
        <w:rPr>
          <w:rFonts w:hint="eastAsia" w:eastAsia="方正仿宋_GBK"/>
          <w:sz w:val="32"/>
          <w:szCs w:val="32"/>
        </w:rPr>
        <w:t>联系人：</w:t>
      </w:r>
      <w:r>
        <w:rPr>
          <w:rFonts w:hint="eastAsia" w:eastAsia="方正仿宋_GBK"/>
          <w:sz w:val="32"/>
          <w:szCs w:val="32"/>
          <w:u w:val="none"/>
        </w:rPr>
        <w:t>张浩</w:t>
      </w:r>
      <w:r>
        <w:rPr>
          <w:rFonts w:hint="eastAsia" w:eastAsia="方正仿宋_GBK"/>
          <w:sz w:val="32"/>
          <w:szCs w:val="32"/>
        </w:rPr>
        <w:t>；电话：</w:t>
      </w:r>
      <w:r>
        <w:rPr>
          <w:rFonts w:hint="eastAsia" w:eastAsia="方正仿宋_GBK"/>
          <w:sz w:val="32"/>
          <w:szCs w:val="32"/>
          <w:u w:val="none"/>
        </w:rPr>
        <w:t>13813998501</w:t>
      </w:r>
      <w:r>
        <w:rPr>
          <w:rFonts w:hint="eastAsia" w:eastAsia="方正仿宋_GBK"/>
          <w:sz w:val="32"/>
          <w:szCs w:val="32"/>
        </w:rPr>
        <w:t>。</w:t>
      </w:r>
    </w:p>
    <w:p w14:paraId="507126D5">
      <w:pPr>
        <w:adjustRightInd w:val="0"/>
        <w:snapToGrid w:val="0"/>
        <w:spacing w:line="520" w:lineRule="exact"/>
        <w:ind w:firstLine="640" w:firstLineChars="200"/>
        <w:rPr>
          <w:rFonts w:eastAsia="方正仿宋_GBK"/>
          <w:bCs/>
          <w:sz w:val="32"/>
          <w:szCs w:val="32"/>
        </w:rPr>
      </w:pPr>
      <w:r>
        <w:rPr>
          <w:rFonts w:hint="eastAsia" w:eastAsia="方正仿宋_GBK"/>
          <w:sz w:val="32"/>
          <w:szCs w:val="32"/>
        </w:rPr>
        <w:t>特此公告。</w:t>
      </w:r>
    </w:p>
    <w:p w14:paraId="3F8ADEFC">
      <w:pPr>
        <w:adjustRightInd w:val="0"/>
        <w:snapToGrid w:val="0"/>
        <w:spacing w:line="520" w:lineRule="exact"/>
        <w:ind w:firstLine="640" w:firstLineChars="200"/>
        <w:rPr>
          <w:rFonts w:eastAsia="方正仿宋_GBK"/>
          <w:bCs/>
          <w:sz w:val="32"/>
          <w:szCs w:val="32"/>
        </w:rPr>
      </w:pPr>
    </w:p>
    <w:p w14:paraId="4D86B26E">
      <w:pPr>
        <w:adjustRightInd w:val="0"/>
        <w:snapToGrid w:val="0"/>
        <w:spacing w:line="520" w:lineRule="exact"/>
        <w:ind w:firstLine="640" w:firstLineChars="200"/>
        <w:rPr>
          <w:rFonts w:eastAsia="方正仿宋_GBK"/>
          <w:bCs/>
          <w:sz w:val="32"/>
          <w:szCs w:val="32"/>
        </w:rPr>
      </w:pPr>
      <w:r>
        <w:rPr>
          <w:rFonts w:hint="eastAsia" w:eastAsia="方正仿宋_GBK"/>
          <w:bCs/>
          <w:sz w:val="32"/>
          <w:szCs w:val="32"/>
        </w:rPr>
        <w:t>附件：预征收土地位置示意图</w:t>
      </w:r>
    </w:p>
    <w:p w14:paraId="43780AAA">
      <w:pPr>
        <w:adjustRightInd w:val="0"/>
        <w:snapToGrid w:val="0"/>
        <w:spacing w:line="520" w:lineRule="exact"/>
        <w:ind w:firstLine="640" w:firstLineChars="200"/>
        <w:rPr>
          <w:rFonts w:eastAsia="方正仿宋_GBK"/>
          <w:bCs/>
          <w:sz w:val="32"/>
          <w:szCs w:val="32"/>
        </w:rPr>
      </w:pPr>
    </w:p>
    <w:p w14:paraId="091D3CC6">
      <w:pPr>
        <w:adjustRightInd w:val="0"/>
        <w:snapToGrid w:val="0"/>
        <w:spacing w:line="520" w:lineRule="exact"/>
        <w:ind w:firstLine="640" w:firstLineChars="200"/>
        <w:rPr>
          <w:rFonts w:eastAsia="方正仿宋_GBK"/>
          <w:bCs/>
          <w:sz w:val="32"/>
          <w:szCs w:val="32"/>
        </w:rPr>
      </w:pPr>
    </w:p>
    <w:p w14:paraId="6F3DFA64">
      <w:pPr>
        <w:adjustRightInd w:val="0"/>
        <w:snapToGrid w:val="0"/>
        <w:spacing w:line="520" w:lineRule="exact"/>
        <w:jc w:val="right"/>
        <w:rPr>
          <w:rFonts w:eastAsia="方正仿宋_GBK"/>
          <w:sz w:val="32"/>
          <w:szCs w:val="32"/>
        </w:rPr>
      </w:pPr>
      <w:r>
        <w:rPr>
          <w:rFonts w:hint="eastAsia" w:eastAsia="方正仿宋_GBK"/>
          <w:sz w:val="32"/>
          <w:szCs w:val="32"/>
        </w:rPr>
        <w:t>南京市玄武区人民政府</w:t>
      </w:r>
    </w:p>
    <w:p w14:paraId="37BBB7FA">
      <w:pPr>
        <w:keepNext w:val="0"/>
        <w:keepLines w:val="0"/>
        <w:pageBreakBefore w:val="0"/>
        <w:widowControl w:val="0"/>
        <w:kinsoku/>
        <w:wordWrap w:val="0"/>
        <w:overflowPunct/>
        <w:topLinePunct w:val="0"/>
        <w:autoSpaceDE/>
        <w:autoSpaceDN/>
        <w:bidi w:val="0"/>
        <w:adjustRightInd w:val="0"/>
        <w:snapToGrid w:val="0"/>
        <w:spacing w:line="520" w:lineRule="exact"/>
        <w:ind w:right="0"/>
        <w:jc w:val="center"/>
        <w:textAlignment w:val="auto"/>
        <w:rPr>
          <w:rFonts w:hint="eastAsia" w:eastAsia="方正仿宋_GBK"/>
          <w:sz w:val="32"/>
          <w:szCs w:val="32"/>
        </w:rPr>
      </w:pPr>
      <w:bookmarkStart w:id="2" w:name="CJRQ"/>
      <w:r>
        <w:rPr>
          <w:rFonts w:hint="eastAsia" w:eastAsia="方正仿宋_GBK"/>
          <w:sz w:val="32"/>
          <w:szCs w:val="32"/>
          <w:lang w:val="en-US" w:eastAsia="zh-CN"/>
        </w:rPr>
        <w:t xml:space="preserve">                                 </w:t>
      </w:r>
      <w:r>
        <w:rPr>
          <w:rFonts w:hint="eastAsia" w:eastAsia="方正仿宋_GBK"/>
          <w:sz w:val="32"/>
          <w:szCs w:val="32"/>
        </w:rPr>
        <w:t>2026年6月</w:t>
      </w:r>
      <w:r>
        <w:rPr>
          <w:rFonts w:hint="eastAsia" w:eastAsia="方正仿宋_GBK"/>
          <w:sz w:val="32"/>
          <w:szCs w:val="32"/>
          <w:lang w:val="en-US" w:eastAsia="zh-CN"/>
        </w:rPr>
        <w:t>26</w:t>
      </w:r>
      <w:r>
        <w:rPr>
          <w:rFonts w:hint="eastAsia" w:eastAsia="方正仿宋_GBK"/>
          <w:sz w:val="32"/>
          <w:szCs w:val="32"/>
        </w:rPr>
        <w:t>日</w:t>
      </w:r>
      <w:bookmarkEnd w:id="2"/>
    </w:p>
    <w:p w14:paraId="53418EF2">
      <w:pPr>
        <w:keepNext w:val="0"/>
        <w:keepLines w:val="0"/>
        <w:pageBreakBefore w:val="0"/>
        <w:widowControl w:val="0"/>
        <w:kinsoku/>
        <w:wordWrap w:val="0"/>
        <w:overflowPunct/>
        <w:topLinePunct w:val="0"/>
        <w:autoSpaceDE/>
        <w:autoSpaceDN/>
        <w:bidi w:val="0"/>
        <w:adjustRightInd w:val="0"/>
        <w:snapToGrid w:val="0"/>
        <w:spacing w:line="520" w:lineRule="exact"/>
        <w:ind w:right="0"/>
        <w:jc w:val="center"/>
        <w:textAlignment w:val="auto"/>
        <w:rPr>
          <w:rFonts w:hint="eastAsia" w:eastAsia="方正仿宋_GBK"/>
          <w:sz w:val="32"/>
          <w:szCs w:val="32"/>
        </w:rPr>
      </w:pPr>
    </w:p>
    <w:p w14:paraId="45499391">
      <w:pPr>
        <w:keepNext w:val="0"/>
        <w:keepLines w:val="0"/>
        <w:pageBreakBefore w:val="0"/>
        <w:widowControl w:val="0"/>
        <w:kinsoku/>
        <w:wordWrap w:val="0"/>
        <w:overflowPunct/>
        <w:topLinePunct w:val="0"/>
        <w:autoSpaceDE/>
        <w:autoSpaceDN/>
        <w:bidi w:val="0"/>
        <w:adjustRightInd w:val="0"/>
        <w:snapToGrid w:val="0"/>
        <w:spacing w:line="520" w:lineRule="exact"/>
        <w:ind w:right="0"/>
        <w:jc w:val="center"/>
        <w:textAlignment w:val="auto"/>
        <w:rPr>
          <w:rFonts w:hint="eastAsia" w:eastAsia="方正仿宋_GBK"/>
          <w:sz w:val="32"/>
          <w:szCs w:val="32"/>
        </w:rPr>
      </w:pPr>
    </w:p>
    <w:p w14:paraId="1C776238">
      <w:pPr>
        <w:keepNext w:val="0"/>
        <w:keepLines w:val="0"/>
        <w:pageBreakBefore w:val="0"/>
        <w:widowControl w:val="0"/>
        <w:kinsoku/>
        <w:wordWrap w:val="0"/>
        <w:overflowPunct/>
        <w:topLinePunct w:val="0"/>
        <w:autoSpaceDE/>
        <w:autoSpaceDN/>
        <w:bidi w:val="0"/>
        <w:adjustRightInd w:val="0"/>
        <w:snapToGrid w:val="0"/>
        <w:spacing w:line="520" w:lineRule="exact"/>
        <w:ind w:right="0"/>
        <w:jc w:val="center"/>
        <w:textAlignment w:val="auto"/>
        <w:rPr>
          <w:rFonts w:hint="eastAsia" w:eastAsia="方正仿宋_GBK"/>
          <w:sz w:val="32"/>
          <w:szCs w:val="32"/>
        </w:rPr>
      </w:pPr>
    </w:p>
    <w:p w14:paraId="1BA16772">
      <w:pPr>
        <w:keepNext w:val="0"/>
        <w:keepLines w:val="0"/>
        <w:pageBreakBefore w:val="0"/>
        <w:widowControl w:val="0"/>
        <w:kinsoku/>
        <w:wordWrap w:val="0"/>
        <w:overflowPunct/>
        <w:topLinePunct w:val="0"/>
        <w:autoSpaceDE/>
        <w:autoSpaceDN/>
        <w:bidi w:val="0"/>
        <w:adjustRightInd w:val="0"/>
        <w:snapToGrid w:val="0"/>
        <w:spacing w:line="520" w:lineRule="exact"/>
        <w:ind w:right="0"/>
        <w:jc w:val="center"/>
        <w:textAlignment w:val="auto"/>
        <w:rPr>
          <w:rFonts w:hint="eastAsia" w:eastAsia="方正仿宋_GBK"/>
          <w:sz w:val="32"/>
          <w:szCs w:val="32"/>
        </w:rPr>
      </w:pPr>
    </w:p>
    <w:p w14:paraId="47C4F108">
      <w:pPr>
        <w:keepNext w:val="0"/>
        <w:keepLines w:val="0"/>
        <w:pageBreakBefore w:val="0"/>
        <w:widowControl w:val="0"/>
        <w:kinsoku/>
        <w:wordWrap w:val="0"/>
        <w:overflowPunct/>
        <w:topLinePunct w:val="0"/>
        <w:autoSpaceDE/>
        <w:autoSpaceDN/>
        <w:bidi w:val="0"/>
        <w:adjustRightInd w:val="0"/>
        <w:snapToGrid w:val="0"/>
        <w:spacing w:line="520" w:lineRule="exact"/>
        <w:ind w:right="0"/>
        <w:jc w:val="center"/>
        <w:textAlignment w:val="auto"/>
        <w:rPr>
          <w:rFonts w:hint="eastAsia" w:eastAsia="方正仿宋_GBK"/>
          <w:sz w:val="32"/>
          <w:szCs w:val="32"/>
        </w:rPr>
      </w:pPr>
    </w:p>
    <w:p w14:paraId="19ADE4A7">
      <w:pPr>
        <w:keepNext w:val="0"/>
        <w:keepLines w:val="0"/>
        <w:pageBreakBefore w:val="0"/>
        <w:widowControl w:val="0"/>
        <w:kinsoku/>
        <w:wordWrap w:val="0"/>
        <w:overflowPunct/>
        <w:topLinePunct w:val="0"/>
        <w:autoSpaceDE/>
        <w:autoSpaceDN/>
        <w:bidi w:val="0"/>
        <w:adjustRightInd w:val="0"/>
        <w:snapToGrid w:val="0"/>
        <w:spacing w:line="520" w:lineRule="exact"/>
        <w:ind w:right="0"/>
        <w:jc w:val="center"/>
        <w:textAlignment w:val="auto"/>
        <w:rPr>
          <w:rFonts w:hint="eastAsia" w:eastAsia="方正仿宋_GBK"/>
          <w:sz w:val="32"/>
          <w:szCs w:val="32"/>
        </w:rPr>
      </w:pPr>
    </w:p>
    <w:p w14:paraId="27D59AF4">
      <w:pPr>
        <w:keepNext w:val="0"/>
        <w:keepLines w:val="0"/>
        <w:pageBreakBefore w:val="0"/>
        <w:widowControl w:val="0"/>
        <w:kinsoku/>
        <w:wordWrap w:val="0"/>
        <w:overflowPunct/>
        <w:topLinePunct w:val="0"/>
        <w:autoSpaceDE/>
        <w:autoSpaceDN/>
        <w:bidi w:val="0"/>
        <w:adjustRightInd w:val="0"/>
        <w:snapToGrid w:val="0"/>
        <w:spacing w:line="520" w:lineRule="exact"/>
        <w:ind w:right="0"/>
        <w:jc w:val="center"/>
        <w:textAlignment w:val="auto"/>
        <w:rPr>
          <w:rFonts w:hint="eastAsia" w:eastAsia="方正仿宋_GBK"/>
          <w:sz w:val="32"/>
          <w:szCs w:val="32"/>
        </w:rPr>
      </w:pPr>
    </w:p>
    <w:p w14:paraId="5906D802">
      <w:pPr>
        <w:keepNext w:val="0"/>
        <w:keepLines w:val="0"/>
        <w:pageBreakBefore w:val="0"/>
        <w:widowControl w:val="0"/>
        <w:kinsoku/>
        <w:wordWrap w:val="0"/>
        <w:overflowPunct/>
        <w:topLinePunct w:val="0"/>
        <w:autoSpaceDE/>
        <w:autoSpaceDN/>
        <w:bidi w:val="0"/>
        <w:adjustRightInd w:val="0"/>
        <w:snapToGrid w:val="0"/>
        <w:spacing w:line="520" w:lineRule="exact"/>
        <w:ind w:right="0"/>
        <w:jc w:val="center"/>
        <w:textAlignment w:val="auto"/>
        <w:rPr>
          <w:rFonts w:hint="eastAsia" w:eastAsia="方正仿宋_GBK"/>
          <w:sz w:val="32"/>
          <w:szCs w:val="32"/>
        </w:rPr>
      </w:pPr>
    </w:p>
    <w:p w14:paraId="735829E9">
      <w:pPr>
        <w:keepNext w:val="0"/>
        <w:keepLines w:val="0"/>
        <w:pageBreakBefore w:val="0"/>
        <w:widowControl w:val="0"/>
        <w:kinsoku/>
        <w:wordWrap w:val="0"/>
        <w:overflowPunct/>
        <w:topLinePunct w:val="0"/>
        <w:autoSpaceDE/>
        <w:autoSpaceDN/>
        <w:bidi w:val="0"/>
        <w:adjustRightInd w:val="0"/>
        <w:snapToGrid w:val="0"/>
        <w:spacing w:line="520" w:lineRule="exact"/>
        <w:ind w:right="0"/>
        <w:jc w:val="center"/>
        <w:textAlignment w:val="auto"/>
        <w:rPr>
          <w:rFonts w:hint="eastAsia" w:eastAsia="方正仿宋_GBK"/>
          <w:sz w:val="32"/>
          <w:szCs w:val="32"/>
        </w:rPr>
      </w:pPr>
    </w:p>
    <w:p w14:paraId="56697EF9">
      <w:pPr>
        <w:keepNext w:val="0"/>
        <w:keepLines w:val="0"/>
        <w:pageBreakBefore w:val="0"/>
        <w:widowControl w:val="0"/>
        <w:kinsoku/>
        <w:wordWrap w:val="0"/>
        <w:overflowPunct/>
        <w:topLinePunct w:val="0"/>
        <w:autoSpaceDE/>
        <w:autoSpaceDN/>
        <w:bidi w:val="0"/>
        <w:adjustRightInd w:val="0"/>
        <w:snapToGrid w:val="0"/>
        <w:spacing w:line="520" w:lineRule="exact"/>
        <w:ind w:right="0"/>
        <w:jc w:val="both"/>
        <w:textAlignment w:val="auto"/>
        <w:rPr>
          <w:rFonts w:hint="eastAsia" w:eastAsia="方正仿宋_GBK"/>
          <w:sz w:val="32"/>
          <w:szCs w:val="32"/>
        </w:rPr>
      </w:pPr>
    </w:p>
    <w:p w14:paraId="19C064C1">
      <w:pPr>
        <w:keepNext w:val="0"/>
        <w:keepLines w:val="0"/>
        <w:pageBreakBefore w:val="0"/>
        <w:widowControl w:val="0"/>
        <w:kinsoku/>
        <w:wordWrap w:val="0"/>
        <w:overflowPunct/>
        <w:topLinePunct w:val="0"/>
        <w:autoSpaceDE/>
        <w:autoSpaceDN/>
        <w:bidi w:val="0"/>
        <w:adjustRightInd w:val="0"/>
        <w:snapToGrid w:val="0"/>
        <w:spacing w:line="520" w:lineRule="exact"/>
        <w:ind w:right="0"/>
        <w:jc w:val="center"/>
        <w:textAlignment w:val="auto"/>
        <w:rPr>
          <w:rFonts w:hint="eastAsia" w:eastAsia="方正仿宋_GBK"/>
          <w:sz w:val="32"/>
          <w:szCs w:val="32"/>
        </w:rPr>
      </w:pPr>
    </w:p>
    <w:p w14:paraId="11C6C2C0">
      <w:pPr>
        <w:keepNext w:val="0"/>
        <w:keepLines w:val="0"/>
        <w:pageBreakBefore w:val="0"/>
        <w:widowControl w:val="0"/>
        <w:kinsoku/>
        <w:wordWrap w:val="0"/>
        <w:overflowPunct/>
        <w:topLinePunct w:val="0"/>
        <w:autoSpaceDE/>
        <w:autoSpaceDN/>
        <w:bidi w:val="0"/>
        <w:adjustRightInd w:val="0"/>
        <w:snapToGrid w:val="0"/>
        <w:spacing w:line="520" w:lineRule="exact"/>
        <w:ind w:right="0"/>
        <w:jc w:val="center"/>
        <w:textAlignment w:val="auto"/>
        <w:rPr>
          <w:rFonts w:hint="eastAsia" w:eastAsia="方正仿宋_GBK"/>
          <w:sz w:val="32"/>
          <w:szCs w:val="32"/>
        </w:rPr>
      </w:pPr>
    </w:p>
    <w:p w14:paraId="0C291DB5">
      <w:pPr>
        <w:keepNext w:val="0"/>
        <w:keepLines w:val="0"/>
        <w:pageBreakBefore w:val="0"/>
        <w:widowControl w:val="0"/>
        <w:suppressLineNumbers w:val="0"/>
        <w:pBdr>
          <w:top w:val="single" w:color="auto" w:sz="6" w:space="1"/>
          <w:left w:val="none" w:color="auto" w:sz="0" w:space="0"/>
          <w:bottom w:val="single" w:color="auto" w:sz="6" w:space="1"/>
          <w:right w:val="none" w:color="auto" w:sz="0" w:space="0"/>
        </w:pBdr>
        <w:kinsoku/>
        <w:wordWrap/>
        <w:overflowPunct/>
        <w:topLinePunct w:val="0"/>
        <w:autoSpaceDE/>
        <w:autoSpaceDN/>
        <w:bidi w:val="0"/>
        <w:adjustRightInd w:val="0"/>
        <w:snapToGrid w:val="0"/>
        <w:spacing w:before="0" w:beforeAutospacing="0" w:after="0" w:afterAutospacing="0" w:line="540" w:lineRule="exact"/>
        <w:ind w:left="0" w:leftChars="0" w:right="0"/>
        <w:jc w:val="both"/>
        <w:textAlignment w:val="auto"/>
        <w:rPr>
          <w:rFonts w:hint="eastAsia" w:eastAsia="方正仿宋_GBK"/>
          <w:color w:val="000000" w:themeColor="text1"/>
          <w:sz w:val="32"/>
          <w:szCs w:val="32"/>
          <w14:textFill>
            <w14:solidFill>
              <w14:schemeClr w14:val="tx1"/>
            </w14:solidFill>
          </w14:textFill>
        </w:rPr>
        <w:sectPr>
          <w:footerReference r:id="rId3" w:type="default"/>
          <w:pgSz w:w="11906" w:h="16838"/>
          <w:pgMar w:top="2098" w:right="1474" w:bottom="1984" w:left="1588" w:header="1247" w:footer="1247" w:gutter="0"/>
          <w:pgNumType w:fmt="decimal" w:start="1"/>
          <w:cols w:space="720" w:num="1"/>
          <w:docGrid w:linePitch="360" w:charSpace="0"/>
        </w:sectPr>
      </w:pPr>
      <w:r>
        <w:rPr>
          <w:rFonts w:hint="eastAsia" w:ascii="Times New Roman" w:hAnsi="方正仿宋_GBK" w:eastAsia="方正仿宋_GBK" w:cs="方正仿宋_GBK"/>
          <w:kern w:val="2"/>
          <w:sz w:val="28"/>
          <w:szCs w:val="28"/>
          <w:lang w:val="en-US" w:eastAsia="zh-CN" w:bidi="ar"/>
        </w:rPr>
        <w:t>南京市玄武区人民政府办公室</w:t>
      </w:r>
      <w:r>
        <w:rPr>
          <w:rFonts w:hint="default" w:ascii="Times New Roman" w:hAnsi="Times New Roman" w:eastAsia="方正仿宋_GBK" w:cs="Times New Roman"/>
          <w:kern w:val="2"/>
          <w:sz w:val="28"/>
          <w:szCs w:val="28"/>
          <w:lang w:val="en-US" w:eastAsia="zh-CN" w:bidi="ar"/>
        </w:rPr>
        <w:t xml:space="preserve">                 202</w:t>
      </w:r>
      <w:r>
        <w:rPr>
          <w:rFonts w:hint="eastAsia" w:eastAsia="方正仿宋_GBK" w:cs="Times New Roman"/>
          <w:kern w:val="2"/>
          <w:sz w:val="28"/>
          <w:szCs w:val="28"/>
          <w:lang w:val="en-US" w:eastAsia="zh-CN" w:bidi="ar"/>
        </w:rPr>
        <w:t>6</w:t>
      </w:r>
      <w:r>
        <w:rPr>
          <w:rFonts w:hint="eastAsia" w:ascii="Times New Roman" w:hAnsi="方正仿宋_GBK" w:eastAsia="方正仿宋_GBK" w:cs="方正仿宋_GBK"/>
          <w:kern w:val="2"/>
          <w:sz w:val="28"/>
          <w:szCs w:val="28"/>
          <w:lang w:val="en-US" w:eastAsia="zh-CN" w:bidi="ar"/>
        </w:rPr>
        <w:t>年</w:t>
      </w:r>
      <w:r>
        <w:rPr>
          <w:rFonts w:hint="eastAsia" w:eastAsia="方正仿宋_GBK" w:cs="Times New Roman"/>
          <w:kern w:val="2"/>
          <w:sz w:val="28"/>
          <w:szCs w:val="28"/>
          <w:lang w:val="en-US" w:eastAsia="zh-CN" w:bidi="ar"/>
        </w:rPr>
        <w:t>6</w:t>
      </w:r>
      <w:r>
        <w:rPr>
          <w:rFonts w:hint="eastAsia" w:ascii="Times New Roman" w:hAnsi="方正仿宋_GBK" w:eastAsia="方正仿宋_GBK" w:cs="方正仿宋_GBK"/>
          <w:kern w:val="2"/>
          <w:sz w:val="28"/>
          <w:szCs w:val="28"/>
          <w:lang w:val="en-US" w:eastAsia="zh-CN" w:bidi="ar"/>
        </w:rPr>
        <w:t>月</w:t>
      </w:r>
      <w:r>
        <w:rPr>
          <w:rFonts w:hint="eastAsia" w:eastAsia="方正仿宋_GBK" w:cs="Times New Roman"/>
          <w:kern w:val="2"/>
          <w:sz w:val="28"/>
          <w:szCs w:val="28"/>
          <w:lang w:val="en-US" w:eastAsia="zh-CN" w:bidi="ar"/>
        </w:rPr>
        <w:t>30</w:t>
      </w:r>
      <w:bookmarkStart w:id="3" w:name="_GoBack"/>
      <w:bookmarkEnd w:id="3"/>
      <w:r>
        <w:rPr>
          <w:rFonts w:hint="eastAsia" w:ascii="Times New Roman" w:hAnsi="方正仿宋_GBK" w:eastAsia="方正仿宋_GBK" w:cs="方正仿宋_GBK"/>
          <w:kern w:val="2"/>
          <w:sz w:val="28"/>
          <w:szCs w:val="28"/>
          <w:lang w:val="en-US" w:eastAsia="zh-CN" w:bidi="ar"/>
        </w:rPr>
        <w:t>日印发</w:t>
      </w:r>
    </w:p>
    <w:p w14:paraId="560BE777">
      <w:pPr>
        <w:adjustRightInd w:val="0"/>
        <w:snapToGrid w:val="0"/>
        <w:spacing w:line="540" w:lineRule="exact"/>
        <w:jc w:val="both"/>
        <w:rPr>
          <w:rFonts w:eastAsia="方正仿宋_GBK"/>
          <w:bCs/>
          <w:sz w:val="32"/>
          <w:szCs w:val="32"/>
          <w:u w:val="single"/>
        </w:rPr>
      </w:pPr>
      <w:r>
        <w:rPr>
          <w:rFonts w:hint="eastAsia" w:ascii="方正黑体_GBK" w:hAnsi="方正黑体_GBK" w:eastAsia="方正黑体_GBK" w:cs="方正黑体_GBK"/>
          <w:bCs/>
          <w:sz w:val="32"/>
          <w:szCs w:val="32"/>
          <w:lang w:eastAsia="zh-CN"/>
        </w:rPr>
        <w:t>附件：</w:t>
      </w:r>
      <w:r>
        <w:rPr>
          <w:rFonts w:hint="eastAsia" w:eastAsia="方正仿宋_GBK"/>
          <w:bCs/>
          <w:sz w:val="32"/>
          <w:szCs w:val="32"/>
        </w:rPr>
        <w:t>预征收土地位置示意图</w:t>
      </w:r>
    </w:p>
    <w:p w14:paraId="21BB932E">
      <w:pPr>
        <w:spacing w:line="20" w:lineRule="exact"/>
        <w:jc w:val="center"/>
      </w:pPr>
    </w:p>
    <w:p w14:paraId="340A021C">
      <w:pPr>
        <w:spacing w:line="40" w:lineRule="exact"/>
        <w:jc w:val="center"/>
      </w:pPr>
      <w:r>
        <w:drawing>
          <wp:anchor distT="0" distB="0" distL="114300" distR="114300" simplePos="0" relativeHeight="251659264" behindDoc="0" locked="0" layoutInCell="1" allowOverlap="1">
            <wp:simplePos x="0" y="0"/>
            <wp:positionH relativeFrom="column">
              <wp:posOffset>656590</wp:posOffset>
            </wp:positionH>
            <wp:positionV relativeFrom="paragraph">
              <wp:posOffset>27940</wp:posOffset>
            </wp:positionV>
            <wp:extent cx="7388860" cy="6120130"/>
            <wp:effectExtent l="0" t="0" r="2540" b="13970"/>
            <wp:wrapTopAndBottom/>
            <wp:docPr id="1" name="图片 1" descr="F:/2026ludewan项目前期/260401玄武区材料/扫描清晰图纸/除去标题/047.png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2026ludewan项目前期/260401玄武区材料/扫描清晰图纸/除去标题/047.png047"/>
                    <pic:cNvPicPr>
                      <a:picLocks noChangeAspect="1"/>
                    </pic:cNvPicPr>
                  </pic:nvPicPr>
                  <pic:blipFill>
                    <a:blip r:embed="rId6" cstate="print"/>
                    <a:srcRect l="1572" t="2715" r="1572"/>
                    <a:stretch>
                      <a:fillRect/>
                    </a:stretch>
                  </pic:blipFill>
                  <pic:spPr>
                    <a:xfrm>
                      <a:off x="0" y="0"/>
                      <a:ext cx="7388860" cy="6120130"/>
                    </a:xfrm>
                    <a:prstGeom prst="rect">
                      <a:avLst/>
                    </a:prstGeom>
                    <a:noFill/>
                    <a:ln>
                      <a:noFill/>
                    </a:ln>
                  </pic:spPr>
                </pic:pic>
              </a:graphicData>
            </a:graphic>
          </wp:anchor>
        </w:drawing>
      </w:r>
      <w:r>
        <w:rPr>
          <w:sz w:val="24"/>
        </w:rPr>
        <mc:AlternateContent>
          <mc:Choice Requires="wps">
            <w:drawing>
              <wp:anchor distT="0" distB="0" distL="114300" distR="114300" simplePos="0" relativeHeight="251660288" behindDoc="0" locked="0" layoutInCell="1" allowOverlap="1">
                <wp:simplePos x="0" y="0"/>
                <wp:positionH relativeFrom="column">
                  <wp:posOffset>2981960</wp:posOffset>
                </wp:positionH>
                <wp:positionV relativeFrom="paragraph">
                  <wp:posOffset>1024255</wp:posOffset>
                </wp:positionV>
                <wp:extent cx="4408805" cy="478790"/>
                <wp:effectExtent l="358775" t="0" r="13970" b="321310"/>
                <wp:wrapNone/>
                <wp:docPr id="6" name="矩形标注 6"/>
                <wp:cNvGraphicFramePr/>
                <a:graphic xmlns:a="http://schemas.openxmlformats.org/drawingml/2006/main">
                  <a:graphicData uri="http://schemas.microsoft.com/office/word/2010/wordprocessingShape">
                    <wps:wsp>
                      <wps:cNvSpPr/>
                      <wps:spPr>
                        <a:xfrm>
                          <a:off x="0" y="0"/>
                          <a:ext cx="4408805" cy="478790"/>
                        </a:xfrm>
                        <a:prstGeom prst="wedgeRectCallout">
                          <a:avLst>
                            <a:gd name="adj1" fmla="val -58137"/>
                            <a:gd name="adj2" fmla="val 115915"/>
                          </a:avLst>
                        </a:prstGeom>
                        <a:solidFill>
                          <a:srgbClr val="FCF6AE"/>
                        </a:solidFill>
                        <a:ln w="12700" cap="flat" cmpd="sng" algn="ctr">
                          <a:noFill/>
                          <a:prstDash val="solid"/>
                          <a:miter lim="800000"/>
                        </a:ln>
                        <a:effectLst/>
                      </wps:spPr>
                      <wps:txbx>
                        <w:txbxContent>
                          <w:p w14:paraId="19E98FC6">
                            <w:r>
                              <w:rPr>
                                <w:rFonts w:hint="eastAsia"/>
                              </w:rPr>
                              <w:t>预征收地块，涉及玄武区孝陵卫街道沧波村集体、沧波村大门西二组、大门西三组、小门西二组、小门西一组、杨庄一组集体、孝陵卫街道国有</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34.8pt;margin-top:80.65pt;height:37.7pt;width:347.15pt;z-index:251660288;v-text-anchor:middle;mso-width-relative:page;mso-height-relative:page;" fillcolor="#FCF6AE" filled="t" stroked="f" coordsize="21600,21600" o:gfxdata="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Fixf6ncAAAADAEAAA8AAAAAAAAAAQAgAAAA&#10;IgAAAGRycy9kb3ducmV2LnhtbFBLAQIUABQAAAAIAIdO4kCxNInVsgIAAEkFAAAOAAAAAAAAAAEA&#10;IAAAACsBAABkcnMvZTJvRG9jLnhtbFBLBQYAAAAABgAGAFkBAABPBgAAAAA=&#10;" adj="-1758,35838">
                <v:fill on="t" focussize="0,0"/>
                <v:stroke on="f" weight="1pt" miterlimit="8" joinstyle="miter"/>
                <v:imagedata o:title=""/>
                <o:lock v:ext="edit" aspectratio="f"/>
                <v:textbox>
                  <w:txbxContent>
                    <w:p w14:paraId="19E98FC6">
                      <w:r>
                        <w:rPr>
                          <w:rFonts w:hint="eastAsia"/>
                        </w:rPr>
                        <w:t>预征收地块，涉及玄武区孝陵卫街道沧波村集体、沧波村大门西二组、大门西三组、小门西二组、小门西一组、杨庄一组集体、孝陵卫街道国有</w:t>
                      </w:r>
                    </w:p>
                  </w:txbxContent>
                </v:textbox>
              </v:shape>
            </w:pict>
          </mc:Fallback>
        </mc:AlternateContent>
      </w:r>
    </w:p>
    <w:sectPr>
      <w:footerReference r:id="rId4" w:type="default"/>
      <w:pgSz w:w="16838" w:h="11906" w:orient="landscape"/>
      <w:pgMar w:top="1134" w:right="1440" w:bottom="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38423">
    <w:pPr>
      <w:pStyle w:val="7"/>
      <w:ind w:right="280"/>
      <w:jc w:val="right"/>
      <w:rPr>
        <w:rFonts w:hint="eastAsia" w:ascii="宋体" w:hAnsi="宋体"/>
        <w:sz w:val="28"/>
        <w:szCs w:val="28"/>
      </w:rPr>
    </w:pPr>
    <w:r>
      <w:rPr>
        <w:rFonts w:hint="eastAsia"/>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7E77A50">
                          <w:pPr>
                            <w:pStyle w:val="7"/>
                            <w:ind w:right="280"/>
                            <w:jc w:val="righ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QQnx&#10;AO0BAADVAwAADgAAAAAAAAABACAAAAAfAQAAZHJzL2Uyb0RvYy54bWxQSwUGAAAAAAYABgBZAQAA&#10;fgUAAAAA&#10;">
              <v:fill on="f" focussize="0,0"/>
              <v:stroke on="f" weight="0.5pt"/>
              <v:imagedata o:title=""/>
              <o:lock v:ext="edit" aspectratio="f"/>
              <v:textbox inset="0mm,0mm,0mm,0mm" style="mso-fit-shape-to-text:t;">
                <w:txbxContent>
                  <w:p w14:paraId="57E77A50">
                    <w:pPr>
                      <w:pStyle w:val="7"/>
                      <w:ind w:right="280"/>
                      <w:jc w:val="righ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v:textbox>
            </v:shape>
          </w:pict>
        </mc:Fallback>
      </mc:AlternateContent>
    </w:r>
  </w:p>
  <w:p w14:paraId="4386417C">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4F97D">
    <w:pPr>
      <w:pStyle w:val="7"/>
      <w:ind w:right="280"/>
      <w:jc w:val="right"/>
      <w:rPr>
        <w:rFonts w:hint="eastAsia" w:ascii="宋体" w:hAnsi="宋体"/>
        <w:sz w:val="28"/>
        <w:szCs w:val="28"/>
      </w:rPr>
    </w:pPr>
  </w:p>
  <w:p w14:paraId="6C73FEDC">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D3BCBF"/>
    <w:multiLevelType w:val="multilevel"/>
    <w:tmpl w:val="69D3BCBF"/>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4"/>
      <w:suff w:val="nothing"/>
      <w:lvlText w:val="%3．"/>
      <w:lvlJc w:val="left"/>
      <w:pPr>
        <w:ind w:left="20" w:firstLine="400"/>
      </w:pPr>
      <w:rPr>
        <w:rFonts w:hint="eastAsia" w:ascii="宋体" w:hAnsi="宋体" w:eastAsia="宋体" w:cs="宋体"/>
        <w:sz w:val="24"/>
        <w:szCs w:val="24"/>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6F2F7F"/>
    <w:rsid w:val="000735C2"/>
    <w:rsid w:val="000E4661"/>
    <w:rsid w:val="001A4FF3"/>
    <w:rsid w:val="002B1B46"/>
    <w:rsid w:val="002E2202"/>
    <w:rsid w:val="003857B3"/>
    <w:rsid w:val="004569EF"/>
    <w:rsid w:val="005A147F"/>
    <w:rsid w:val="005C368E"/>
    <w:rsid w:val="006828D3"/>
    <w:rsid w:val="0086305D"/>
    <w:rsid w:val="00B10D94"/>
    <w:rsid w:val="00B762D0"/>
    <w:rsid w:val="00BD556E"/>
    <w:rsid w:val="00C321E3"/>
    <w:rsid w:val="00E5150F"/>
    <w:rsid w:val="00ED6405"/>
    <w:rsid w:val="0281396C"/>
    <w:rsid w:val="02A9251A"/>
    <w:rsid w:val="038E64F7"/>
    <w:rsid w:val="039B4242"/>
    <w:rsid w:val="04B56B7D"/>
    <w:rsid w:val="06EF6EAB"/>
    <w:rsid w:val="0A1D1EF8"/>
    <w:rsid w:val="0AFE1002"/>
    <w:rsid w:val="0B1C3A38"/>
    <w:rsid w:val="0B6F2F7F"/>
    <w:rsid w:val="11447B82"/>
    <w:rsid w:val="11BE3924"/>
    <w:rsid w:val="126B0EB7"/>
    <w:rsid w:val="1E366767"/>
    <w:rsid w:val="1E6C45B6"/>
    <w:rsid w:val="208F7C39"/>
    <w:rsid w:val="21497B03"/>
    <w:rsid w:val="21D67EE0"/>
    <w:rsid w:val="21E71F53"/>
    <w:rsid w:val="271B4A01"/>
    <w:rsid w:val="29FC6257"/>
    <w:rsid w:val="2A010D6F"/>
    <w:rsid w:val="2ADE373D"/>
    <w:rsid w:val="2D9B2007"/>
    <w:rsid w:val="2F0D2540"/>
    <w:rsid w:val="2F6C374C"/>
    <w:rsid w:val="3038406D"/>
    <w:rsid w:val="30FE0870"/>
    <w:rsid w:val="319C1E7F"/>
    <w:rsid w:val="32280A05"/>
    <w:rsid w:val="36897924"/>
    <w:rsid w:val="37B179ED"/>
    <w:rsid w:val="3A690A7E"/>
    <w:rsid w:val="3B794AD6"/>
    <w:rsid w:val="3C0662F8"/>
    <w:rsid w:val="3D434B2D"/>
    <w:rsid w:val="3F0A376C"/>
    <w:rsid w:val="3F7B2D15"/>
    <w:rsid w:val="3FB26B4E"/>
    <w:rsid w:val="40254842"/>
    <w:rsid w:val="42AD752A"/>
    <w:rsid w:val="45D3141B"/>
    <w:rsid w:val="46805F22"/>
    <w:rsid w:val="46DA72DE"/>
    <w:rsid w:val="47761B3E"/>
    <w:rsid w:val="47BC0E17"/>
    <w:rsid w:val="49DF00AD"/>
    <w:rsid w:val="5012408F"/>
    <w:rsid w:val="5023004A"/>
    <w:rsid w:val="51FE2459"/>
    <w:rsid w:val="524B240C"/>
    <w:rsid w:val="565B0568"/>
    <w:rsid w:val="59C17F06"/>
    <w:rsid w:val="5F5E02DC"/>
    <w:rsid w:val="64BE0310"/>
    <w:rsid w:val="660758F8"/>
    <w:rsid w:val="661E1587"/>
    <w:rsid w:val="66734968"/>
    <w:rsid w:val="66EF4FB5"/>
    <w:rsid w:val="67327F43"/>
    <w:rsid w:val="676472AF"/>
    <w:rsid w:val="687D6522"/>
    <w:rsid w:val="6A560263"/>
    <w:rsid w:val="6BDB74C6"/>
    <w:rsid w:val="6E125C67"/>
    <w:rsid w:val="7105445C"/>
    <w:rsid w:val="726704E0"/>
    <w:rsid w:val="727906E6"/>
    <w:rsid w:val="727F59CD"/>
    <w:rsid w:val="780A3E34"/>
    <w:rsid w:val="7C0B2A5A"/>
    <w:rsid w:val="7CA56CE8"/>
    <w:rsid w:val="7F180F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jc w:val="center"/>
      <w:outlineLvl w:val="0"/>
    </w:pPr>
    <w:rPr>
      <w:b/>
      <w:kern w:val="44"/>
      <w:sz w:val="44"/>
    </w:rPr>
  </w:style>
  <w:style w:type="paragraph" w:styleId="3">
    <w:name w:val="heading 2"/>
    <w:basedOn w:val="1"/>
    <w:next w:val="1"/>
    <w:semiHidden/>
    <w:unhideWhenUsed/>
    <w:qFormat/>
    <w:uiPriority w:val="0"/>
    <w:pPr>
      <w:keepNext/>
      <w:keepLines/>
      <w:spacing w:line="360" w:lineRule="auto"/>
      <w:jc w:val="left"/>
      <w:outlineLvl w:val="1"/>
    </w:pPr>
    <w:rPr>
      <w:rFonts w:ascii="Arial" w:hAnsi="Arial"/>
      <w:b/>
      <w:sz w:val="24"/>
    </w:rPr>
  </w:style>
  <w:style w:type="paragraph" w:styleId="4">
    <w:name w:val="heading 3"/>
    <w:basedOn w:val="1"/>
    <w:next w:val="1"/>
    <w:semiHidden/>
    <w:unhideWhenUsed/>
    <w:qFormat/>
    <w:uiPriority w:val="0"/>
    <w:pPr>
      <w:keepNext/>
      <w:keepLines/>
      <w:numPr>
        <w:ilvl w:val="2"/>
        <w:numId w:val="1"/>
      </w:numPr>
      <w:spacing w:line="360" w:lineRule="auto"/>
      <w:ind w:left="0"/>
      <w:jc w:val="left"/>
      <w:outlineLvl w:val="2"/>
    </w:pPr>
    <w:rPr>
      <w:b/>
      <w:sz w:val="24"/>
    </w:rPr>
  </w:style>
  <w:style w:type="paragraph" w:styleId="5">
    <w:name w:val="heading 4"/>
    <w:basedOn w:val="1"/>
    <w:next w:val="1"/>
    <w:semiHidden/>
    <w:unhideWhenUsed/>
    <w:qFormat/>
    <w:uiPriority w:val="0"/>
    <w:pPr>
      <w:keepNext/>
      <w:keepLines/>
      <w:spacing w:line="360" w:lineRule="auto"/>
      <w:ind w:firstLine="482" w:firstLineChars="200"/>
      <w:jc w:val="left"/>
      <w:outlineLvl w:val="3"/>
    </w:pPr>
    <w:rPr>
      <w:rFonts w:ascii="Arial" w:hAnsi="Arial"/>
      <w:sz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footer"/>
    <w:basedOn w:val="1"/>
    <w:qFormat/>
    <w:uiPriority w:val="99"/>
    <w:pPr>
      <w:tabs>
        <w:tab w:val="center" w:pos="4153"/>
        <w:tab w:val="right" w:pos="8306"/>
      </w:tabs>
      <w:snapToGrid w:val="0"/>
      <w:jc w:val="left"/>
    </w:pPr>
    <w:rPr>
      <w:sz w:val="18"/>
      <w:szCs w:val="20"/>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871</Words>
  <Characters>907</Characters>
  <Lines>50</Lines>
  <Paragraphs>53</Paragraphs>
  <TotalTime>1</TotalTime>
  <ScaleCrop>false</ScaleCrop>
  <LinksUpToDate>false</LinksUpToDate>
  <CharactersWithSpaces>971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2026-04-03T06:26:00Z</dcterms:created>
  <dc:creator>王储文</dc:creator>
  <cp:lastModifiedBy>南城半凉1426065969</cp:lastModifiedBy>
  <cp:lastPrinted>2026-06-05T01:47:00Z</cp:lastPrinted>
  <dcterms:modified xsi:type="dcterms:W3CDTF">2026-06-30T08:16:36Z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7E67F5F0F09940839E0496321050B9E7_13</vt:lpwstr>
  </property>
  <property fmtid="{D5CDD505-2E9C-101B-9397-08002B2CF9AE}" pid="4" name="KSOTemplateDocerSaveRecord">
    <vt:lpwstr>eyJoZGlkIjoiZWQ5YWUxZGI0Njk2YTBjM2U0NjJmZTkzNjUyNjU4ZDIiLCJ1c2VySWQiOiIzMTAyNDczMCJ9</vt:lpwstr>
  </property>
</Properties>
</file>