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52345">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eastAsia="方正小标宋_GBK"/>
          <w:bCs/>
          <w:sz w:val="44"/>
          <w:szCs w:val="32"/>
        </w:rPr>
      </w:pPr>
      <w:bookmarkStart w:id="0" w:name="XZQH1"/>
    </w:p>
    <w:p w14:paraId="28EFBF69">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eastAsia="方正小标宋_GBK"/>
          <w:bCs/>
          <w:sz w:val="44"/>
          <w:szCs w:val="32"/>
        </w:rPr>
      </w:pPr>
    </w:p>
    <w:p w14:paraId="3A203A4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eastAsia="方正小标宋_GBK"/>
          <w:bCs/>
          <w:sz w:val="44"/>
          <w:szCs w:val="32"/>
        </w:rPr>
      </w:pPr>
    </w:p>
    <w:p w14:paraId="75B079DD">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eastAsia="方正小标宋_GBK"/>
          <w:bCs/>
          <w:sz w:val="44"/>
          <w:szCs w:val="32"/>
        </w:rPr>
      </w:pPr>
    </w:p>
    <w:p w14:paraId="501E7943">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0"/>
        <w:rPr>
          <w:rFonts w:hint="eastAsia" w:eastAsia="方正小标宋_GBK"/>
          <w:bCs/>
          <w:sz w:val="44"/>
          <w:szCs w:val="32"/>
        </w:rPr>
      </w:pPr>
    </w:p>
    <w:p w14:paraId="5A39D72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eastAsia="方正小标宋_GBK"/>
          <w:bCs/>
          <w:sz w:val="44"/>
          <w:szCs w:val="32"/>
        </w:rPr>
      </w:pPr>
    </w:p>
    <w:p w14:paraId="3931483E">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eastAsia="方正仿宋_GBK"/>
          <w:sz w:val="32"/>
          <w:szCs w:val="32"/>
        </w:rPr>
      </w:pPr>
      <w:bookmarkStart w:id="1" w:name="ZDGGWH"/>
      <w:r>
        <w:rPr>
          <w:rFonts w:hint="eastAsia" w:eastAsia="方正仿宋_GBK"/>
          <w:bCs/>
          <w:sz w:val="32"/>
          <w:szCs w:val="32"/>
        </w:rPr>
        <w:t>宁（玄）预征告〔</w:t>
      </w:r>
      <w:r>
        <w:rPr>
          <w:rFonts w:eastAsia="方正仿宋_GBK"/>
          <w:bCs/>
          <w:sz w:val="32"/>
          <w:szCs w:val="32"/>
        </w:rPr>
        <w:t>20</w:t>
      </w:r>
      <w:r>
        <w:rPr>
          <w:rFonts w:hint="eastAsia" w:eastAsia="方正仿宋_GBK"/>
          <w:bCs/>
          <w:sz w:val="32"/>
          <w:szCs w:val="32"/>
        </w:rPr>
        <w:t>26〕</w:t>
      </w:r>
      <w:r>
        <w:rPr>
          <w:rFonts w:hint="eastAsia" w:eastAsia="方正仿宋_GBK"/>
          <w:bCs/>
          <w:sz w:val="32"/>
          <w:szCs w:val="32"/>
          <w:u w:val="none"/>
          <w:lang w:val="en-US" w:eastAsia="zh-CN"/>
        </w:rPr>
        <w:t>2</w:t>
      </w:r>
      <w:r>
        <w:rPr>
          <w:rFonts w:hint="eastAsia" w:eastAsia="方正仿宋_GBK"/>
          <w:bCs/>
          <w:sz w:val="32"/>
          <w:szCs w:val="32"/>
        </w:rPr>
        <w:t>号</w:t>
      </w:r>
      <w:bookmarkEnd w:id="1"/>
    </w:p>
    <w:p w14:paraId="34C2D1CE">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outlineLvl w:val="0"/>
        <w:rPr>
          <w:rFonts w:hint="eastAsia" w:eastAsia="方正小标宋_GBK"/>
          <w:bCs/>
          <w:sz w:val="44"/>
          <w:szCs w:val="32"/>
        </w:rPr>
      </w:pPr>
    </w:p>
    <w:p w14:paraId="11A2BE75">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hint="eastAsia" w:eastAsia="方正小标宋_GBK"/>
          <w:bCs/>
          <w:sz w:val="44"/>
          <w:szCs w:val="32"/>
        </w:rPr>
      </w:pPr>
    </w:p>
    <w:p w14:paraId="5BC73EE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outlineLvl w:val="0"/>
        <w:rPr>
          <w:rFonts w:eastAsia="方正小标宋_GBK"/>
          <w:bCs/>
          <w:sz w:val="44"/>
          <w:szCs w:val="32"/>
        </w:rPr>
      </w:pPr>
      <w:r>
        <w:rPr>
          <w:rFonts w:hint="eastAsia" w:eastAsia="方正小标宋_GBK"/>
          <w:bCs/>
          <w:sz w:val="44"/>
          <w:szCs w:val="32"/>
        </w:rPr>
        <w:t>南京市玄武区</w:t>
      </w:r>
      <w:bookmarkEnd w:id="0"/>
      <w:r>
        <w:rPr>
          <w:rFonts w:hint="eastAsia" w:eastAsia="方正小标宋_GBK"/>
          <w:bCs/>
          <w:sz w:val="44"/>
          <w:szCs w:val="32"/>
        </w:rPr>
        <w:t>人民政府征收土地预公告</w:t>
      </w:r>
    </w:p>
    <w:p w14:paraId="4E2BF97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eastAsia="方正仿宋_GBK"/>
          <w:sz w:val="32"/>
          <w:szCs w:val="32"/>
        </w:rPr>
      </w:pPr>
    </w:p>
    <w:p w14:paraId="5B03383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根据《中华人民共和国土地管理法》《中华人民共和国土地管理法实施条例》《江苏省土地管理条例》《市政府关于印发南京市集体土地征收补偿安置办法的通知》（宁政规字〔2022〕4号）有关规定，因公共利益需要，经南京市玄武区人民政府决定，启动</w:t>
      </w:r>
      <w:bookmarkStart w:id="2" w:name="OLE_LINK2"/>
      <w:bookmarkStart w:id="3" w:name="OLE_LINK1"/>
      <w:r>
        <w:rPr>
          <w:rFonts w:hint="eastAsia" w:eastAsia="方正仿宋_GBK"/>
          <w:sz w:val="32"/>
          <w:szCs w:val="32"/>
        </w:rPr>
        <w:t>马高路（光华路-启迪大街）</w:t>
      </w:r>
      <w:bookmarkEnd w:id="2"/>
      <w:bookmarkEnd w:id="3"/>
      <w:r>
        <w:rPr>
          <w:rFonts w:hint="eastAsia" w:eastAsia="方正仿宋_GBK"/>
          <w:sz w:val="32"/>
          <w:szCs w:val="32"/>
        </w:rPr>
        <w:t>土地征收工作。现将有关情况公告如下：</w:t>
      </w:r>
    </w:p>
    <w:p w14:paraId="258FAC2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黑体_GBK"/>
          <w:sz w:val="32"/>
          <w:szCs w:val="32"/>
        </w:rPr>
      </w:pPr>
      <w:r>
        <w:rPr>
          <w:rFonts w:hint="eastAsia" w:eastAsia="方正黑体_GBK"/>
          <w:sz w:val="32"/>
          <w:szCs w:val="32"/>
        </w:rPr>
        <w:t>一、征收目的</w:t>
      </w:r>
    </w:p>
    <w:p w14:paraId="13CD4EA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根据《中华人民共和国土地管理法》第四十五条规定，本次征收土地目的为“由政府组织实施的能源、交通、水利、通信、邮政等基础设施建设需要用地的”情形。</w:t>
      </w:r>
    </w:p>
    <w:p w14:paraId="464E623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黑体_GBK"/>
          <w:sz w:val="32"/>
          <w:szCs w:val="32"/>
        </w:rPr>
      </w:pPr>
      <w:r>
        <w:rPr>
          <w:rFonts w:hint="eastAsia" w:eastAsia="方正黑体_GBK"/>
          <w:sz w:val="32"/>
          <w:szCs w:val="32"/>
        </w:rPr>
        <w:t>二、征收范围</w:t>
      </w:r>
    </w:p>
    <w:p w14:paraId="481B794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本次预征收土地位于玄武区孝陵卫街道沧波村小门西二组、小门西一组、余粮村二组、余粮村集体、余粮村三组、余粮村四组、余粮村五百户二组、余粮村五百户三组、余粮村五百户四组、余粮村五百户五组、余粮村晓庄组、余粮村一组集体范围内。预征收土地位置详见附图。</w:t>
      </w:r>
    </w:p>
    <w:p w14:paraId="61087EB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实际征收土地范围以征地批准文件为准。</w:t>
      </w:r>
    </w:p>
    <w:p w14:paraId="1DF14D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黑体_GBK"/>
          <w:sz w:val="32"/>
          <w:szCs w:val="32"/>
        </w:rPr>
      </w:pPr>
      <w:r>
        <w:rPr>
          <w:rFonts w:hint="eastAsia" w:eastAsia="方正黑体_GBK"/>
          <w:sz w:val="32"/>
          <w:szCs w:val="32"/>
        </w:rPr>
        <w:t>三、公告期限</w:t>
      </w:r>
    </w:p>
    <w:p w14:paraId="4D3EC07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本征收土地预公告期限为</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6</w:t>
      </w:r>
      <w:r>
        <w:rPr>
          <w:rFonts w:hint="eastAsia" w:eastAsia="方正仿宋_GBK"/>
          <w:sz w:val="32"/>
          <w:szCs w:val="32"/>
        </w:rPr>
        <w:t>月</w:t>
      </w:r>
      <w:r>
        <w:rPr>
          <w:rFonts w:hint="eastAsia" w:eastAsia="方正仿宋_GBK"/>
          <w:sz w:val="32"/>
          <w:szCs w:val="32"/>
          <w:u w:val="none"/>
          <w:lang w:val="en-US" w:eastAsia="zh-CN"/>
        </w:rPr>
        <w:t>30</w:t>
      </w:r>
      <w:r>
        <w:rPr>
          <w:rFonts w:hint="eastAsia" w:eastAsia="方正仿宋_GBK"/>
          <w:sz w:val="32"/>
          <w:szCs w:val="32"/>
        </w:rPr>
        <w:t>日至</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7</w:t>
      </w:r>
      <w:r>
        <w:rPr>
          <w:rFonts w:hint="eastAsia" w:eastAsia="方正仿宋_GBK"/>
          <w:sz w:val="32"/>
          <w:szCs w:val="32"/>
        </w:rPr>
        <w:t>月</w:t>
      </w:r>
      <w:r>
        <w:rPr>
          <w:rFonts w:hint="eastAsia" w:eastAsia="方正仿宋_GBK"/>
          <w:sz w:val="32"/>
          <w:szCs w:val="32"/>
          <w:u w:val="single"/>
        </w:rPr>
        <w:t xml:space="preserve">  </w:t>
      </w:r>
      <w:r>
        <w:rPr>
          <w:rFonts w:hint="eastAsia" w:eastAsia="方正仿宋_GBK"/>
          <w:sz w:val="32"/>
          <w:szCs w:val="32"/>
          <w:u w:val="none"/>
          <w:lang w:val="en-US" w:eastAsia="zh-CN"/>
        </w:rPr>
        <w:t>13</w:t>
      </w:r>
      <w:r>
        <w:rPr>
          <w:rFonts w:hint="eastAsia" w:eastAsia="方正仿宋_GBK"/>
          <w:sz w:val="32"/>
          <w:szCs w:val="32"/>
        </w:rPr>
        <w:t>日。</w:t>
      </w:r>
    </w:p>
    <w:p w14:paraId="7B6A796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黑体_GBK"/>
          <w:sz w:val="32"/>
          <w:szCs w:val="32"/>
        </w:rPr>
      </w:pPr>
      <w:r>
        <w:rPr>
          <w:rFonts w:hint="eastAsia" w:eastAsia="方正黑体_GBK"/>
          <w:sz w:val="32"/>
          <w:szCs w:val="32"/>
        </w:rPr>
        <w:t>四、工作安排</w:t>
      </w:r>
    </w:p>
    <w:p w14:paraId="3EC0855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征收土地预公告发布后，玄武区人民政府将组织开展预征收土地现状调查和社会稳定风险评估。预征收土地现状调查内容包括：预征收土地的位置、权属、地类、面积以及农村村民住宅、房屋以外的其他地上附着物和青苗等的位置、权属、种类和数量等。请土地所有权人、使用权人予以配合，并在《预征收土地现状调查表》上对调查结果予以签名或盖章。预征收土地社会稳定风险评估工作中，将听取被征地的农村集体经济组织及其成员、村民委员会和其他利害关系人的意见。</w:t>
      </w:r>
    </w:p>
    <w:p w14:paraId="7AC920E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拟于</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6</w:t>
      </w:r>
      <w:r>
        <w:rPr>
          <w:rFonts w:hint="eastAsia" w:eastAsia="方正仿宋_GBK"/>
          <w:sz w:val="32"/>
          <w:szCs w:val="32"/>
        </w:rPr>
        <w:t>月</w:t>
      </w:r>
      <w:r>
        <w:rPr>
          <w:rFonts w:hint="eastAsia" w:eastAsia="方正仿宋_GBK"/>
          <w:sz w:val="32"/>
          <w:szCs w:val="32"/>
          <w:u w:val="none"/>
          <w:lang w:val="en-US" w:eastAsia="zh-CN"/>
        </w:rPr>
        <w:t>30</w:t>
      </w:r>
      <w:r>
        <w:rPr>
          <w:rFonts w:hint="eastAsia" w:eastAsia="方正仿宋_GBK"/>
          <w:sz w:val="32"/>
          <w:szCs w:val="32"/>
        </w:rPr>
        <w:t>日至</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7</w:t>
      </w:r>
      <w:r>
        <w:rPr>
          <w:rFonts w:hint="eastAsia" w:eastAsia="方正仿宋_GBK"/>
          <w:sz w:val="32"/>
          <w:szCs w:val="32"/>
        </w:rPr>
        <w:t>月</w:t>
      </w:r>
      <w:r>
        <w:rPr>
          <w:rFonts w:hint="eastAsia" w:eastAsia="方正仿宋_GBK"/>
          <w:sz w:val="32"/>
          <w:szCs w:val="32"/>
          <w:u w:val="none"/>
          <w:lang w:val="en-US" w:eastAsia="zh-CN"/>
        </w:rPr>
        <w:t>13</w:t>
      </w:r>
      <w:r>
        <w:rPr>
          <w:rFonts w:hint="eastAsia" w:eastAsia="方正仿宋_GBK"/>
          <w:sz w:val="32"/>
          <w:szCs w:val="32"/>
        </w:rPr>
        <w:t>日，由玄武区人民政府孝陵卫街道办事处开展土地现状调查，请有关单位和个人予以支持配合。</w:t>
      </w:r>
    </w:p>
    <w:p w14:paraId="1100B2F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黑体_GBK"/>
          <w:sz w:val="32"/>
          <w:szCs w:val="32"/>
        </w:rPr>
      </w:pPr>
      <w:r>
        <w:rPr>
          <w:rFonts w:hint="eastAsia" w:eastAsia="方正黑体_GBK"/>
          <w:sz w:val="32"/>
          <w:szCs w:val="32"/>
        </w:rPr>
        <w:t>五、其他事项</w:t>
      </w:r>
    </w:p>
    <w:p w14:paraId="62DD537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自本征收土地预公告发布之日起，任何单位和个人在预征收土地范围内有下列情形的，不作为增加补偿的依据：</w:t>
      </w:r>
    </w:p>
    <w:p w14:paraId="5FD7D17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（一）抢栽、抢建；</w:t>
      </w:r>
    </w:p>
    <w:p w14:paraId="758CEA1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（二）改变土地、房屋用途；</w:t>
      </w:r>
    </w:p>
    <w:p w14:paraId="39FDAFA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（三）办理不动产转让、分割、析产等；</w:t>
      </w:r>
    </w:p>
    <w:p w14:paraId="54495D9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（四）办理户口迁入、分户等，因出生、婚嫁、全日制在校大中专学生毕业等落户的除外；</w:t>
      </w:r>
      <w:r>
        <w:rPr>
          <w:rFonts w:eastAsia="方正仿宋_GBK"/>
          <w:sz w:val="32"/>
          <w:szCs w:val="32"/>
        </w:rPr>
        <w:t xml:space="preserve"> </w:t>
      </w:r>
    </w:p>
    <w:p w14:paraId="1D97FFE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（五）其他不当增加补偿的情形。</w:t>
      </w:r>
    </w:p>
    <w:p w14:paraId="6B406A6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u w:val="none"/>
        </w:rPr>
      </w:pPr>
      <w:r>
        <w:rPr>
          <w:rFonts w:hint="eastAsia" w:eastAsia="方正仿宋_GBK"/>
          <w:sz w:val="32"/>
          <w:szCs w:val="32"/>
        </w:rPr>
        <w:t>联系人：</w:t>
      </w:r>
      <w:r>
        <w:rPr>
          <w:rFonts w:hint="eastAsia" w:eastAsia="方正仿宋_GBK"/>
          <w:sz w:val="32"/>
          <w:szCs w:val="32"/>
          <w:u w:val="none"/>
        </w:rPr>
        <w:t>张浩</w:t>
      </w:r>
      <w:r>
        <w:rPr>
          <w:rFonts w:hint="eastAsia" w:eastAsia="方正仿宋_GBK"/>
          <w:sz w:val="32"/>
          <w:szCs w:val="32"/>
        </w:rPr>
        <w:t>；电话：</w:t>
      </w:r>
      <w:r>
        <w:rPr>
          <w:rFonts w:hint="eastAsia" w:eastAsia="方正仿宋_GBK"/>
          <w:sz w:val="32"/>
          <w:szCs w:val="32"/>
          <w:u w:val="none"/>
        </w:rPr>
        <w:t>13813998501；</w:t>
      </w:r>
    </w:p>
    <w:p w14:paraId="213DC69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联系人：</w:t>
      </w:r>
      <w:r>
        <w:rPr>
          <w:rFonts w:hint="eastAsia" w:eastAsia="方正仿宋_GBK"/>
          <w:sz w:val="32"/>
          <w:szCs w:val="32"/>
          <w:u w:val="none"/>
        </w:rPr>
        <w:t>杜靖</w:t>
      </w:r>
      <w:r>
        <w:rPr>
          <w:rFonts w:hint="eastAsia" w:eastAsia="方正仿宋_GBK"/>
          <w:sz w:val="32"/>
          <w:szCs w:val="32"/>
        </w:rPr>
        <w:t>；电话：</w:t>
      </w:r>
      <w:r>
        <w:rPr>
          <w:rFonts w:hint="eastAsia" w:eastAsia="方正仿宋_GBK"/>
          <w:sz w:val="32"/>
          <w:szCs w:val="32"/>
          <w:u w:val="none"/>
        </w:rPr>
        <w:t>15895993988</w:t>
      </w:r>
      <w:r>
        <w:rPr>
          <w:rFonts w:hint="eastAsia" w:eastAsia="方正仿宋_GBK"/>
          <w:sz w:val="32"/>
          <w:szCs w:val="32"/>
        </w:rPr>
        <w:t>。</w:t>
      </w:r>
    </w:p>
    <w:p w14:paraId="59F8169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sz w:val="32"/>
          <w:szCs w:val="32"/>
        </w:rPr>
      </w:pPr>
      <w:r>
        <w:rPr>
          <w:rFonts w:hint="eastAsia" w:eastAsia="方正仿宋_GBK"/>
          <w:sz w:val="32"/>
          <w:szCs w:val="32"/>
        </w:rPr>
        <w:t>特此公告。</w:t>
      </w:r>
    </w:p>
    <w:p w14:paraId="513631BC">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eastAsia="方正仿宋_GBK"/>
          <w:bCs/>
          <w:sz w:val="32"/>
          <w:szCs w:val="32"/>
        </w:rPr>
      </w:pPr>
    </w:p>
    <w:p w14:paraId="2DD0F8D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bCs/>
          <w:sz w:val="32"/>
          <w:szCs w:val="32"/>
        </w:rPr>
      </w:pPr>
      <w:r>
        <w:rPr>
          <w:rFonts w:hint="eastAsia" w:eastAsia="方正仿宋_GBK"/>
          <w:bCs/>
          <w:sz w:val="32"/>
          <w:szCs w:val="32"/>
        </w:rPr>
        <w:t>附件：预征收土地位置示意图</w:t>
      </w:r>
    </w:p>
    <w:p w14:paraId="44E7599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bCs/>
          <w:sz w:val="32"/>
          <w:szCs w:val="32"/>
        </w:rPr>
      </w:pPr>
    </w:p>
    <w:p w14:paraId="6485782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eastAsia="方正仿宋_GBK"/>
          <w:bCs/>
          <w:sz w:val="32"/>
          <w:szCs w:val="32"/>
        </w:rPr>
      </w:pPr>
    </w:p>
    <w:p w14:paraId="7A652855">
      <w:pPr>
        <w:keepNext w:val="0"/>
        <w:keepLines w:val="0"/>
        <w:pageBreakBefore w:val="0"/>
        <w:widowControl w:val="0"/>
        <w:kinsoku/>
        <w:wordWrap/>
        <w:overflowPunct/>
        <w:topLinePunct w:val="0"/>
        <w:autoSpaceDE/>
        <w:autoSpaceDN/>
        <w:bidi w:val="0"/>
        <w:adjustRightInd w:val="0"/>
        <w:snapToGrid w:val="0"/>
        <w:spacing w:line="540" w:lineRule="exact"/>
        <w:jc w:val="right"/>
        <w:textAlignment w:val="auto"/>
        <w:rPr>
          <w:rFonts w:eastAsia="方正仿宋_GBK"/>
          <w:sz w:val="32"/>
          <w:szCs w:val="32"/>
        </w:rPr>
      </w:pPr>
      <w:r>
        <w:rPr>
          <w:rFonts w:hint="eastAsia" w:eastAsia="方正仿宋_GBK"/>
          <w:sz w:val="32"/>
          <w:szCs w:val="32"/>
        </w:rPr>
        <w:t>南京市玄武区人民政府</w:t>
      </w:r>
    </w:p>
    <w:p w14:paraId="15C93859">
      <w:pPr>
        <w:keepNext w:val="0"/>
        <w:keepLines w:val="0"/>
        <w:pageBreakBefore w:val="0"/>
        <w:widowControl w:val="0"/>
        <w:kinsoku/>
        <w:wordWrap/>
        <w:overflowPunct/>
        <w:topLinePunct w:val="0"/>
        <w:autoSpaceDE/>
        <w:autoSpaceDN/>
        <w:bidi w:val="0"/>
        <w:adjustRightInd w:val="0"/>
        <w:snapToGrid w:val="0"/>
        <w:spacing w:line="540" w:lineRule="exact"/>
        <w:ind w:right="0"/>
        <w:jc w:val="center"/>
        <w:textAlignment w:val="auto"/>
        <w:rPr>
          <w:rFonts w:eastAsia="方正仿宋_GBK"/>
          <w:sz w:val="32"/>
          <w:szCs w:val="32"/>
        </w:rPr>
      </w:pPr>
      <w:bookmarkStart w:id="4" w:name="CJRQ"/>
      <w:r>
        <w:rPr>
          <w:rFonts w:hint="eastAsia" w:eastAsia="方正仿宋_GBK"/>
          <w:sz w:val="32"/>
          <w:szCs w:val="32"/>
          <w:lang w:val="en-US" w:eastAsia="zh-CN"/>
        </w:rPr>
        <w:t xml:space="preserve">                                  </w:t>
      </w:r>
      <w:r>
        <w:rPr>
          <w:rFonts w:hint="eastAsia" w:eastAsia="方正仿宋_GBK"/>
          <w:sz w:val="32"/>
          <w:szCs w:val="32"/>
        </w:rPr>
        <w:t>2026年6月</w:t>
      </w:r>
      <w:r>
        <w:rPr>
          <w:rFonts w:hint="eastAsia" w:eastAsia="方正仿宋_GBK"/>
          <w:sz w:val="32"/>
          <w:szCs w:val="32"/>
          <w:lang w:val="en-US" w:eastAsia="zh-CN"/>
        </w:rPr>
        <w:t>26</w:t>
      </w:r>
      <w:r>
        <w:rPr>
          <w:rFonts w:hint="eastAsia" w:eastAsia="方正仿宋_GBK"/>
          <w:sz w:val="32"/>
          <w:szCs w:val="32"/>
        </w:rPr>
        <w:t>日</w:t>
      </w:r>
      <w:bookmarkEnd w:id="4"/>
    </w:p>
    <w:p w14:paraId="63835E5C">
      <w:pPr>
        <w:keepNext w:val="0"/>
        <w:keepLines w:val="0"/>
        <w:pageBreakBefore w:val="0"/>
        <w:widowControl w:val="0"/>
        <w:kinsoku/>
        <w:wordWrap/>
        <w:overflowPunct/>
        <w:topLinePunct w:val="0"/>
        <w:autoSpaceDE/>
        <w:autoSpaceDN/>
        <w:bidi w:val="0"/>
        <w:adjustRightInd w:val="0"/>
        <w:snapToGrid w:val="0"/>
        <w:spacing w:line="540" w:lineRule="exact"/>
        <w:ind w:right="640"/>
        <w:jc w:val="right"/>
        <w:textAlignment w:val="auto"/>
        <w:rPr>
          <w:rFonts w:eastAsia="方正仿宋_GBK"/>
          <w:sz w:val="32"/>
          <w:szCs w:val="32"/>
        </w:rPr>
      </w:pPr>
    </w:p>
    <w:p w14:paraId="0CD8B44F">
      <w:pPr>
        <w:keepNext w:val="0"/>
        <w:keepLines w:val="0"/>
        <w:pageBreakBefore w:val="0"/>
        <w:widowControl w:val="0"/>
        <w:kinsoku/>
        <w:wordWrap/>
        <w:overflowPunct/>
        <w:topLinePunct w:val="0"/>
        <w:autoSpaceDE/>
        <w:autoSpaceDN/>
        <w:bidi w:val="0"/>
        <w:adjustRightInd w:val="0"/>
        <w:snapToGrid w:val="0"/>
        <w:spacing w:line="540" w:lineRule="exact"/>
        <w:ind w:right="640"/>
        <w:jc w:val="right"/>
        <w:textAlignment w:val="auto"/>
        <w:rPr>
          <w:rFonts w:eastAsia="方正仿宋_GBK"/>
          <w:sz w:val="32"/>
          <w:szCs w:val="32"/>
        </w:rPr>
      </w:pPr>
    </w:p>
    <w:p w14:paraId="1A314885">
      <w:pPr>
        <w:keepNext w:val="0"/>
        <w:keepLines w:val="0"/>
        <w:pageBreakBefore w:val="0"/>
        <w:widowControl w:val="0"/>
        <w:kinsoku/>
        <w:wordWrap/>
        <w:overflowPunct/>
        <w:topLinePunct w:val="0"/>
        <w:autoSpaceDE/>
        <w:autoSpaceDN/>
        <w:bidi w:val="0"/>
        <w:adjustRightInd w:val="0"/>
        <w:snapToGrid w:val="0"/>
        <w:spacing w:line="540" w:lineRule="exact"/>
        <w:ind w:right="640"/>
        <w:jc w:val="right"/>
        <w:textAlignment w:val="auto"/>
        <w:rPr>
          <w:rFonts w:eastAsia="方正仿宋_GBK"/>
          <w:sz w:val="32"/>
          <w:szCs w:val="32"/>
        </w:rPr>
      </w:pPr>
    </w:p>
    <w:p w14:paraId="5C610FC7">
      <w:pPr>
        <w:keepNext w:val="0"/>
        <w:keepLines w:val="0"/>
        <w:pageBreakBefore w:val="0"/>
        <w:widowControl w:val="0"/>
        <w:kinsoku/>
        <w:wordWrap/>
        <w:overflowPunct/>
        <w:topLinePunct w:val="0"/>
        <w:autoSpaceDE/>
        <w:autoSpaceDN/>
        <w:bidi w:val="0"/>
        <w:adjustRightInd w:val="0"/>
        <w:snapToGrid w:val="0"/>
        <w:spacing w:line="540" w:lineRule="exact"/>
        <w:ind w:right="640"/>
        <w:jc w:val="right"/>
        <w:textAlignment w:val="auto"/>
        <w:rPr>
          <w:rFonts w:eastAsia="方正仿宋_GBK"/>
          <w:sz w:val="32"/>
          <w:szCs w:val="32"/>
        </w:rPr>
      </w:pPr>
    </w:p>
    <w:p w14:paraId="01134689">
      <w:pPr>
        <w:keepNext w:val="0"/>
        <w:keepLines w:val="0"/>
        <w:pageBreakBefore w:val="0"/>
        <w:widowControl w:val="0"/>
        <w:kinsoku/>
        <w:wordWrap/>
        <w:overflowPunct/>
        <w:topLinePunct w:val="0"/>
        <w:autoSpaceDE/>
        <w:autoSpaceDN/>
        <w:bidi w:val="0"/>
        <w:adjustRightInd w:val="0"/>
        <w:snapToGrid w:val="0"/>
        <w:spacing w:line="540" w:lineRule="exact"/>
        <w:ind w:right="640"/>
        <w:jc w:val="right"/>
        <w:textAlignment w:val="auto"/>
        <w:rPr>
          <w:rFonts w:eastAsia="方正仿宋_GBK"/>
          <w:sz w:val="32"/>
          <w:szCs w:val="32"/>
        </w:rPr>
      </w:pPr>
    </w:p>
    <w:p w14:paraId="7E0679EA">
      <w:pPr>
        <w:keepNext w:val="0"/>
        <w:keepLines w:val="0"/>
        <w:pageBreakBefore w:val="0"/>
        <w:widowControl w:val="0"/>
        <w:kinsoku/>
        <w:wordWrap/>
        <w:overflowPunct/>
        <w:topLinePunct w:val="0"/>
        <w:autoSpaceDE/>
        <w:autoSpaceDN/>
        <w:bidi w:val="0"/>
        <w:adjustRightInd w:val="0"/>
        <w:snapToGrid w:val="0"/>
        <w:spacing w:line="540" w:lineRule="exact"/>
        <w:ind w:right="640"/>
        <w:jc w:val="both"/>
        <w:textAlignment w:val="auto"/>
        <w:rPr>
          <w:rFonts w:eastAsia="方正仿宋_GBK"/>
          <w:sz w:val="32"/>
          <w:szCs w:val="32"/>
        </w:rPr>
      </w:pPr>
    </w:p>
    <w:p w14:paraId="502E4FE6">
      <w:pPr>
        <w:keepNext w:val="0"/>
        <w:keepLines w:val="0"/>
        <w:pageBreakBefore w:val="0"/>
        <w:widowControl w:val="0"/>
        <w:kinsoku/>
        <w:wordWrap/>
        <w:overflowPunct/>
        <w:topLinePunct w:val="0"/>
        <w:autoSpaceDE/>
        <w:autoSpaceDN/>
        <w:bidi w:val="0"/>
        <w:adjustRightInd w:val="0"/>
        <w:snapToGrid w:val="0"/>
        <w:spacing w:line="540" w:lineRule="exact"/>
        <w:ind w:right="640"/>
        <w:jc w:val="both"/>
        <w:textAlignment w:val="auto"/>
        <w:rPr>
          <w:rFonts w:eastAsia="方正仿宋_GBK"/>
          <w:sz w:val="32"/>
          <w:szCs w:val="32"/>
        </w:rPr>
      </w:pPr>
    </w:p>
    <w:p w14:paraId="0C291DB5">
      <w:pPr>
        <w:keepNext w:val="0"/>
        <w:keepLines w:val="0"/>
        <w:pageBreakBefore w:val="0"/>
        <w:widowControl w:val="0"/>
        <w:suppressLineNumbers w:val="0"/>
        <w:pBdr>
          <w:top w:val="single" w:color="auto" w:sz="6" w:space="1"/>
          <w:left w:val="none" w:color="auto" w:sz="0" w:space="0"/>
          <w:bottom w:val="single" w:color="auto" w:sz="6" w:space="1"/>
          <w:right w:val="none" w:color="auto" w:sz="0" w:space="0"/>
        </w:pBdr>
        <w:kinsoku/>
        <w:wordWrap/>
        <w:overflowPunct/>
        <w:topLinePunct w:val="0"/>
        <w:autoSpaceDE/>
        <w:autoSpaceDN/>
        <w:bidi w:val="0"/>
        <w:adjustRightInd w:val="0"/>
        <w:snapToGrid w:val="0"/>
        <w:spacing w:before="0" w:beforeAutospacing="0" w:after="0" w:afterAutospacing="0" w:line="540" w:lineRule="exact"/>
        <w:ind w:left="0" w:leftChars="0" w:right="0"/>
        <w:jc w:val="both"/>
        <w:textAlignment w:val="auto"/>
        <w:rPr>
          <w:rFonts w:hint="eastAsia" w:eastAsia="方正仿宋_GBK"/>
          <w:color w:val="000000" w:themeColor="text1"/>
          <w:sz w:val="32"/>
          <w:szCs w:val="32"/>
          <w14:textFill>
            <w14:solidFill>
              <w14:schemeClr w14:val="tx1"/>
            </w14:solidFill>
          </w14:textFill>
        </w:rPr>
        <w:sectPr>
          <w:footerReference r:id="rId3" w:type="default"/>
          <w:pgSz w:w="11906" w:h="16838"/>
          <w:pgMar w:top="2098" w:right="1474" w:bottom="1984" w:left="1588" w:header="1247" w:footer="1247" w:gutter="0"/>
          <w:pgNumType w:fmt="decimal" w:start="1"/>
          <w:cols w:space="720" w:num="1"/>
          <w:docGrid w:linePitch="360" w:charSpace="0"/>
        </w:sectPr>
      </w:pPr>
      <w:r>
        <w:rPr>
          <w:rFonts w:hint="eastAsia" w:ascii="Times New Roman" w:hAnsi="方正仿宋_GBK" w:eastAsia="方正仿宋_GBK" w:cs="方正仿宋_GBK"/>
          <w:kern w:val="2"/>
          <w:sz w:val="28"/>
          <w:szCs w:val="28"/>
          <w:lang w:val="en-US" w:eastAsia="zh-CN" w:bidi="ar"/>
        </w:rPr>
        <w:t>南京市玄武区人民政府办公室</w:t>
      </w:r>
      <w:r>
        <w:rPr>
          <w:rFonts w:hint="default" w:ascii="Times New Roman" w:hAnsi="Times New Roman" w:eastAsia="方正仿宋_GBK" w:cs="Times New Roman"/>
          <w:kern w:val="2"/>
          <w:sz w:val="28"/>
          <w:szCs w:val="28"/>
          <w:lang w:val="en-US" w:eastAsia="zh-CN" w:bidi="ar"/>
        </w:rPr>
        <w:t xml:space="preserve">                 202</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年</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月</w:t>
      </w:r>
      <w:r>
        <w:rPr>
          <w:rFonts w:hint="eastAsia" w:eastAsia="方正仿宋_GBK" w:cs="Times New Roman"/>
          <w:kern w:val="2"/>
          <w:sz w:val="28"/>
          <w:szCs w:val="28"/>
          <w:lang w:val="en-US" w:eastAsia="zh-CN" w:bidi="ar"/>
        </w:rPr>
        <w:t>30</w:t>
      </w:r>
      <w:bookmarkStart w:id="5" w:name="_GoBack"/>
      <w:bookmarkEnd w:id="5"/>
      <w:r>
        <w:rPr>
          <w:rFonts w:hint="eastAsia" w:ascii="Times New Roman" w:hAnsi="方正仿宋_GBK" w:eastAsia="方正仿宋_GBK" w:cs="方正仿宋_GBK"/>
          <w:kern w:val="2"/>
          <w:sz w:val="28"/>
          <w:szCs w:val="28"/>
          <w:lang w:val="en-US" w:eastAsia="zh-CN" w:bidi="ar"/>
        </w:rPr>
        <w:t>日印发</w:t>
      </w:r>
    </w:p>
    <w:p w14:paraId="420A9620">
      <w:pPr>
        <w:adjustRightInd w:val="0"/>
        <w:snapToGrid w:val="0"/>
        <w:spacing w:line="540" w:lineRule="exact"/>
        <w:jc w:val="both"/>
      </w:pPr>
      <w:r>
        <w:rPr>
          <w:rFonts w:hint="eastAsia" w:ascii="方正黑体_GBK" w:hAnsi="方正黑体_GBK" w:eastAsia="方正黑体_GBK" w:cs="方正黑体_GBK"/>
          <w:sz w:val="24"/>
        </w:rPr>
        <mc:AlternateContent>
          <mc:Choice Requires="wps">
            <w:drawing>
              <wp:anchor distT="0" distB="0" distL="114300" distR="114300" simplePos="0" relativeHeight="251660288" behindDoc="0" locked="0" layoutInCell="1" allowOverlap="1">
                <wp:simplePos x="0" y="0"/>
                <wp:positionH relativeFrom="column">
                  <wp:posOffset>-124460</wp:posOffset>
                </wp:positionH>
                <wp:positionV relativeFrom="paragraph">
                  <wp:posOffset>1706245</wp:posOffset>
                </wp:positionV>
                <wp:extent cx="5093335" cy="911225"/>
                <wp:effectExtent l="0" t="0" r="126365" b="307975"/>
                <wp:wrapNone/>
                <wp:docPr id="8" name="矩形标注 8"/>
                <wp:cNvGraphicFramePr/>
                <a:graphic xmlns:a="http://schemas.openxmlformats.org/drawingml/2006/main">
                  <a:graphicData uri="http://schemas.microsoft.com/office/word/2010/wordprocessingShape">
                    <wps:wsp>
                      <wps:cNvSpPr/>
                      <wps:spPr>
                        <a:xfrm>
                          <a:off x="0" y="0"/>
                          <a:ext cx="5093335" cy="911225"/>
                        </a:xfrm>
                        <a:prstGeom prst="wedgeRectCallout">
                          <a:avLst>
                            <a:gd name="adj1" fmla="val 52406"/>
                            <a:gd name="adj2" fmla="val 81846"/>
                          </a:avLst>
                        </a:prstGeom>
                        <a:solidFill>
                          <a:srgbClr val="FCF6AE"/>
                        </a:solidFill>
                        <a:ln w="12700" cap="flat" cmpd="sng" algn="ctr">
                          <a:noFill/>
                          <a:prstDash val="solid"/>
                          <a:miter lim="800000"/>
                        </a:ln>
                        <a:effectLst/>
                      </wps:spPr>
                      <wps:txbx>
                        <w:txbxContent>
                          <w:p w14:paraId="1E628384">
                            <w:pPr>
                              <w:rPr>
                                <w:sz w:val="22"/>
                                <w:szCs w:val="28"/>
                              </w:rPr>
                            </w:pPr>
                            <w:r>
                              <w:rPr>
                                <w:rFonts w:hint="eastAsia"/>
                                <w:sz w:val="22"/>
                                <w:szCs w:val="28"/>
                              </w:rPr>
                              <w:t>预征收地块，涉及玄武区孝陵卫街道沧波村小门西二组、小门西一组、余粮村二组、余粮村三组、余粮村四组、余粮村五百户二组、余粮村五百户三组、余粮村五百户四组、余粮村五百户五组、余粮村晓庄组、余粮村一组集体、余粮村集体、孝陵卫街道国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9.8pt;margin-top:134.35pt;height:71.75pt;width:401.05pt;z-index:251660288;v-text-anchor:middle;mso-width-relative:page;mso-height-relative:page;" fillcolor="#FCF6AE" filled="t" stroked="f" coordsize="21600,21600" o:gfxdata="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azVVNNgAAAALAQAADwAAAAAAAAABACAAAAAiAAAAZHJz&#10;L2Rvd25yZXYueG1sUEsBAhQAFAAAAAgAh07iQPlnhGyvAgAARwUAAA4AAAAAAAAAAQAgAAAAJwEA&#10;AGRycy9lMm9Eb2MueG1sUEsFBgAAAAAGAAYAWQEAAEgGAAAAAA==&#10;" adj="22120,28479">
                <v:fill on="t" focussize="0,0"/>
                <v:stroke on="f" weight="1pt" miterlimit="8" joinstyle="miter"/>
                <v:imagedata o:title=""/>
                <o:lock v:ext="edit" aspectratio="f"/>
                <v:textbox>
                  <w:txbxContent>
                    <w:p w14:paraId="1E628384">
                      <w:pPr>
                        <w:rPr>
                          <w:sz w:val="22"/>
                          <w:szCs w:val="28"/>
                        </w:rPr>
                      </w:pPr>
                      <w:r>
                        <w:rPr>
                          <w:rFonts w:hint="eastAsia"/>
                          <w:sz w:val="22"/>
                          <w:szCs w:val="28"/>
                        </w:rPr>
                        <w:t>预征收地块，涉及玄武区孝陵卫街道沧波村小门西二组、小门西一组、余粮村二组、余粮村三组、余粮村四组、余粮村五百户二组、余粮村五百户三组、余粮村五百户四组、余粮村五百户五组、余粮村晓庄组、余粮村一组集体、余粮村集体、孝陵卫街道国有</w:t>
                      </w:r>
                    </w:p>
                  </w:txbxContent>
                </v:textbox>
              </v:shape>
            </w:pict>
          </mc:Fallback>
        </mc:AlternateContent>
      </w:r>
      <w:r>
        <w:rPr>
          <w:rFonts w:hint="eastAsia" w:ascii="方正黑体_GBK" w:hAnsi="方正黑体_GBK" w:eastAsia="方正黑体_GBK" w:cs="方正黑体_GBK"/>
        </w:rPr>
        <w:drawing>
          <wp:anchor distT="0" distB="0" distL="114300" distR="114300" simplePos="0" relativeHeight="251659264" behindDoc="0" locked="0" layoutInCell="1" allowOverlap="1">
            <wp:simplePos x="0" y="0"/>
            <wp:positionH relativeFrom="column">
              <wp:posOffset>475615</wp:posOffset>
            </wp:positionH>
            <wp:positionV relativeFrom="paragraph">
              <wp:posOffset>393700</wp:posOffset>
            </wp:positionV>
            <wp:extent cx="7592060" cy="6299835"/>
            <wp:effectExtent l="0" t="0" r="8890" b="5715"/>
            <wp:wrapTopAndBottom/>
            <wp:docPr id="1" name="图片 1" descr="F:/2026ludewan项目前期/260401玄武区材料/扫描清晰图纸/除去标题/048-1.png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026ludewan项目前期/260401玄武区材料/扫描清晰图纸/除去标题/048-1.png048-1"/>
                    <pic:cNvPicPr>
                      <a:picLocks noChangeAspect="1"/>
                    </pic:cNvPicPr>
                  </pic:nvPicPr>
                  <pic:blipFill>
                    <a:blip r:embed="rId6" cstate="print"/>
                    <a:srcRect t="347" b="347"/>
                    <a:stretch>
                      <a:fillRect/>
                    </a:stretch>
                  </pic:blipFill>
                  <pic:spPr>
                    <a:xfrm>
                      <a:off x="0" y="0"/>
                      <a:ext cx="7592060" cy="6299835"/>
                    </a:xfrm>
                    <a:prstGeom prst="rect">
                      <a:avLst/>
                    </a:prstGeom>
                    <a:noFill/>
                    <a:ln>
                      <a:noFill/>
                    </a:ln>
                  </pic:spPr>
                </pic:pic>
              </a:graphicData>
            </a:graphic>
          </wp:anchor>
        </w:drawing>
      </w:r>
      <w:r>
        <w:rPr>
          <w:rFonts w:hint="eastAsia" w:ascii="方正黑体_GBK" w:hAnsi="方正黑体_GBK" w:eastAsia="方正黑体_GBK" w:cs="方正黑体_GBK"/>
          <w:bCs/>
          <w:sz w:val="32"/>
          <w:szCs w:val="32"/>
          <w:lang w:eastAsia="zh-CN"/>
        </w:rPr>
        <w:t>附件：</w:t>
      </w:r>
      <w:r>
        <w:rPr>
          <w:rFonts w:hint="eastAsia" w:eastAsia="方正仿宋_GBK"/>
          <w:bCs/>
          <w:sz w:val="32"/>
          <w:szCs w:val="32"/>
        </w:rPr>
        <w:t>预征收土地位置示意图</w:t>
      </w:r>
    </w:p>
    <w:sectPr>
      <w:footerReference r:id="rId4" w:type="default"/>
      <w:pgSz w:w="16838" w:h="11906" w:orient="landscape"/>
      <w:pgMar w:top="850" w:right="1440" w:bottom="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38423">
    <w:pPr>
      <w:pStyle w:val="7"/>
      <w:ind w:right="280"/>
      <w:jc w:val="right"/>
      <w:rPr>
        <w:rFonts w:hint="eastAsia" w:ascii="宋体" w:hAnsi="宋体"/>
        <w:sz w:val="28"/>
        <w:szCs w:val="28"/>
      </w:rPr>
    </w:pPr>
    <w:r>
      <w:rPr>
        <w:rFonts w:hint="eastAsia"/>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E77A50">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QQnx&#10;AO0BAADVAwAADgAAAAAAAAABACAAAAAfAQAAZHJzL2Uyb0RvYy54bWxQSwUGAAAAAAYABgBZAQAA&#10;fgUAAAAA&#10;">
              <v:fill on="f" focussize="0,0"/>
              <v:stroke on="f" weight="0.5pt"/>
              <v:imagedata o:title=""/>
              <o:lock v:ext="edit" aspectratio="f"/>
              <v:textbox inset="0mm,0mm,0mm,0mm" style="mso-fit-shape-to-text:t;">
                <w:txbxContent>
                  <w:p w14:paraId="57E77A50">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p w14:paraId="4386417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43EB">
    <w:pPr>
      <w:pStyle w:val="7"/>
      <w:ind w:right="280"/>
      <w:jc w:val="right"/>
      <w:rPr>
        <w:rFonts w:hint="eastAsia" w:ascii="宋体" w:hAnsi="宋体"/>
        <w:sz w:val="28"/>
        <w:szCs w:val="28"/>
      </w:rPr>
    </w:pPr>
  </w:p>
  <w:p w14:paraId="011A696A">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D3BCBF"/>
    <w:multiLevelType w:val="multilevel"/>
    <w:tmpl w:val="69D3BCBF"/>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20" w:firstLine="400"/>
      </w:pPr>
      <w:rPr>
        <w:rFonts w:hint="eastAsia" w:ascii="宋体" w:hAnsi="宋体" w:eastAsia="宋体" w:cs="宋体"/>
        <w:sz w:val="24"/>
        <w:szCs w:val="24"/>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5647E"/>
    <w:rsid w:val="000329D1"/>
    <w:rsid w:val="00061747"/>
    <w:rsid w:val="000D6F7D"/>
    <w:rsid w:val="002B19F9"/>
    <w:rsid w:val="00350F53"/>
    <w:rsid w:val="00394C2E"/>
    <w:rsid w:val="00423DEA"/>
    <w:rsid w:val="005C368E"/>
    <w:rsid w:val="005D7CBF"/>
    <w:rsid w:val="005F36CA"/>
    <w:rsid w:val="006D45B6"/>
    <w:rsid w:val="0076018F"/>
    <w:rsid w:val="00762948"/>
    <w:rsid w:val="00901932"/>
    <w:rsid w:val="009F52E9"/>
    <w:rsid w:val="00B34EDB"/>
    <w:rsid w:val="00BB019C"/>
    <w:rsid w:val="00EF2FAF"/>
    <w:rsid w:val="00F0559C"/>
    <w:rsid w:val="00FA38EE"/>
    <w:rsid w:val="01A2719B"/>
    <w:rsid w:val="022468EC"/>
    <w:rsid w:val="02720839"/>
    <w:rsid w:val="05905B06"/>
    <w:rsid w:val="06082C63"/>
    <w:rsid w:val="06F06E05"/>
    <w:rsid w:val="07B5592A"/>
    <w:rsid w:val="0B1C3A38"/>
    <w:rsid w:val="0C0B053C"/>
    <w:rsid w:val="0C9952C6"/>
    <w:rsid w:val="0D5601EA"/>
    <w:rsid w:val="0F377EA0"/>
    <w:rsid w:val="101D20A7"/>
    <w:rsid w:val="101F3682"/>
    <w:rsid w:val="10501D31"/>
    <w:rsid w:val="11345814"/>
    <w:rsid w:val="132F23EF"/>
    <w:rsid w:val="149C4F83"/>
    <w:rsid w:val="175A61FB"/>
    <w:rsid w:val="1ABE298D"/>
    <w:rsid w:val="1C1125C4"/>
    <w:rsid w:val="1C5F64FC"/>
    <w:rsid w:val="1C64757C"/>
    <w:rsid w:val="22CD610E"/>
    <w:rsid w:val="23AD7C09"/>
    <w:rsid w:val="24B875D3"/>
    <w:rsid w:val="255231DD"/>
    <w:rsid w:val="26801077"/>
    <w:rsid w:val="284113D3"/>
    <w:rsid w:val="2A187669"/>
    <w:rsid w:val="2ADE373D"/>
    <w:rsid w:val="2BEC1565"/>
    <w:rsid w:val="30BF2DBE"/>
    <w:rsid w:val="30E111C1"/>
    <w:rsid w:val="310E3B74"/>
    <w:rsid w:val="314D44A4"/>
    <w:rsid w:val="32B35E00"/>
    <w:rsid w:val="33785759"/>
    <w:rsid w:val="34DD0A06"/>
    <w:rsid w:val="38267406"/>
    <w:rsid w:val="3A2319B1"/>
    <w:rsid w:val="3A314344"/>
    <w:rsid w:val="3B142150"/>
    <w:rsid w:val="3B7B4032"/>
    <w:rsid w:val="3C706E90"/>
    <w:rsid w:val="3C95085F"/>
    <w:rsid w:val="3D3E7892"/>
    <w:rsid w:val="3D8B21D4"/>
    <w:rsid w:val="3DD73EFB"/>
    <w:rsid w:val="3E3E1A84"/>
    <w:rsid w:val="42AD715E"/>
    <w:rsid w:val="4520176B"/>
    <w:rsid w:val="467E2FAA"/>
    <w:rsid w:val="4A505AC5"/>
    <w:rsid w:val="4A7212D4"/>
    <w:rsid w:val="4D412376"/>
    <w:rsid w:val="4E000043"/>
    <w:rsid w:val="511703CE"/>
    <w:rsid w:val="52950FA7"/>
    <w:rsid w:val="564C44DD"/>
    <w:rsid w:val="565B0568"/>
    <w:rsid w:val="58DB52E4"/>
    <w:rsid w:val="5CC60E0D"/>
    <w:rsid w:val="5CD75A8B"/>
    <w:rsid w:val="5D25647E"/>
    <w:rsid w:val="5EB822A5"/>
    <w:rsid w:val="61640E6D"/>
    <w:rsid w:val="627C183B"/>
    <w:rsid w:val="667F5443"/>
    <w:rsid w:val="67892594"/>
    <w:rsid w:val="67FA2231"/>
    <w:rsid w:val="682D1093"/>
    <w:rsid w:val="687D6522"/>
    <w:rsid w:val="6C9B7CAB"/>
    <w:rsid w:val="6D2A2072"/>
    <w:rsid w:val="6D6C6555"/>
    <w:rsid w:val="70215014"/>
    <w:rsid w:val="70ED3F4C"/>
    <w:rsid w:val="722417A6"/>
    <w:rsid w:val="73BF5B0E"/>
    <w:rsid w:val="74123402"/>
    <w:rsid w:val="746076B5"/>
    <w:rsid w:val="78113BDD"/>
    <w:rsid w:val="786D65BE"/>
    <w:rsid w:val="787C44EC"/>
    <w:rsid w:val="7E3A7074"/>
    <w:rsid w:val="7F180F3E"/>
    <w:rsid w:val="7F407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b/>
      <w:kern w:val="44"/>
      <w:sz w:val="44"/>
    </w:rPr>
  </w:style>
  <w:style w:type="paragraph" w:styleId="3">
    <w:name w:val="heading 2"/>
    <w:basedOn w:val="1"/>
    <w:next w:val="1"/>
    <w:semiHidden/>
    <w:unhideWhenUsed/>
    <w:qFormat/>
    <w:uiPriority w:val="0"/>
    <w:pPr>
      <w:keepNext/>
      <w:keepLines/>
      <w:spacing w:line="360" w:lineRule="auto"/>
      <w:jc w:val="left"/>
      <w:outlineLvl w:val="1"/>
    </w:pPr>
    <w:rPr>
      <w:rFonts w:ascii="Arial" w:hAnsi="Arial"/>
      <w:b/>
      <w:sz w:val="24"/>
    </w:rPr>
  </w:style>
  <w:style w:type="paragraph" w:styleId="4">
    <w:name w:val="heading 3"/>
    <w:basedOn w:val="1"/>
    <w:next w:val="1"/>
    <w:semiHidden/>
    <w:unhideWhenUsed/>
    <w:qFormat/>
    <w:uiPriority w:val="0"/>
    <w:pPr>
      <w:keepNext/>
      <w:keepLines/>
      <w:numPr>
        <w:ilvl w:val="2"/>
        <w:numId w:val="1"/>
      </w:numPr>
      <w:spacing w:line="360" w:lineRule="auto"/>
      <w:ind w:left="0"/>
      <w:jc w:val="left"/>
      <w:outlineLvl w:val="2"/>
    </w:pPr>
    <w:rPr>
      <w:b/>
      <w:sz w:val="24"/>
    </w:rPr>
  </w:style>
  <w:style w:type="paragraph" w:styleId="5">
    <w:name w:val="heading 4"/>
    <w:basedOn w:val="1"/>
    <w:next w:val="1"/>
    <w:semiHidden/>
    <w:unhideWhenUsed/>
    <w:qFormat/>
    <w:uiPriority w:val="0"/>
    <w:pPr>
      <w:keepNext/>
      <w:keepLines/>
      <w:spacing w:line="360" w:lineRule="auto"/>
      <w:ind w:firstLine="482" w:firstLineChars="200"/>
      <w:jc w:val="left"/>
      <w:outlineLvl w:val="3"/>
    </w:pPr>
    <w:rPr>
      <w:rFonts w:ascii="Arial" w:hAnsi="Arial"/>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934</Words>
  <Characters>980</Characters>
  <Lines>49</Lines>
  <Paragraphs>52</Paragraphs>
  <TotalTime>3</TotalTime>
  <ScaleCrop>false</ScaleCrop>
  <LinksUpToDate>false</LinksUpToDate>
  <CharactersWithSpaces>1044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2026-04-03T06:40:00Z</dcterms:created>
  <dc:creator>王储文</dc:creator>
  <cp:lastModifiedBy>南城半凉1426065969</cp:lastModifiedBy>
  <cp:lastPrinted>2026-06-05T01:53:00Z</cp:lastPrinted>
  <dcterms:modified xsi:type="dcterms:W3CDTF">2026-06-30T08:12:39Z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1ECA95260ED14C3D93B8B530D15CE386_13</vt:lpwstr>
  </property>
  <property fmtid="{D5CDD505-2E9C-101B-9397-08002B2CF9AE}" pid="4" name="KSOTemplateDocerSaveRecord">
    <vt:lpwstr>eyJoZGlkIjoiZWQ5YWUxZGI0Njk2YTBjM2U0NjJmZTkzNjUyNjU4ZDIiLCJ1c2VySWQiOiIzMTAyNDczMCJ9</vt:lpwstr>
  </property>
</Properties>
</file>