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37E748">
      <w:pPr>
        <w:spacing w:line="460" w:lineRule="exact"/>
        <w:ind w:firstLine="0" w:firstLineChars="0"/>
        <w:rPr>
          <w:rFonts w:ascii="Times New Roman" w:hAnsi="Times New Roman" w:eastAsia="方正黑体_GBK"/>
          <w:sz w:val="30"/>
          <w:szCs w:val="30"/>
          <w:highlight w:val="none"/>
        </w:rPr>
      </w:pPr>
      <w:r>
        <w:rPr>
          <w:rFonts w:hint="eastAsia" w:ascii="Times New Roman" w:hAnsi="Times New Roman" w:eastAsia="方正黑体_GBK"/>
          <w:sz w:val="30"/>
          <w:szCs w:val="30"/>
          <w:highlight w:val="none"/>
        </w:rPr>
        <w:t>玄武区十九届人大</w:t>
      </w:r>
    </w:p>
    <w:p w14:paraId="0E606429">
      <w:pPr>
        <w:spacing w:line="460" w:lineRule="exact"/>
        <w:ind w:firstLine="0" w:firstLineChars="0"/>
        <w:rPr>
          <w:rFonts w:ascii="Times New Roman" w:hAnsi="Times New Roman" w:eastAsia="方正黑体_GBK"/>
          <w:sz w:val="30"/>
          <w:szCs w:val="30"/>
          <w:highlight w:val="none"/>
        </w:rPr>
      </w:pPr>
      <w:r>
        <w:rPr>
          <w:rFonts w:hint="eastAsia" w:ascii="Times New Roman" w:hAnsi="Times New Roman" w:eastAsia="方正黑体_GBK"/>
          <w:sz w:val="30"/>
          <w:szCs w:val="30"/>
          <w:highlight w:val="none"/>
        </w:rPr>
        <w:t>五次会议文件之一</w:t>
      </w:r>
    </w:p>
    <w:p w14:paraId="4D8F0C35">
      <w:pPr>
        <w:ind w:firstLine="640"/>
        <w:rPr>
          <w:rFonts w:ascii="Times New Roman" w:hAnsi="Times New Roman"/>
          <w:highlight w:val="none"/>
        </w:rPr>
      </w:pPr>
    </w:p>
    <w:p w14:paraId="184DFAED">
      <w:pPr>
        <w:pStyle w:val="27"/>
        <w:spacing w:before="360" w:beforeLines="150"/>
        <w:rPr>
          <w:rFonts w:ascii="Times New Roman" w:hAnsi="Times New Roman"/>
          <w:highlight w:val="none"/>
        </w:rPr>
      </w:pPr>
      <w:r>
        <w:rPr>
          <w:rFonts w:hint="eastAsia" w:ascii="Times New Roman" w:hAnsi="Times New Roman"/>
          <w:highlight w:val="none"/>
        </w:rPr>
        <w:t>玄武区人民政府工作报告</w:t>
      </w:r>
    </w:p>
    <w:p w14:paraId="5B23D2E0">
      <w:pPr>
        <w:pStyle w:val="28"/>
        <w:spacing w:before="120" w:beforeLines="50"/>
        <w:rPr>
          <w:rFonts w:ascii="Times New Roman" w:hAnsi="Times New Roman"/>
          <w:highlight w:val="none"/>
        </w:rPr>
      </w:pPr>
      <w:r>
        <w:rPr>
          <w:rFonts w:hint="eastAsia" w:ascii="Times New Roman" w:hAnsi="Times New Roman"/>
          <w:highlight w:val="none"/>
        </w:rPr>
        <w:t>（2026年1月8日）</w:t>
      </w:r>
    </w:p>
    <w:p w14:paraId="20DEE1D9">
      <w:pPr>
        <w:pStyle w:val="28"/>
        <w:spacing w:before="120" w:beforeLines="50"/>
        <w:rPr>
          <w:rFonts w:ascii="Times New Roman" w:hAnsi="Times New Roman"/>
          <w:highlight w:val="none"/>
        </w:rPr>
      </w:pPr>
      <w:r>
        <w:rPr>
          <w:rFonts w:hint="eastAsia" w:ascii="Times New Roman" w:hAnsi="Times New Roman"/>
          <w:highlight w:val="none"/>
        </w:rPr>
        <w:t>张 志 超</w:t>
      </w:r>
    </w:p>
    <w:p w14:paraId="4CB8BDC0">
      <w:pPr>
        <w:pStyle w:val="28"/>
        <w:spacing w:before="120" w:beforeLines="50"/>
        <w:rPr>
          <w:rFonts w:ascii="Times New Roman" w:hAnsi="Times New Roman"/>
          <w:highlight w:val="none"/>
        </w:rPr>
      </w:pPr>
    </w:p>
    <w:p w14:paraId="730E91C4">
      <w:pPr>
        <w:ind w:firstLine="0" w:firstLineChars="0"/>
        <w:rPr>
          <w:rFonts w:ascii="Times New Roman" w:hAnsi="Times New Roman"/>
          <w:highlight w:val="none"/>
        </w:rPr>
      </w:pPr>
      <w:r>
        <w:rPr>
          <w:rFonts w:hint="eastAsia" w:ascii="Times New Roman" w:hAnsi="Times New Roman"/>
          <w:highlight w:val="none"/>
        </w:rPr>
        <w:t>各位代表：</w:t>
      </w:r>
      <w:bookmarkStart w:id="6" w:name="_GoBack"/>
      <w:bookmarkEnd w:id="6"/>
    </w:p>
    <w:p w14:paraId="570CD3AD">
      <w:pPr>
        <w:ind w:firstLine="640"/>
        <w:rPr>
          <w:rFonts w:ascii="Times New Roman" w:hAnsi="Times New Roman"/>
          <w:bCs/>
          <w:snapToGrid w:val="0"/>
          <w:kern w:val="0"/>
          <w:highlight w:val="none"/>
        </w:rPr>
      </w:pPr>
      <w:r>
        <w:rPr>
          <w:rFonts w:ascii="Times New Roman" w:hAnsi="Times New Roman"/>
          <w:bCs/>
          <w:snapToGrid w:val="0"/>
          <w:kern w:val="0"/>
          <w:highlight w:val="none"/>
        </w:rPr>
        <w:t>现在，我代表玄武区人民政府，向大会报告工作，请予审议，并请各位政协委员和大会列席人员提出意见。</w:t>
      </w:r>
    </w:p>
    <w:p w14:paraId="320990EB">
      <w:pPr>
        <w:adjustRightInd w:val="0"/>
        <w:spacing w:before="240" w:beforeLines="100" w:after="240" w:afterLines="100"/>
        <w:ind w:firstLine="0" w:firstLineChars="0"/>
        <w:jc w:val="center"/>
        <w:rPr>
          <w:rFonts w:ascii="Times New Roman" w:hAnsi="Times New Roman" w:eastAsia="方正黑体_GBK"/>
          <w:bCs/>
          <w:snapToGrid w:val="0"/>
          <w:kern w:val="0"/>
          <w:highlight w:val="none"/>
        </w:rPr>
      </w:pPr>
      <w:r>
        <w:rPr>
          <w:rFonts w:ascii="Times New Roman" w:hAnsi="Times New Roman" w:eastAsia="方正黑体_GBK"/>
          <w:bCs/>
          <w:snapToGrid w:val="0"/>
          <w:kern w:val="0"/>
          <w:highlight w:val="none"/>
        </w:rPr>
        <w:t>一、20</w:t>
      </w:r>
      <w:r>
        <w:rPr>
          <w:rFonts w:hint="eastAsia" w:ascii="Times New Roman" w:hAnsi="Times New Roman" w:eastAsia="方正黑体_GBK"/>
          <w:bCs/>
          <w:snapToGrid w:val="0"/>
          <w:kern w:val="0"/>
          <w:highlight w:val="none"/>
        </w:rPr>
        <w:t>25</w:t>
      </w:r>
      <w:r>
        <w:rPr>
          <w:rFonts w:ascii="Times New Roman" w:hAnsi="Times New Roman" w:eastAsia="方正黑体_GBK"/>
          <w:bCs/>
          <w:snapToGrid w:val="0"/>
          <w:kern w:val="0"/>
          <w:highlight w:val="none"/>
        </w:rPr>
        <w:t>年及</w:t>
      </w:r>
      <w:r>
        <w:rPr>
          <w:rFonts w:hint="eastAsia" w:ascii="Times New Roman" w:hAnsi="Times New Roman" w:eastAsia="方正黑体_GBK"/>
          <w:bCs/>
          <w:snapToGrid w:val="0"/>
          <w:kern w:val="0"/>
          <w:highlight w:val="none"/>
        </w:rPr>
        <w:t>“十四五”</w:t>
      </w:r>
      <w:r>
        <w:rPr>
          <w:rFonts w:ascii="Times New Roman" w:hAnsi="Times New Roman" w:eastAsia="方正黑体_GBK"/>
          <w:bCs/>
          <w:snapToGrid w:val="0"/>
          <w:kern w:val="0"/>
          <w:highlight w:val="none"/>
        </w:rPr>
        <w:t>工作回顾</w:t>
      </w:r>
    </w:p>
    <w:p w14:paraId="516311EE">
      <w:pPr>
        <w:adjustRightInd w:val="0"/>
        <w:ind w:firstLine="640"/>
        <w:rPr>
          <w:rFonts w:ascii="Times New Roman" w:hAnsi="Times New Roman"/>
          <w:szCs w:val="32"/>
          <w:highlight w:val="none"/>
        </w:rPr>
      </w:pPr>
      <w:r>
        <w:rPr>
          <w:rFonts w:hint="eastAsia" w:ascii="Times New Roman" w:hAnsi="Times New Roman"/>
          <w:szCs w:val="32"/>
          <w:highlight w:val="none"/>
        </w:rPr>
        <w:t>2025年是“十四五”收官之年。一年来，全区上下坚持以习近平新时代中国特色社会主义思想为指导，全面贯彻党的二十大和二十届历次全会精神，深入学习贯彻习近平总书记对江苏工作重要讲话精神，坚决落实市委、市政府和区委决策部署，坚持稳中求进工作总基调，完整准确全面贯彻新发展理念，</w:t>
      </w:r>
      <w:r>
        <w:rPr>
          <w:rFonts w:hint="eastAsia" w:ascii="Times New Roman" w:hAnsi="Times New Roman"/>
          <w:kern w:val="0"/>
          <w:szCs w:val="32"/>
          <w:highlight w:val="none"/>
        </w:rPr>
        <w:t>聚焦打好“三大关键仗”</w:t>
      </w:r>
      <w:r>
        <w:rPr>
          <w:rFonts w:ascii="Times New Roman" w:hAnsi="Times New Roman"/>
          <w:snapToGrid w:val="0"/>
          <w:kern w:val="0"/>
          <w:highlight w:val="none"/>
          <w:vertAlign w:val="superscript"/>
        </w:rPr>
        <w:t>[</w:t>
      </w:r>
      <w:r>
        <w:rPr>
          <w:rFonts w:hint="eastAsia" w:ascii="Times New Roman" w:hAnsi="Times New Roman"/>
          <w:snapToGrid w:val="0"/>
          <w:kern w:val="0"/>
          <w:highlight w:val="none"/>
          <w:vertAlign w:val="superscript"/>
        </w:rPr>
        <w:t>1</w:t>
      </w:r>
      <w:r>
        <w:rPr>
          <w:rFonts w:ascii="Times New Roman" w:hAnsi="Times New Roman"/>
          <w:snapToGrid w:val="0"/>
          <w:kern w:val="0"/>
          <w:highlight w:val="none"/>
          <w:vertAlign w:val="superscript"/>
        </w:rPr>
        <w:t>]</w:t>
      </w:r>
      <w:r>
        <w:rPr>
          <w:rFonts w:hint="eastAsia" w:ascii="Times New Roman" w:hAnsi="Times New Roman"/>
          <w:kern w:val="0"/>
          <w:szCs w:val="32"/>
          <w:highlight w:val="none"/>
        </w:rPr>
        <w:t>“三大攻坚仗”</w:t>
      </w:r>
      <w:r>
        <w:rPr>
          <w:rFonts w:ascii="Times New Roman" w:hAnsi="Times New Roman"/>
          <w:snapToGrid w:val="0"/>
          <w:kern w:val="0"/>
          <w:highlight w:val="none"/>
          <w:vertAlign w:val="superscript"/>
        </w:rPr>
        <w:t>[</w:t>
      </w:r>
      <w:r>
        <w:rPr>
          <w:rFonts w:hint="eastAsia" w:ascii="Times New Roman" w:hAnsi="Times New Roman"/>
          <w:snapToGrid w:val="0"/>
          <w:kern w:val="0"/>
          <w:highlight w:val="none"/>
          <w:vertAlign w:val="superscript"/>
        </w:rPr>
        <w:t>2</w:t>
      </w:r>
      <w:r>
        <w:rPr>
          <w:rFonts w:ascii="Times New Roman" w:hAnsi="Times New Roman"/>
          <w:snapToGrid w:val="0"/>
          <w:kern w:val="0"/>
          <w:highlight w:val="none"/>
          <w:vertAlign w:val="superscript"/>
        </w:rPr>
        <w:t>]</w:t>
      </w:r>
      <w:r>
        <w:rPr>
          <w:rFonts w:hint="eastAsia" w:ascii="Times New Roman" w:hAnsi="Times New Roman"/>
          <w:kern w:val="0"/>
          <w:szCs w:val="32"/>
          <w:highlight w:val="none"/>
        </w:rPr>
        <w:t>重要任务，锚定</w:t>
      </w:r>
      <w:r>
        <w:rPr>
          <w:rFonts w:hint="eastAsia" w:ascii="Times New Roman" w:hAnsi="Times New Roman"/>
          <w:szCs w:val="32"/>
          <w:highlight w:val="none"/>
        </w:rPr>
        <w:t>产业强区建设目标，统筹抓好改革发展稳定各项工作，全面加快转型升级步伐，扎实推进高质量发展，完成了区十九届人大四次会议确定的主要目标任务。</w:t>
      </w:r>
    </w:p>
    <w:p w14:paraId="53F50F83">
      <w:pPr>
        <w:ind w:firstLine="640"/>
        <w:rPr>
          <w:rFonts w:ascii="Times New Roman" w:hAnsi="Times New Roman" w:cs="方正仿宋_GBK"/>
          <w:szCs w:val="32"/>
          <w:highlight w:val="none"/>
          <w:lang w:bidi="ar"/>
        </w:rPr>
      </w:pPr>
      <w:r>
        <w:rPr>
          <w:rFonts w:hint="eastAsia" w:ascii="Times New Roman" w:hAnsi="Times New Roman" w:eastAsia="方正黑体_GBK"/>
          <w:highlight w:val="none"/>
        </w:rPr>
        <w:t>坚持扩内需、稳增长，在承压奋进中推动经济运行持续向好。</w:t>
      </w:r>
      <w:r>
        <w:rPr>
          <w:rFonts w:hint="eastAsia" w:ascii="Times New Roman" w:hAnsi="Times New Roman"/>
          <w:bCs/>
          <w:snapToGrid w:val="0"/>
          <w:kern w:val="0"/>
          <w:highlight w:val="none"/>
        </w:rPr>
        <w:t>始终把经济工作作为重中之重，</w:t>
      </w:r>
      <w:r>
        <w:rPr>
          <w:rFonts w:hint="eastAsia" w:ascii="Times New Roman" w:hAnsi="Times New Roman"/>
          <w:bCs/>
          <w:szCs w:val="32"/>
          <w:highlight w:val="none"/>
        </w:rPr>
        <w:t>健全</w:t>
      </w:r>
      <w:r>
        <w:rPr>
          <w:rFonts w:hint="eastAsia" w:ascii="Times New Roman" w:hAnsi="Times New Roman" w:cs="方正仿宋_GBK"/>
          <w:szCs w:val="32"/>
          <w:highlight w:val="none"/>
        </w:rPr>
        <w:t>完善“周监测、旬分析、月盘点”机制，</w:t>
      </w:r>
      <w:r>
        <w:rPr>
          <w:rFonts w:hint="eastAsia" w:ascii="Times New Roman" w:hAnsi="Times New Roman"/>
          <w:bCs/>
          <w:szCs w:val="32"/>
          <w:highlight w:val="none"/>
        </w:rPr>
        <w:t>全力以赴拼经济促发展</w:t>
      </w:r>
      <w:r>
        <w:rPr>
          <w:rFonts w:hint="eastAsia" w:ascii="Times New Roman" w:hAnsi="Times New Roman"/>
          <w:bCs/>
          <w:szCs w:val="32"/>
          <w:highlight w:val="none"/>
          <w:lang w:eastAsia="zh-CN"/>
        </w:rPr>
        <w:t>。</w:t>
      </w:r>
      <w:r>
        <w:rPr>
          <w:rFonts w:hint="eastAsia" w:ascii="Times New Roman" w:hAnsi="Times New Roman"/>
          <w:bCs/>
          <w:szCs w:val="32"/>
          <w:highlight w:val="none"/>
        </w:rPr>
        <w:t>全年</w:t>
      </w:r>
      <w:r>
        <w:rPr>
          <w:rFonts w:hint="eastAsia" w:ascii="Times New Roman" w:hAnsi="Times New Roman"/>
          <w:szCs w:val="32"/>
          <w:highlight w:val="none"/>
        </w:rPr>
        <w:t>地区生产总值</w:t>
      </w:r>
      <w:r>
        <w:rPr>
          <w:rFonts w:hint="eastAsia" w:ascii="Times New Roman" w:hAnsi="Times New Roman"/>
          <w:bCs/>
          <w:szCs w:val="32"/>
          <w:highlight w:val="none"/>
        </w:rPr>
        <w:t>完成1439亿元，同比增长5.6%、位列主城第一</w:t>
      </w:r>
      <w:r>
        <w:rPr>
          <w:rFonts w:hint="eastAsia" w:ascii="Times New Roman" w:hAnsi="Times New Roman"/>
          <w:bCs/>
          <w:szCs w:val="32"/>
          <w:highlight w:val="none"/>
          <w:lang w:eastAsia="zh-CN"/>
        </w:rPr>
        <w:t>；</w:t>
      </w:r>
      <w:r>
        <w:rPr>
          <w:rFonts w:hint="eastAsia" w:ascii="Times New Roman" w:hAnsi="Times New Roman"/>
          <w:bCs/>
          <w:szCs w:val="32"/>
          <w:highlight w:val="none"/>
        </w:rPr>
        <w:t>一</w:t>
      </w:r>
      <w:r>
        <w:rPr>
          <w:rFonts w:hint="eastAsia" w:ascii="Times New Roman" w:hAnsi="Times New Roman"/>
          <w:bCs/>
          <w:szCs w:val="32"/>
          <w:highlight w:val="none"/>
        </w:rPr>
        <w:t>般公共预算收入完成107.4亿元</w:t>
      </w:r>
      <w:r>
        <w:rPr>
          <w:rFonts w:hint="eastAsia" w:ascii="Times New Roman" w:hAnsi="Times New Roman"/>
          <w:bCs/>
          <w:szCs w:val="32"/>
          <w:highlight w:val="none"/>
          <w:lang w:eastAsia="zh-CN"/>
        </w:rPr>
        <w:t>，</w:t>
      </w:r>
      <w:r>
        <w:rPr>
          <w:rFonts w:hint="eastAsia" w:ascii="Times New Roman" w:hAnsi="Times New Roman"/>
          <w:bCs/>
          <w:szCs w:val="32"/>
          <w:highlight w:val="none"/>
        </w:rPr>
        <w:t>同比增长6%</w:t>
      </w:r>
      <w:r>
        <w:rPr>
          <w:rFonts w:hint="eastAsia" w:ascii="Times New Roman" w:hAnsi="Times New Roman"/>
          <w:bCs/>
          <w:szCs w:val="32"/>
          <w:highlight w:val="none"/>
          <w:lang w:eastAsia="zh-CN"/>
        </w:rPr>
        <w:t>、</w:t>
      </w:r>
      <w:r>
        <w:rPr>
          <w:rFonts w:hint="eastAsia" w:ascii="Times New Roman" w:hAnsi="Times New Roman"/>
          <w:bCs/>
          <w:szCs w:val="32"/>
          <w:highlight w:val="none"/>
        </w:rPr>
        <w:t>位列全市第一。</w:t>
      </w:r>
      <w:r>
        <w:rPr>
          <w:rFonts w:hint="eastAsia" w:ascii="Times New Roman" w:hAnsi="Times New Roman" w:eastAsia="方正楷体_GBK"/>
          <w:snapToGrid w:val="0"/>
          <w:kern w:val="0"/>
          <w:highlight w:val="none"/>
        </w:rPr>
        <w:t>以重大项目</w:t>
      </w:r>
      <w:r>
        <w:rPr>
          <w:rFonts w:hint="eastAsia" w:ascii="Times New Roman" w:hAnsi="Times New Roman" w:eastAsia="方正楷体_GBK" w:cs="方正楷体_GBK"/>
          <w:szCs w:val="32"/>
          <w:highlight w:val="none"/>
        </w:rPr>
        <w:t>筑牢发展支撑</w:t>
      </w:r>
      <w:r>
        <w:rPr>
          <w:rFonts w:hint="eastAsia" w:ascii="Times New Roman" w:hAnsi="Times New Roman" w:eastAsia="方正楷体_GBK"/>
          <w:snapToGrid w:val="0"/>
          <w:kern w:val="0"/>
          <w:highlight w:val="none"/>
        </w:rPr>
        <w:t>。</w:t>
      </w:r>
      <w:r>
        <w:rPr>
          <w:rFonts w:hint="eastAsia" w:ascii="Times New Roman" w:hAnsi="Times New Roman"/>
          <w:szCs w:val="32"/>
          <w:highlight w:val="none"/>
        </w:rPr>
        <w:t>充分发挥区</w:t>
      </w:r>
      <w:r>
        <w:rPr>
          <w:rFonts w:hint="eastAsia" w:ascii="Times New Roman" w:hAnsi="Times New Roman" w:cs="宋体"/>
          <w:bCs/>
          <w:szCs w:val="32"/>
          <w:highlight w:val="none"/>
        </w:rPr>
        <w:t>重大项目办作用，扎实推进</w:t>
      </w:r>
      <w:r>
        <w:rPr>
          <w:rFonts w:hint="eastAsia" w:ascii="Times New Roman" w:hAnsi="Times New Roman"/>
          <w:highlight w:val="none"/>
          <w:lang w:bidi="ar"/>
        </w:rPr>
        <w:t>111个区级以上重大项目建设，年度完成投资146亿元，4月、12月两次举办全市重大项目推进活动，西门子Xcelerator长三角科创赋能中心、国机数科机械装备行业云平台等53个项目开工建设，红山国际社区、招商</w:t>
      </w:r>
      <w:r>
        <w:rPr>
          <w:rFonts w:hint="eastAsia" w:ascii="Times New Roman" w:hAnsi="Times New Roman"/>
          <w:spacing w:val="-6"/>
          <w:highlight w:val="none"/>
          <w:lang w:bidi="ar"/>
        </w:rPr>
        <w:t>局江苏中心等43个项目竣工投产，新增改造产业载体超120万</w:t>
      </w:r>
      <w:r>
        <w:rPr>
          <w:rFonts w:hint="eastAsia" w:ascii="Times New Roman" w:hAnsi="Times New Roman"/>
          <w:spacing w:val="-6"/>
          <w:highlight w:val="none"/>
        </w:rPr>
        <w:t>平</w:t>
      </w:r>
      <w:r>
        <w:rPr>
          <w:rFonts w:hint="eastAsia" w:ascii="Times New Roman" w:hAnsi="Times New Roman"/>
          <w:spacing w:val="-4"/>
          <w:highlight w:val="none"/>
        </w:rPr>
        <w:t>方米</w:t>
      </w:r>
      <w:r>
        <w:rPr>
          <w:rFonts w:hint="eastAsia" w:ascii="Times New Roman" w:hAnsi="Times New Roman" w:cs="方正仿宋_GBK"/>
          <w:spacing w:val="-4"/>
          <w:szCs w:val="32"/>
          <w:highlight w:val="none"/>
        </w:rPr>
        <w:t>。全面加强政策性资金争取，入选国家“两重”</w:t>
      </w:r>
      <w:r>
        <w:rPr>
          <w:rFonts w:ascii="Times New Roman" w:hAnsi="Times New Roman"/>
          <w:snapToGrid w:val="0"/>
          <w:spacing w:val="-4"/>
          <w:kern w:val="0"/>
          <w:highlight w:val="none"/>
          <w:vertAlign w:val="superscript"/>
        </w:rPr>
        <w:t>[</w:t>
      </w:r>
      <w:r>
        <w:rPr>
          <w:rFonts w:hint="eastAsia" w:ascii="Times New Roman" w:hAnsi="Times New Roman"/>
          <w:snapToGrid w:val="0"/>
          <w:spacing w:val="-4"/>
          <w:kern w:val="0"/>
          <w:highlight w:val="none"/>
          <w:vertAlign w:val="superscript"/>
        </w:rPr>
        <w:t>3</w:t>
      </w:r>
      <w:r>
        <w:rPr>
          <w:rFonts w:ascii="Times New Roman" w:hAnsi="Times New Roman"/>
          <w:snapToGrid w:val="0"/>
          <w:spacing w:val="-4"/>
          <w:kern w:val="0"/>
          <w:highlight w:val="none"/>
          <w:vertAlign w:val="superscript"/>
        </w:rPr>
        <w:t>]</w:t>
      </w:r>
      <w:r>
        <w:rPr>
          <w:rFonts w:hint="eastAsia" w:ascii="Times New Roman" w:hAnsi="Times New Roman" w:cs="方正仿宋_GBK"/>
          <w:spacing w:val="-4"/>
          <w:szCs w:val="32"/>
          <w:highlight w:val="none"/>
        </w:rPr>
        <w:t>“两新”</w:t>
      </w:r>
      <w:r>
        <w:rPr>
          <w:rFonts w:ascii="Times New Roman" w:hAnsi="Times New Roman"/>
          <w:snapToGrid w:val="0"/>
          <w:spacing w:val="-4"/>
          <w:kern w:val="0"/>
          <w:highlight w:val="none"/>
          <w:vertAlign w:val="superscript"/>
        </w:rPr>
        <w:t>[</w:t>
      </w:r>
      <w:r>
        <w:rPr>
          <w:rFonts w:hint="eastAsia" w:ascii="Times New Roman" w:hAnsi="Times New Roman"/>
          <w:snapToGrid w:val="0"/>
          <w:spacing w:val="-4"/>
          <w:kern w:val="0"/>
          <w:highlight w:val="none"/>
          <w:vertAlign w:val="superscript"/>
        </w:rPr>
        <w:t>4</w:t>
      </w:r>
      <w:r>
        <w:rPr>
          <w:rFonts w:ascii="Times New Roman" w:hAnsi="Times New Roman"/>
          <w:snapToGrid w:val="0"/>
          <w:spacing w:val="-4"/>
          <w:kern w:val="0"/>
          <w:highlight w:val="none"/>
          <w:vertAlign w:val="superscript"/>
        </w:rPr>
        <w:t>]</w:t>
      </w:r>
      <w:r>
        <w:rPr>
          <w:rFonts w:hint="eastAsia" w:ascii="Times New Roman" w:hAnsi="Times New Roman" w:cs="方正仿宋_GBK"/>
          <w:spacing w:val="-4"/>
          <w:szCs w:val="32"/>
          <w:highlight w:val="none"/>
        </w:rPr>
        <w:t>项</w:t>
      </w:r>
      <w:r>
        <w:rPr>
          <w:rFonts w:hint="eastAsia" w:ascii="Times New Roman" w:hAnsi="Times New Roman" w:cs="方正仿宋_GBK"/>
          <w:szCs w:val="32"/>
          <w:highlight w:val="none"/>
        </w:rPr>
        <w:t>目4个，</w:t>
      </w:r>
      <w:r>
        <w:rPr>
          <w:rFonts w:hint="eastAsia" w:ascii="Times New Roman" w:hAnsi="Times New Roman" w:cs="宋体"/>
          <w:bCs/>
          <w:szCs w:val="32"/>
          <w:highlight w:val="none"/>
        </w:rPr>
        <w:t>2个项目成功发行专项债，</w:t>
      </w:r>
      <w:r>
        <w:rPr>
          <w:rFonts w:hint="eastAsia" w:ascii="Times New Roman" w:hAnsi="Times New Roman"/>
          <w:highlight w:val="none"/>
        </w:rPr>
        <w:t>省重大项目</w:t>
      </w:r>
      <w:r>
        <w:rPr>
          <w:rFonts w:hint="eastAsia" w:ascii="Times New Roman" w:hAnsi="Times New Roman" w:cs="方正仿宋_GBK"/>
          <w:szCs w:val="32"/>
          <w:highlight w:val="none"/>
        </w:rPr>
        <w:t>生物育种钟山实验室获国家开发银行全国首批投放新型政策性金融工具支持3700万元，</w:t>
      </w:r>
      <w:r>
        <w:rPr>
          <w:rFonts w:hint="eastAsia" w:ascii="Times New Roman" w:hAnsi="Times New Roman" w:cs="宋体"/>
          <w:bCs/>
          <w:szCs w:val="32"/>
          <w:highlight w:val="none"/>
        </w:rPr>
        <w:t>全年获各类政策性资金支持额度达</w:t>
      </w:r>
      <w:r>
        <w:rPr>
          <w:rFonts w:hint="eastAsia" w:ascii="Times New Roman" w:hAnsi="Times New Roman"/>
          <w:highlight w:val="none"/>
        </w:rPr>
        <w:t>5.4亿元</w:t>
      </w:r>
      <w:r>
        <w:rPr>
          <w:rFonts w:hint="eastAsia" w:ascii="Times New Roman" w:hAnsi="Times New Roman" w:cs="宋体"/>
          <w:bCs/>
          <w:szCs w:val="32"/>
          <w:highlight w:val="none"/>
        </w:rPr>
        <w:t>，较上一年度提高超20倍。</w:t>
      </w:r>
      <w:r>
        <w:rPr>
          <w:rFonts w:hint="eastAsia" w:ascii="Times New Roman" w:hAnsi="Times New Roman" w:eastAsia="方正楷体_GBK"/>
          <w:snapToGrid w:val="0"/>
          <w:kern w:val="0"/>
          <w:highlight w:val="none"/>
        </w:rPr>
        <w:t>以招商引资积蓄发展后劲。</w:t>
      </w:r>
      <w:r>
        <w:rPr>
          <w:rFonts w:hint="eastAsia" w:ascii="Times New Roman" w:hAnsi="Times New Roman" w:cs="宋体"/>
          <w:bCs/>
          <w:szCs w:val="32"/>
          <w:highlight w:val="none"/>
        </w:rPr>
        <w:t>认真落实全市“招商质效提升年”要求，在主城</w:t>
      </w:r>
      <w:r>
        <w:rPr>
          <w:rFonts w:ascii="Times New Roman" w:hAnsi="Times New Roman"/>
          <w:szCs w:val="32"/>
          <w:highlight w:val="none"/>
        </w:rPr>
        <w:t>率先</w:t>
      </w:r>
      <w:r>
        <w:rPr>
          <w:rFonts w:ascii="Times New Roman" w:hAnsi="Times New Roman"/>
          <w:snapToGrid w:val="0"/>
          <w:kern w:val="0"/>
          <w:szCs w:val="32"/>
          <w:highlight w:val="none"/>
        </w:rPr>
        <w:t>与江北新区、江宁</w:t>
      </w:r>
      <w:r>
        <w:rPr>
          <w:rFonts w:hint="eastAsia" w:ascii="Times New Roman" w:hAnsi="Times New Roman"/>
          <w:snapToGrid w:val="0"/>
          <w:kern w:val="0"/>
          <w:szCs w:val="32"/>
          <w:highlight w:val="none"/>
        </w:rPr>
        <w:t>区</w:t>
      </w:r>
      <w:r>
        <w:rPr>
          <w:rFonts w:ascii="Times New Roman" w:hAnsi="Times New Roman"/>
          <w:snapToGrid w:val="0"/>
          <w:kern w:val="0"/>
          <w:szCs w:val="32"/>
          <w:highlight w:val="none"/>
        </w:rPr>
        <w:t>合作</w:t>
      </w:r>
      <w:r>
        <w:rPr>
          <w:rFonts w:hint="eastAsia" w:ascii="Times New Roman" w:hAnsi="Times New Roman"/>
          <w:snapToGrid w:val="0"/>
          <w:kern w:val="0"/>
          <w:szCs w:val="32"/>
          <w:highlight w:val="none"/>
        </w:rPr>
        <w:t>探索服务业与制造业联合</w:t>
      </w:r>
      <w:r>
        <w:rPr>
          <w:rFonts w:ascii="Times New Roman" w:hAnsi="Times New Roman"/>
          <w:snapToGrid w:val="0"/>
          <w:kern w:val="0"/>
          <w:szCs w:val="32"/>
          <w:highlight w:val="none"/>
        </w:rPr>
        <w:t>招商模式</w:t>
      </w:r>
      <w:r>
        <w:rPr>
          <w:rFonts w:hint="eastAsia" w:ascii="Times New Roman" w:hAnsi="Times New Roman"/>
          <w:snapToGrid w:val="0"/>
          <w:kern w:val="0"/>
          <w:szCs w:val="32"/>
          <w:highlight w:val="none"/>
        </w:rPr>
        <w:t>，</w:t>
      </w:r>
      <w:r>
        <w:rPr>
          <w:rFonts w:hint="eastAsia" w:ascii="Times New Roman" w:hAnsi="Times New Roman" w:cs="宋体"/>
          <w:bCs/>
          <w:szCs w:val="32"/>
          <w:highlight w:val="none"/>
        </w:rPr>
        <w:t>先后举办德国企业中国行、中法制造业数智化高端交流会等重点招商活动</w:t>
      </w:r>
      <w:r>
        <w:rPr>
          <w:rFonts w:hint="eastAsia" w:ascii="Times New Roman" w:hAnsi="Times New Roman"/>
          <w:highlight w:val="none"/>
        </w:rPr>
        <w:t>80余</w:t>
      </w:r>
      <w:r>
        <w:rPr>
          <w:rFonts w:hint="eastAsia" w:ascii="Times New Roman" w:hAnsi="Times New Roman" w:cs="宋体"/>
          <w:bCs/>
          <w:szCs w:val="32"/>
          <w:highlight w:val="none"/>
        </w:rPr>
        <w:t>场，区主要领导带队外出招商</w:t>
      </w:r>
      <w:r>
        <w:rPr>
          <w:rFonts w:hint="eastAsia" w:ascii="Times New Roman" w:hAnsi="Times New Roman"/>
          <w:highlight w:val="none"/>
        </w:rPr>
        <w:t>23次，</w:t>
      </w:r>
      <w:r>
        <w:rPr>
          <w:rFonts w:hint="eastAsia" w:ascii="Times New Roman" w:hAnsi="Times New Roman" w:cs="宋体"/>
          <w:bCs/>
          <w:szCs w:val="32"/>
          <w:highlight w:val="none"/>
        </w:rPr>
        <w:t>全球工业软件巨头达索系统智能制造中国总部、总投资超百亿</w:t>
      </w:r>
      <w:r>
        <w:rPr>
          <w:rFonts w:hint="eastAsia" w:ascii="Times New Roman" w:hAnsi="Times New Roman" w:cs="Segoe UI Emoji"/>
          <w:bCs/>
          <w:szCs w:val="32"/>
          <w:highlight w:val="none"/>
        </w:rPr>
        <w:t>元的百度南京中</w:t>
      </w:r>
      <w:r>
        <w:rPr>
          <w:rFonts w:hint="eastAsia" w:ascii="Times New Roman" w:hAnsi="Times New Roman" w:cs="Segoe UI Emoji"/>
          <w:bCs/>
          <w:szCs w:val="32"/>
          <w:highlight w:val="none"/>
        </w:rPr>
        <w:t>心等</w:t>
      </w:r>
      <w:r>
        <w:rPr>
          <w:rFonts w:hint="eastAsia" w:ascii="Times New Roman" w:hAnsi="Times New Roman"/>
          <w:highlight w:val="none"/>
          <w:lang w:val="en-US" w:eastAsia="zh-CN"/>
        </w:rPr>
        <w:t>117</w:t>
      </w:r>
      <w:r>
        <w:rPr>
          <w:rFonts w:hint="eastAsia" w:ascii="Times New Roman" w:hAnsi="Times New Roman" w:cs="宋体"/>
          <w:bCs/>
          <w:szCs w:val="32"/>
          <w:highlight w:val="none"/>
        </w:rPr>
        <w:t>个</w:t>
      </w:r>
      <w:r>
        <w:rPr>
          <w:rFonts w:hint="eastAsia" w:ascii="Times New Roman" w:hAnsi="Times New Roman" w:cs="Segoe UI Emoji"/>
          <w:bCs/>
          <w:szCs w:val="32"/>
          <w:highlight w:val="none"/>
        </w:rPr>
        <w:t>项目</w:t>
      </w:r>
      <w:r>
        <w:rPr>
          <w:rFonts w:hint="eastAsia" w:ascii="Times New Roman" w:hAnsi="Times New Roman" w:cs="宋体"/>
          <w:bCs/>
          <w:szCs w:val="32"/>
          <w:highlight w:val="none"/>
        </w:rPr>
        <w:t>招引落地，</w:t>
      </w:r>
      <w:r>
        <w:rPr>
          <w:rFonts w:hint="eastAsia" w:ascii="Times New Roman" w:hAnsi="Times New Roman" w:cs="Segoe UI Emoji"/>
          <w:bCs/>
          <w:szCs w:val="32"/>
          <w:highlight w:val="none"/>
        </w:rPr>
        <w:t>入选</w:t>
      </w:r>
      <w:r>
        <w:rPr>
          <w:rFonts w:hint="eastAsia" w:ascii="Times New Roman" w:hAnsi="Times New Roman"/>
          <w:szCs w:val="32"/>
          <w:highlight w:val="none"/>
        </w:rPr>
        <w:t>高能级项目</w:t>
      </w:r>
      <w:r>
        <w:rPr>
          <w:rFonts w:hint="eastAsia" w:ascii="Times New Roman" w:hAnsi="Times New Roman"/>
          <w:szCs w:val="32"/>
          <w:highlight w:val="none"/>
          <w:lang w:val="en-US" w:eastAsia="zh-CN"/>
        </w:rPr>
        <w:t>9</w:t>
      </w:r>
      <w:r>
        <w:rPr>
          <w:rFonts w:hint="eastAsia" w:ascii="Times New Roman" w:hAnsi="Times New Roman"/>
          <w:szCs w:val="32"/>
          <w:highlight w:val="none"/>
        </w:rPr>
        <w:t>个、位列全市第二</w:t>
      </w:r>
      <w:r>
        <w:rPr>
          <w:rFonts w:hint="eastAsia" w:ascii="Times New Roman" w:hAnsi="Times New Roman"/>
          <w:szCs w:val="32"/>
          <w:highlight w:val="none"/>
        </w:rPr>
        <w:t>，</w:t>
      </w:r>
      <w:r>
        <w:rPr>
          <w:rFonts w:hint="eastAsia" w:ascii="Times New Roman" w:hAnsi="Times New Roman"/>
          <w:highlight w:val="none"/>
        </w:rPr>
        <w:t>全年</w:t>
      </w:r>
      <w:r>
        <w:rPr>
          <w:rFonts w:hint="eastAsia" w:ascii="Times New Roman" w:hAnsi="Times New Roman" w:cs="宋体"/>
          <w:bCs/>
          <w:szCs w:val="32"/>
          <w:highlight w:val="none"/>
        </w:rPr>
        <w:t>实际投资总额</w:t>
      </w:r>
      <w:r>
        <w:rPr>
          <w:rFonts w:hint="eastAsia" w:ascii="Times New Roman" w:hAnsi="Times New Roman"/>
          <w:spacing w:val="4"/>
          <w:highlight w:val="none"/>
        </w:rPr>
        <w:t>84</w:t>
      </w:r>
      <w:r>
        <w:rPr>
          <w:rFonts w:hint="eastAsia" w:ascii="Times New Roman" w:hAnsi="Times New Roman"/>
          <w:spacing w:val="4"/>
          <w:highlight w:val="none"/>
          <w:lang w:val="en-US" w:eastAsia="zh-CN"/>
        </w:rPr>
        <w:t>.9</w:t>
      </w:r>
      <w:r>
        <w:rPr>
          <w:rFonts w:hint="eastAsia" w:ascii="Times New Roman" w:hAnsi="Times New Roman" w:cs="宋体"/>
          <w:bCs/>
          <w:spacing w:val="4"/>
          <w:szCs w:val="32"/>
          <w:highlight w:val="none"/>
        </w:rPr>
        <w:t>亿元。</w:t>
      </w:r>
      <w:r>
        <w:rPr>
          <w:rFonts w:hint="eastAsia" w:ascii="Times New Roman" w:hAnsi="Times New Roman" w:eastAsia="方正楷体_GBK" w:cs="方正楷体_GBK"/>
          <w:spacing w:val="4"/>
          <w:szCs w:val="32"/>
          <w:highlight w:val="none"/>
        </w:rPr>
        <w:t>以</w:t>
      </w:r>
      <w:r>
        <w:rPr>
          <w:rFonts w:hint="eastAsia" w:ascii="Times New Roman" w:hAnsi="Times New Roman" w:eastAsia="方正楷体_GBK" w:cs="方正楷体_GBK"/>
          <w:spacing w:val="4"/>
          <w:szCs w:val="32"/>
          <w:highlight w:val="none"/>
        </w:rPr>
        <w:t>消费促进增强发展活力。</w:t>
      </w:r>
      <w:r>
        <w:rPr>
          <w:rFonts w:hint="eastAsia" w:ascii="Times New Roman" w:hAnsi="Times New Roman" w:cs="方正仿宋_GBK"/>
          <w:spacing w:val="4"/>
          <w:szCs w:val="32"/>
          <w:highlight w:val="none"/>
          <w:lang w:bidi="ar"/>
        </w:rPr>
        <w:t>扎实做好消</w:t>
      </w:r>
      <w:r>
        <w:rPr>
          <w:rFonts w:hint="eastAsia" w:ascii="Times New Roman" w:hAnsi="Times New Roman" w:cs="方正仿宋_GBK"/>
          <w:szCs w:val="32"/>
          <w:highlight w:val="none"/>
          <w:lang w:bidi="ar"/>
        </w:rPr>
        <w:t>费品以旧换新，</w:t>
      </w:r>
      <w:r>
        <w:rPr>
          <w:rFonts w:hint="eastAsia" w:ascii="Times New Roman" w:hAnsi="Times New Roman"/>
          <w:highlight w:val="none"/>
        </w:rPr>
        <w:t>举办特色消费活动100余场，</w:t>
      </w:r>
      <w:r>
        <w:rPr>
          <w:rFonts w:hint="eastAsia" w:ascii="Times New Roman" w:hAnsi="Times New Roman" w:cs="方正仿宋_GBK"/>
          <w:szCs w:val="32"/>
          <w:highlight w:val="none"/>
          <w:lang w:bidi="ar"/>
        </w:rPr>
        <w:t>入围省以旧换新企业名录</w:t>
      </w:r>
      <w:r>
        <w:rPr>
          <w:rFonts w:hint="eastAsia" w:ascii="Times New Roman" w:hAnsi="Times New Roman"/>
          <w:highlight w:val="none"/>
        </w:rPr>
        <w:t>149</w:t>
      </w:r>
      <w:r>
        <w:rPr>
          <w:rFonts w:hint="eastAsia" w:ascii="Times New Roman" w:hAnsi="Times New Roman" w:cs="方正仿宋_GBK"/>
          <w:szCs w:val="32"/>
          <w:highlight w:val="none"/>
          <w:lang w:bidi="ar"/>
        </w:rPr>
        <w:t>家，</w:t>
      </w:r>
      <w:r>
        <w:rPr>
          <w:rFonts w:hint="eastAsia" w:ascii="Times New Roman" w:hAnsi="Times New Roman"/>
          <w:highlight w:val="none"/>
        </w:rPr>
        <w:t>全区社会消费品零售总额完成108</w:t>
      </w:r>
      <w:r>
        <w:rPr>
          <w:rFonts w:hint="eastAsia" w:ascii="Times New Roman" w:hAnsi="Times New Roman"/>
          <w:highlight w:val="none"/>
          <w:lang w:val="en-US" w:eastAsia="zh-CN"/>
        </w:rPr>
        <w:t>0.4</w:t>
      </w:r>
      <w:r>
        <w:rPr>
          <w:rFonts w:hint="eastAsia" w:ascii="Times New Roman" w:hAnsi="Times New Roman"/>
          <w:highlight w:val="none"/>
        </w:rPr>
        <w:t>亿元、同比增长</w:t>
      </w:r>
      <w:r>
        <w:rPr>
          <w:rFonts w:hint="eastAsia" w:ascii="Times New Roman" w:hAnsi="Times New Roman"/>
          <w:highlight w:val="none"/>
          <w:lang w:val="en-US" w:eastAsia="zh-CN"/>
        </w:rPr>
        <w:t>4.9</w:t>
      </w:r>
      <w:r>
        <w:rPr>
          <w:rFonts w:hint="eastAsia" w:ascii="Times New Roman" w:hAnsi="Times New Roman"/>
          <w:highlight w:val="none"/>
        </w:rPr>
        <w:t>%</w:t>
      </w:r>
      <w:r>
        <w:rPr>
          <w:rFonts w:hint="eastAsia" w:ascii="Times New Roman" w:hAnsi="Times New Roman"/>
          <w:highlight w:val="none"/>
        </w:rPr>
        <w:t>。</w:t>
      </w:r>
      <w:r>
        <w:rPr>
          <w:rFonts w:hint="eastAsia" w:ascii="Times New Roman" w:hAnsi="Times New Roman" w:cs="宋体"/>
          <w:bCs/>
          <w:szCs w:val="32"/>
          <w:highlight w:val="none"/>
        </w:rPr>
        <w:t>深化文商旅融合发展，全力做好钟山风景区交通优化提升服务保障</w:t>
      </w:r>
      <w:r>
        <w:rPr>
          <w:rFonts w:hint="eastAsia" w:ascii="Times New Roman" w:hAnsi="Times New Roman"/>
          <w:szCs w:val="32"/>
          <w:highlight w:val="none"/>
        </w:rPr>
        <w:t>，积极</w:t>
      </w:r>
      <w:r>
        <w:rPr>
          <w:rFonts w:ascii="Times New Roman" w:hAnsi="Times New Roman"/>
          <w:szCs w:val="32"/>
          <w:highlight w:val="none"/>
        </w:rPr>
        <w:t>支持玄武湖</w:t>
      </w:r>
      <w:r>
        <w:rPr>
          <w:rFonts w:hint="eastAsia" w:ascii="Times New Roman" w:hAnsi="Times New Roman"/>
          <w:szCs w:val="32"/>
          <w:highlight w:val="none"/>
        </w:rPr>
        <w:t>公园</w:t>
      </w:r>
      <w:r>
        <w:rPr>
          <w:rFonts w:ascii="Times New Roman" w:hAnsi="Times New Roman"/>
          <w:szCs w:val="32"/>
          <w:highlight w:val="none"/>
        </w:rPr>
        <w:t>创建国家5A级旅游景区，</w:t>
      </w:r>
      <w:r>
        <w:rPr>
          <w:rFonts w:hint="eastAsia" w:ascii="Times New Roman" w:hAnsi="Times New Roman" w:cs="宋体"/>
          <w:bCs/>
          <w:szCs w:val="32"/>
          <w:highlight w:val="none"/>
        </w:rPr>
        <w:t>精心举办“长江路文博之夜”系列活动，</w:t>
      </w:r>
      <w:r>
        <w:rPr>
          <w:rFonts w:ascii="Times New Roman" w:hAnsi="Times New Roman" w:cs="方正仿宋_GBK"/>
          <w:szCs w:val="32"/>
          <w:highlight w:val="none"/>
          <w:lang w:bidi="ar"/>
        </w:rPr>
        <w:t>长江路</w:t>
      </w:r>
      <w:r>
        <w:rPr>
          <w:rFonts w:hint="eastAsia" w:ascii="Times New Roman" w:hAnsi="Times New Roman" w:cs="方正仿宋_GBK"/>
          <w:szCs w:val="32"/>
          <w:highlight w:val="none"/>
          <w:lang w:bidi="ar"/>
        </w:rPr>
        <w:t>片区</w:t>
      </w:r>
      <w:r>
        <w:rPr>
          <w:rFonts w:ascii="Times New Roman" w:hAnsi="Times New Roman" w:cs="方正仿宋_GBK"/>
          <w:szCs w:val="32"/>
          <w:highlight w:val="none"/>
          <w:lang w:bidi="ar"/>
        </w:rPr>
        <w:t>成功申报省夜间消费集聚区</w:t>
      </w:r>
      <w:r>
        <w:rPr>
          <w:rFonts w:hint="eastAsia" w:ascii="Times New Roman" w:hAnsi="Times New Roman" w:cs="方正仿宋_GBK"/>
          <w:szCs w:val="32"/>
          <w:highlight w:val="none"/>
          <w:lang w:bidi="ar"/>
        </w:rPr>
        <w:t>，红山森林动物园入选全国服务消费场景创新实践十大案例，</w:t>
      </w:r>
      <w:r>
        <w:rPr>
          <w:rFonts w:hint="eastAsia" w:ascii="Times New Roman" w:hAnsi="Times New Roman" w:cs="宋体"/>
          <w:bCs/>
          <w:szCs w:val="32"/>
          <w:highlight w:val="none"/>
        </w:rPr>
        <w:t>1913艺术街区以小剧场撬动大市场做法获央视报道</w:t>
      </w:r>
      <w:r>
        <w:rPr>
          <w:rFonts w:hint="eastAsia" w:ascii="Times New Roman" w:hAnsi="Times New Roman" w:cs="方正仿宋_GBK"/>
          <w:szCs w:val="32"/>
          <w:highlight w:val="none"/>
          <w:lang w:bidi="ar"/>
        </w:rPr>
        <w:t>。</w:t>
      </w:r>
      <w:r>
        <w:rPr>
          <w:rFonts w:ascii="Times New Roman" w:hAnsi="Times New Roman" w:cs="方正仿宋_GBK"/>
          <w:szCs w:val="32"/>
          <w:highlight w:val="none"/>
          <w:lang w:bidi="ar"/>
        </w:rPr>
        <w:t>持续放大国际消费中心城市中心区</w:t>
      </w:r>
      <w:r>
        <w:rPr>
          <w:rFonts w:hint="eastAsia" w:ascii="Times New Roman" w:hAnsi="Times New Roman" w:cs="方正仿宋_GBK"/>
          <w:szCs w:val="32"/>
          <w:highlight w:val="none"/>
          <w:lang w:bidi="ar"/>
        </w:rPr>
        <w:t>吸引力，</w:t>
      </w:r>
      <w:r>
        <w:rPr>
          <w:rFonts w:ascii="Times New Roman" w:hAnsi="Times New Roman" w:cs="方正仿宋_GBK"/>
          <w:szCs w:val="32"/>
          <w:highlight w:val="none"/>
          <w:lang w:bidi="ar"/>
        </w:rPr>
        <w:t>引进</w:t>
      </w:r>
      <w:r>
        <w:rPr>
          <w:rFonts w:hint="eastAsia" w:ascii="Times New Roman" w:hAnsi="Times New Roman"/>
          <w:highlight w:val="none"/>
        </w:rPr>
        <w:t>LV美妆等全球、</w:t>
      </w:r>
      <w:r>
        <w:rPr>
          <w:rFonts w:hint="eastAsia" w:ascii="Times New Roman" w:hAnsi="Times New Roman" w:cs="方正仿宋_GBK"/>
          <w:szCs w:val="32"/>
          <w:highlight w:val="none"/>
          <w:lang w:bidi="ar"/>
        </w:rPr>
        <w:t>全国首店19</w:t>
      </w:r>
      <w:r>
        <w:rPr>
          <w:rFonts w:ascii="Times New Roman" w:hAnsi="Times New Roman" w:cs="方正仿宋_GBK"/>
          <w:szCs w:val="32"/>
          <w:highlight w:val="none"/>
          <w:lang w:bidi="ar"/>
        </w:rPr>
        <w:t>个</w:t>
      </w:r>
      <w:r>
        <w:rPr>
          <w:rFonts w:hint="eastAsia" w:ascii="Times New Roman" w:hAnsi="Times New Roman" w:cs="方正仿宋_GBK"/>
          <w:szCs w:val="32"/>
          <w:highlight w:val="none"/>
          <w:lang w:bidi="ar"/>
        </w:rPr>
        <w:t>，</w:t>
      </w:r>
      <w:r>
        <w:rPr>
          <w:rFonts w:ascii="Times New Roman" w:hAnsi="Times New Roman" w:cs="方正仿宋_GBK"/>
          <w:szCs w:val="32"/>
          <w:highlight w:val="none"/>
          <w:lang w:bidi="ar"/>
        </w:rPr>
        <w:t>集聚一线品牌超</w:t>
      </w:r>
      <w:r>
        <w:rPr>
          <w:rFonts w:hint="eastAsia" w:ascii="Times New Roman" w:hAnsi="Times New Roman" w:cs="方正仿宋_GBK"/>
          <w:szCs w:val="32"/>
          <w:highlight w:val="none"/>
          <w:lang w:bidi="ar"/>
        </w:rPr>
        <w:t>200</w:t>
      </w:r>
      <w:r>
        <w:rPr>
          <w:rFonts w:ascii="Times New Roman" w:hAnsi="Times New Roman" w:cs="方正仿宋_GBK"/>
          <w:szCs w:val="32"/>
          <w:highlight w:val="none"/>
          <w:lang w:bidi="ar"/>
        </w:rPr>
        <w:t>个</w:t>
      </w:r>
      <w:r>
        <w:rPr>
          <w:rFonts w:hint="eastAsia" w:ascii="Times New Roman" w:hAnsi="Times New Roman" w:cs="方正仿宋_GBK"/>
          <w:szCs w:val="32"/>
          <w:highlight w:val="none"/>
          <w:lang w:bidi="ar"/>
        </w:rPr>
        <w:t>，全区上榜米其林、必比登推介餐厅数量占全市1/4</w:t>
      </w:r>
      <w:r>
        <w:rPr>
          <w:rFonts w:ascii="Times New Roman" w:hAnsi="Times New Roman" w:cs="方正仿宋_GBK"/>
          <w:szCs w:val="32"/>
          <w:highlight w:val="none"/>
          <w:lang w:bidi="ar"/>
        </w:rPr>
        <w:t>。</w:t>
      </w:r>
    </w:p>
    <w:p w14:paraId="60BC51C1">
      <w:pPr>
        <w:ind w:firstLine="640"/>
        <w:rPr>
          <w:rFonts w:ascii="Times New Roman" w:hAnsi="Times New Roman"/>
          <w:snapToGrid w:val="0"/>
          <w:szCs w:val="32"/>
          <w:highlight w:val="none"/>
        </w:rPr>
      </w:pPr>
      <w:r>
        <w:rPr>
          <w:rFonts w:hint="eastAsia" w:ascii="Times New Roman" w:hAnsi="Times New Roman" w:eastAsia="方正黑体_GBK"/>
          <w:highlight w:val="none"/>
        </w:rPr>
        <w:t>坚持优布局、育生态，在抢抓机遇中推动产业能级不断跃升。</w:t>
      </w:r>
      <w:r>
        <w:rPr>
          <w:rFonts w:hint="eastAsia" w:ascii="Times New Roman" w:hAnsi="Times New Roman"/>
          <w:szCs w:val="32"/>
          <w:highlight w:val="none"/>
        </w:rPr>
        <w:t>紧紧围绕产业强区建设目标，在认真抓好“</w:t>
      </w:r>
      <w:r>
        <w:rPr>
          <w:rFonts w:hint="eastAsia" w:ascii="Times New Roman" w:hAnsi="Times New Roman"/>
          <w:bCs/>
          <w:snapToGrid w:val="0"/>
          <w:kern w:val="0"/>
          <w:highlight w:val="none"/>
        </w:rPr>
        <w:t>1+2+2</w:t>
      </w:r>
      <w:r>
        <w:rPr>
          <w:rFonts w:hint="eastAsia" w:ascii="Times New Roman" w:hAnsi="Times New Roman"/>
          <w:szCs w:val="32"/>
          <w:highlight w:val="none"/>
        </w:rPr>
        <w:t>”现代化都市型产业体系建设的基础上，锚定</w:t>
      </w:r>
      <w:r>
        <w:rPr>
          <w:rFonts w:hint="eastAsia" w:ascii="Times New Roman" w:hAnsi="Times New Roman"/>
          <w:bCs/>
          <w:snapToGrid w:val="0"/>
          <w:kern w:val="0"/>
          <w:highlight w:val="none"/>
        </w:rPr>
        <w:t>数据、大模型、绿色低碳、跨境电商等新赛道持续发力，</w:t>
      </w:r>
      <w:r>
        <w:rPr>
          <w:rFonts w:hint="eastAsia" w:ascii="Times New Roman" w:hAnsi="Times New Roman"/>
          <w:szCs w:val="32"/>
          <w:highlight w:val="none"/>
        </w:rPr>
        <w:t>战略性新兴产业集群加速形成。</w:t>
      </w:r>
      <w:r>
        <w:rPr>
          <w:rFonts w:hint="eastAsia" w:ascii="Times New Roman" w:hAnsi="Times New Roman" w:eastAsia="方正楷体_GBK" w:cs="方正楷体_GBK"/>
          <w:szCs w:val="32"/>
          <w:highlight w:val="none"/>
        </w:rPr>
        <w:t>持之以恒做强做优特色产业。</w:t>
      </w:r>
      <w:r>
        <w:rPr>
          <w:rFonts w:hint="eastAsia" w:ascii="Times New Roman" w:hAnsi="Times New Roman"/>
          <w:bCs/>
          <w:snapToGrid w:val="0"/>
          <w:kern w:val="0"/>
          <w:highlight w:val="none"/>
        </w:rPr>
        <w:t>在全市率先发布促进数字文旅产业高质量发展政策，</w:t>
      </w:r>
      <w:r>
        <w:rPr>
          <w:rFonts w:hint="eastAsia" w:ascii="Times New Roman" w:hAnsi="Times New Roman"/>
          <w:bCs/>
          <w:szCs w:val="32"/>
          <w:highlight w:val="none"/>
        </w:rPr>
        <w:t>玄武XR数创中心启幕运营，</w:t>
      </w:r>
      <w:r>
        <w:rPr>
          <w:rFonts w:hint="eastAsia" w:ascii="Times New Roman" w:hAnsi="Times New Roman" w:cs="方正仿宋_GBK"/>
          <w:szCs w:val="32"/>
          <w:highlight w:val="none"/>
        </w:rPr>
        <w:t>德基艺术博物馆受邀参加第43届联合国教科文组织大会，</w:t>
      </w:r>
      <w:r>
        <w:rPr>
          <w:rFonts w:hint="eastAsia" w:ascii="Times New Roman" w:hAnsi="Times New Roman" w:cs="方正仿宋_GBK"/>
          <w:szCs w:val="32"/>
          <w:highlight w:val="none"/>
          <w:lang w:bidi="ar"/>
        </w:rPr>
        <w:t>全年旅游人次超8000万、位居全市第一</w:t>
      </w:r>
      <w:r>
        <w:rPr>
          <w:rFonts w:hint="eastAsia" w:ascii="Times New Roman" w:hAnsi="Times New Roman"/>
          <w:bCs/>
          <w:snapToGrid w:val="0"/>
          <w:kern w:val="0"/>
          <w:highlight w:val="none"/>
        </w:rPr>
        <w:t>。不断深化与南京银行、中信银行等金融机构合作，</w:t>
      </w:r>
      <w:r>
        <w:rPr>
          <w:rFonts w:hint="eastAsia" w:ascii="Times New Roman" w:hAnsi="Times New Roman"/>
          <w:szCs w:val="32"/>
          <w:highlight w:val="none"/>
        </w:rPr>
        <w:t>帮助500余</w:t>
      </w:r>
      <w:r>
        <w:rPr>
          <w:rFonts w:hint="eastAsia" w:ascii="Times New Roman" w:hAnsi="Times New Roman"/>
          <w:highlight w:val="none"/>
        </w:rPr>
        <w:t>家</w:t>
      </w:r>
      <w:r>
        <w:rPr>
          <w:rFonts w:hint="eastAsia" w:ascii="Times New Roman" w:hAnsi="Times New Roman"/>
          <w:szCs w:val="32"/>
          <w:highlight w:val="none"/>
        </w:rPr>
        <w:t>企业获得银行授信近</w:t>
      </w:r>
      <w:r>
        <w:rPr>
          <w:rFonts w:hint="eastAsia" w:ascii="Times New Roman" w:hAnsi="Times New Roman"/>
          <w:highlight w:val="none"/>
        </w:rPr>
        <w:t>30</w:t>
      </w:r>
      <w:r>
        <w:rPr>
          <w:rFonts w:hint="eastAsia" w:ascii="Times New Roman" w:hAnsi="Times New Roman"/>
          <w:szCs w:val="32"/>
          <w:highlight w:val="none"/>
        </w:rPr>
        <w:t>亿元，</w:t>
      </w:r>
      <w:r>
        <w:rPr>
          <w:rFonts w:hint="eastAsia" w:ascii="Times New Roman" w:hAnsi="Times New Roman"/>
          <w:bCs/>
          <w:snapToGrid w:val="0"/>
          <w:kern w:val="0"/>
          <w:highlight w:val="none"/>
        </w:rPr>
        <w:t>参与组建省数据产业和平台经济基金。全面加快钟岚里、长江会二期等高端商贸载体建设，玄武招商花园城、红山Sparkle耀市建成启用，德基广场荣登中国商业综合体销售额排行榜榜首，</w:t>
      </w:r>
      <w:r>
        <w:rPr>
          <w:rFonts w:hint="eastAsia" w:ascii="Times New Roman" w:hAnsi="Times New Roman" w:cs="方正仿宋_GBK"/>
          <w:szCs w:val="32"/>
          <w:highlight w:val="none"/>
          <w:lang w:bidi="ar"/>
        </w:rPr>
        <w:t>全区限上销售额完成36</w:t>
      </w:r>
      <w:r>
        <w:rPr>
          <w:rFonts w:hint="eastAsia" w:ascii="Times New Roman" w:hAnsi="Times New Roman" w:cs="方正仿宋_GBK"/>
          <w:szCs w:val="32"/>
          <w:highlight w:val="none"/>
          <w:lang w:val="en-US" w:eastAsia="zh-CN" w:bidi="ar"/>
        </w:rPr>
        <w:t>30</w:t>
      </w:r>
      <w:r>
        <w:rPr>
          <w:rFonts w:hint="eastAsia" w:ascii="Times New Roman" w:hAnsi="Times New Roman" w:cs="方正仿宋_GBK"/>
          <w:szCs w:val="32"/>
          <w:highlight w:val="none"/>
        </w:rPr>
        <w:t>亿元、</w:t>
      </w:r>
      <w:r>
        <w:rPr>
          <w:rFonts w:hint="eastAsia" w:ascii="Times New Roman" w:hAnsi="Times New Roman" w:cs="方正仿宋_GBK"/>
          <w:szCs w:val="32"/>
          <w:highlight w:val="none"/>
          <w:lang w:bidi="ar"/>
        </w:rPr>
        <w:t>同比增长</w:t>
      </w:r>
      <w:r>
        <w:rPr>
          <w:rFonts w:hint="eastAsia" w:ascii="Times New Roman" w:hAnsi="Times New Roman"/>
          <w:highlight w:val="none"/>
        </w:rPr>
        <w:t>7</w:t>
      </w:r>
      <w:r>
        <w:rPr>
          <w:rFonts w:hint="eastAsia" w:ascii="Times New Roman" w:hAnsi="Times New Roman"/>
          <w:highlight w:val="none"/>
          <w:lang w:val="en-US" w:eastAsia="zh-CN"/>
        </w:rPr>
        <w:t>.8</w:t>
      </w:r>
      <w:r>
        <w:rPr>
          <w:rFonts w:hint="eastAsia" w:ascii="Times New Roman" w:hAnsi="Times New Roman" w:cs="方正仿宋_GBK"/>
          <w:szCs w:val="32"/>
          <w:highlight w:val="none"/>
          <w:lang w:bidi="ar"/>
        </w:rPr>
        <w:t>%。</w:t>
      </w:r>
      <w:r>
        <w:rPr>
          <w:rFonts w:ascii="Times New Roman" w:hAnsi="Times New Roman" w:cs="方正仿宋_GBK"/>
          <w:szCs w:val="32"/>
          <w:highlight w:val="none"/>
        </w:rPr>
        <w:t>持续优化软件和信息服务产业生态，</w:t>
      </w:r>
      <w:r>
        <w:rPr>
          <w:rFonts w:hint="eastAsia" w:ascii="Times New Roman" w:hAnsi="Times New Roman" w:cs="方正仿宋_GBK"/>
          <w:szCs w:val="32"/>
          <w:highlight w:val="none"/>
          <w:lang w:bidi="ar"/>
        </w:rPr>
        <w:t>大汉软件入选2025年“AI生产力优秀案例”，中科睿格全国总部迁址落户，</w:t>
      </w:r>
      <w:r>
        <w:rPr>
          <w:rFonts w:hint="eastAsia" w:ascii="Times New Roman" w:hAnsi="Times New Roman"/>
          <w:bCs/>
          <w:snapToGrid w:val="0"/>
          <w:kern w:val="0"/>
          <w:highlight w:val="none"/>
        </w:rPr>
        <w:t>全区软件业务收入</w:t>
      </w:r>
      <w:r>
        <w:rPr>
          <w:rFonts w:hint="eastAsia" w:ascii="Times New Roman" w:hAnsi="Times New Roman"/>
          <w:highlight w:val="none"/>
        </w:rPr>
        <w:t>510</w:t>
      </w:r>
      <w:r>
        <w:rPr>
          <w:rFonts w:hint="eastAsia" w:ascii="Times New Roman" w:hAnsi="Times New Roman"/>
          <w:bCs/>
          <w:snapToGrid w:val="0"/>
          <w:kern w:val="0"/>
          <w:highlight w:val="none"/>
        </w:rPr>
        <w:t>亿元、同比增长</w:t>
      </w:r>
      <w:r>
        <w:rPr>
          <w:rFonts w:hint="eastAsia" w:ascii="Times New Roman" w:hAnsi="Times New Roman"/>
          <w:highlight w:val="none"/>
        </w:rPr>
        <w:t>15.9</w:t>
      </w:r>
      <w:r>
        <w:rPr>
          <w:rFonts w:hint="eastAsia" w:ascii="Times New Roman" w:hAnsi="Times New Roman"/>
          <w:bCs/>
          <w:snapToGrid w:val="0"/>
          <w:kern w:val="0"/>
          <w:highlight w:val="none"/>
        </w:rPr>
        <w:t>%</w:t>
      </w:r>
      <w:r>
        <w:rPr>
          <w:rFonts w:hint="eastAsia" w:ascii="Times New Roman" w:hAnsi="Times New Roman"/>
          <w:bCs/>
          <w:snapToGrid w:val="0"/>
          <w:kern w:val="0"/>
          <w:highlight w:val="none"/>
        </w:rPr>
        <w:t>。成立生物医药产业红色创新服务联盟，韦尔优众1款创新药获临床试验许可，柯菲平4款新研药进入临床试验，先声药业2款创新药成功上市</w:t>
      </w:r>
      <w:r>
        <w:rPr>
          <w:rFonts w:hint="eastAsia" w:ascii="Times New Roman" w:hAnsi="Times New Roman"/>
          <w:bCs/>
          <w:snapToGrid w:val="0"/>
          <w:kern w:val="0"/>
          <w:highlight w:val="none"/>
        </w:rPr>
        <w:t>，全区生物医药产业营收3</w:t>
      </w:r>
      <w:r>
        <w:rPr>
          <w:rFonts w:hint="eastAsia" w:ascii="Times New Roman" w:hAnsi="Times New Roman"/>
          <w:bCs/>
          <w:snapToGrid w:val="0"/>
          <w:kern w:val="0"/>
          <w:highlight w:val="none"/>
          <w:lang w:val="en-US" w:eastAsia="zh-CN"/>
        </w:rPr>
        <w:t>31.5</w:t>
      </w:r>
      <w:r>
        <w:rPr>
          <w:rFonts w:hint="eastAsia" w:ascii="Times New Roman" w:hAnsi="Times New Roman"/>
          <w:bCs/>
          <w:snapToGrid w:val="0"/>
          <w:kern w:val="0"/>
          <w:highlight w:val="none"/>
        </w:rPr>
        <w:t>亿元、位列主城第一。</w:t>
      </w:r>
      <w:r>
        <w:rPr>
          <w:rFonts w:hint="eastAsia" w:ascii="Times New Roman" w:hAnsi="Times New Roman" w:eastAsia="方正楷体_GBK" w:cs="方正楷体_GBK"/>
          <w:szCs w:val="32"/>
          <w:highlight w:val="none"/>
        </w:rPr>
        <w:t>坚定不移发展壮大新兴产业。</w:t>
      </w:r>
      <w:r>
        <w:rPr>
          <w:rFonts w:hint="eastAsia" w:ascii="Times New Roman" w:hAnsi="Times New Roman" w:cstheme="minorBidi"/>
          <w:szCs w:val="32"/>
          <w:highlight w:val="none"/>
        </w:rPr>
        <w:t>全面加快数据产业发展步伐，央企二级产业总部中节能大数据搬迁落地，</w:t>
      </w:r>
      <w:r>
        <w:rPr>
          <w:rFonts w:hint="eastAsia" w:ascii="Times New Roman" w:hAnsi="Times New Roman"/>
          <w:snapToGrid w:val="0"/>
          <w:kern w:val="0"/>
          <w:szCs w:val="32"/>
          <w:highlight w:val="none"/>
        </w:rPr>
        <w:t>全省唯一的江苏数据交易所成功落户，市公共数据融合开发中心、南京量子计算产业创新平台落地运营，</w:t>
      </w:r>
      <w:r>
        <w:rPr>
          <w:rFonts w:hint="eastAsia" w:ascii="Times New Roman" w:hAnsi="Times New Roman" w:cstheme="minorBidi"/>
          <w:szCs w:val="32"/>
          <w:highlight w:val="none"/>
        </w:rPr>
        <w:t>江苏国际数据港香港分中心挂牌成立，</w:t>
      </w:r>
      <w:r>
        <w:rPr>
          <w:rFonts w:ascii="Times New Roman" w:hAnsi="Times New Roman"/>
          <w:snapToGrid w:val="0"/>
          <w:kern w:val="0"/>
          <w:szCs w:val="32"/>
          <w:highlight w:val="none"/>
        </w:rPr>
        <w:t>3</w:t>
      </w:r>
      <w:r>
        <w:rPr>
          <w:rFonts w:ascii="Times New Roman" w:hAnsi="Times New Roman"/>
          <w:szCs w:val="32"/>
          <w:highlight w:val="none"/>
        </w:rPr>
        <w:t>个项目入选省可信数据空间</w:t>
      </w:r>
      <w:r>
        <w:rPr>
          <w:rFonts w:hint="eastAsia" w:ascii="Times New Roman" w:hAnsi="Times New Roman"/>
          <w:szCs w:val="32"/>
          <w:highlight w:val="none"/>
        </w:rPr>
        <w:t>“</w:t>
      </w:r>
      <w:r>
        <w:rPr>
          <w:rFonts w:ascii="Times New Roman" w:hAnsi="Times New Roman"/>
          <w:snapToGrid w:val="0"/>
          <w:kern w:val="0"/>
          <w:szCs w:val="32"/>
          <w:highlight w:val="none"/>
        </w:rPr>
        <w:t>123</w:t>
      </w:r>
      <w:r>
        <w:rPr>
          <w:rFonts w:hint="eastAsia" w:ascii="Times New Roman" w:hAnsi="Times New Roman"/>
          <w:snapToGrid w:val="0"/>
          <w:kern w:val="0"/>
          <w:szCs w:val="32"/>
          <w:highlight w:val="none"/>
        </w:rPr>
        <w:t>+</w:t>
      </w:r>
      <w:r>
        <w:rPr>
          <w:rFonts w:hint="eastAsia" w:ascii="Times New Roman" w:hAnsi="Times New Roman"/>
          <w:szCs w:val="32"/>
          <w:highlight w:val="none"/>
        </w:rPr>
        <w:t>”</w:t>
      </w:r>
      <w:r>
        <w:rPr>
          <w:rFonts w:ascii="Times New Roman" w:hAnsi="Times New Roman"/>
          <w:szCs w:val="32"/>
          <w:highlight w:val="none"/>
        </w:rPr>
        <w:t>项目库</w:t>
      </w:r>
      <w:r>
        <w:rPr>
          <w:rFonts w:ascii="Times New Roman" w:hAnsi="Times New Roman"/>
          <w:snapToGrid w:val="0"/>
          <w:kern w:val="0"/>
          <w:highlight w:val="none"/>
          <w:vertAlign w:val="superscript"/>
        </w:rPr>
        <w:t>[</w:t>
      </w:r>
      <w:r>
        <w:rPr>
          <w:rFonts w:hint="eastAsia" w:ascii="Times New Roman" w:hAnsi="Times New Roman"/>
          <w:snapToGrid w:val="0"/>
          <w:kern w:val="0"/>
          <w:highlight w:val="none"/>
          <w:vertAlign w:val="superscript"/>
        </w:rPr>
        <w:t>5</w:t>
      </w:r>
      <w:r>
        <w:rPr>
          <w:rFonts w:ascii="Times New Roman" w:hAnsi="Times New Roman"/>
          <w:snapToGrid w:val="0"/>
          <w:kern w:val="0"/>
          <w:highlight w:val="none"/>
          <w:vertAlign w:val="superscript"/>
        </w:rPr>
        <w:t>]</w:t>
      </w:r>
      <w:r>
        <w:rPr>
          <w:rFonts w:hint="eastAsia" w:ascii="Times New Roman" w:hAnsi="Times New Roman"/>
          <w:snapToGrid w:val="0"/>
          <w:kern w:val="0"/>
          <w:szCs w:val="32"/>
          <w:highlight w:val="none"/>
        </w:rPr>
        <w:t>，江苏国际数据港入选省首批数据产业公共服务平台，国机数科农业数据基础设施建设入选国家第二批先行先试名单，国家数据局局长再次调研并给予高度肯定。</w:t>
      </w:r>
      <w:r>
        <w:rPr>
          <w:rFonts w:hint="eastAsia" w:ascii="Times New Roman" w:hAnsi="Times New Roman" w:cstheme="minorBidi"/>
          <w:szCs w:val="32"/>
          <w:highlight w:val="none"/>
        </w:rPr>
        <w:t>深入实施“</w:t>
      </w:r>
      <w:r>
        <w:rPr>
          <w:rFonts w:hint="eastAsia" w:ascii="Times New Roman" w:hAnsi="Times New Roman"/>
          <w:szCs w:val="32"/>
          <w:highlight w:val="none"/>
        </w:rPr>
        <w:t>人工智能+</w:t>
      </w:r>
      <w:r>
        <w:rPr>
          <w:rFonts w:hint="eastAsia" w:ascii="Times New Roman" w:hAnsi="Times New Roman" w:cstheme="minorBidi"/>
          <w:szCs w:val="32"/>
          <w:highlight w:val="none"/>
        </w:rPr>
        <w:t>”</w:t>
      </w:r>
      <w:r>
        <w:rPr>
          <w:rFonts w:hint="eastAsia" w:ascii="Times New Roman" w:hAnsi="Times New Roman"/>
          <w:szCs w:val="32"/>
          <w:highlight w:val="none"/>
        </w:rPr>
        <w:t>行动</w:t>
      </w:r>
      <w:r>
        <w:rPr>
          <w:rFonts w:hint="eastAsia" w:ascii="Times New Roman" w:hAnsi="Times New Roman" w:cstheme="minorBidi"/>
          <w:szCs w:val="32"/>
          <w:highlight w:val="none"/>
        </w:rPr>
        <w:t>，建成江苏唯一的大模型产业发展服务基地，</w:t>
      </w:r>
      <w:r>
        <w:rPr>
          <w:rFonts w:hint="eastAsia" w:ascii="Times New Roman" w:hAnsi="Times New Roman"/>
          <w:snapToGrid w:val="0"/>
          <w:kern w:val="0"/>
          <w:szCs w:val="32"/>
          <w:highlight w:val="none"/>
        </w:rPr>
        <w:t>全面启动中国高质量数据集南京产业基地建设，举办“数智未来”高质量数据集开发者创新大赛，</w:t>
      </w:r>
      <w:r>
        <w:rPr>
          <w:rFonts w:hint="eastAsia" w:ascii="Times New Roman" w:hAnsi="Times New Roman" w:cstheme="minorBidi"/>
          <w:szCs w:val="32"/>
          <w:highlight w:val="none"/>
        </w:rPr>
        <w:t>与AI领域头部企业智谱华章合作共建高质量数据集联合实验室，</w:t>
      </w:r>
      <w:r>
        <w:rPr>
          <w:rFonts w:hint="eastAsia" w:ascii="Times New Roman" w:hAnsi="Times New Roman"/>
          <w:szCs w:val="32"/>
          <w:highlight w:val="none"/>
        </w:rPr>
        <w:t>央企首批</w:t>
      </w:r>
      <w:r>
        <w:rPr>
          <w:rFonts w:ascii="Times New Roman" w:hAnsi="Times New Roman"/>
          <w:szCs w:val="32"/>
          <w:highlight w:val="none"/>
        </w:rPr>
        <w:t>30</w:t>
      </w:r>
      <w:r>
        <w:rPr>
          <w:rFonts w:hint="eastAsia" w:ascii="Times New Roman" w:hAnsi="Times New Roman"/>
          <w:szCs w:val="32"/>
          <w:highlight w:val="none"/>
        </w:rPr>
        <w:t>个人工智能行业高质量数据集优秀建设成果有2个来自玄武，</w:t>
      </w:r>
      <w:r>
        <w:rPr>
          <w:rFonts w:hint="eastAsia" w:ascii="Times New Roman" w:hAnsi="Times New Roman"/>
          <w:szCs w:val="32"/>
          <w:highlight w:val="none"/>
          <w:lang w:eastAsia="zh-CN"/>
        </w:rPr>
        <w:t>累计指导通过国家</w:t>
      </w:r>
      <w:r>
        <w:rPr>
          <w:rFonts w:hint="eastAsia" w:ascii="Times New Roman" w:hAnsi="Times New Roman" w:cstheme="minorBidi"/>
          <w:szCs w:val="32"/>
          <w:highlight w:val="none"/>
        </w:rPr>
        <w:t>备案大模型数量占全省</w:t>
      </w:r>
      <w:r>
        <w:rPr>
          <w:rFonts w:hint="eastAsia" w:ascii="Times New Roman" w:hAnsi="Times New Roman" w:cstheme="minorBidi"/>
          <w:szCs w:val="32"/>
          <w:highlight w:val="none"/>
          <w:lang w:eastAsia="zh-CN"/>
        </w:rPr>
        <w:t>超</w:t>
      </w:r>
      <w:r>
        <w:rPr>
          <w:rFonts w:hint="eastAsia" w:ascii="Times New Roman" w:hAnsi="Times New Roman" w:cstheme="minorBidi"/>
          <w:szCs w:val="32"/>
          <w:highlight w:val="none"/>
        </w:rPr>
        <w:t>1/</w:t>
      </w:r>
      <w:r>
        <w:rPr>
          <w:rFonts w:hint="eastAsia" w:ascii="Times New Roman" w:hAnsi="Times New Roman" w:cstheme="minorBidi"/>
          <w:szCs w:val="32"/>
          <w:highlight w:val="none"/>
          <w:lang w:val="en-US" w:eastAsia="zh-CN"/>
        </w:rPr>
        <w:t>3</w:t>
      </w:r>
      <w:r>
        <w:rPr>
          <w:rFonts w:hint="eastAsia" w:ascii="Times New Roman" w:hAnsi="Times New Roman" w:cstheme="minorBidi"/>
          <w:szCs w:val="32"/>
          <w:highlight w:val="none"/>
        </w:rPr>
        <w:t>、持续位列第一，省</w:t>
      </w:r>
      <w:r>
        <w:rPr>
          <w:rFonts w:hint="eastAsia" w:ascii="Times New Roman" w:hAnsi="Times New Roman" w:cstheme="minorBidi"/>
          <w:szCs w:val="32"/>
          <w:highlight w:val="none"/>
        </w:rPr>
        <w:t>委机关报《新华日报》在头版称赞玄武大模型工厂为江苏版“模速空间”</w:t>
      </w:r>
      <w:r>
        <w:rPr>
          <w:rFonts w:ascii="Times New Roman" w:hAnsi="Times New Roman"/>
          <w:snapToGrid w:val="0"/>
          <w:kern w:val="0"/>
          <w:highlight w:val="none"/>
          <w:vertAlign w:val="superscript"/>
        </w:rPr>
        <w:t>[</w:t>
      </w:r>
      <w:r>
        <w:rPr>
          <w:rFonts w:hint="eastAsia" w:ascii="Times New Roman" w:hAnsi="Times New Roman"/>
          <w:snapToGrid w:val="0"/>
          <w:kern w:val="0"/>
          <w:highlight w:val="none"/>
          <w:vertAlign w:val="superscript"/>
        </w:rPr>
        <w:t>6</w:t>
      </w:r>
      <w:r>
        <w:rPr>
          <w:rFonts w:ascii="Times New Roman" w:hAnsi="Times New Roman"/>
          <w:snapToGrid w:val="0"/>
          <w:kern w:val="0"/>
          <w:highlight w:val="none"/>
          <w:vertAlign w:val="superscript"/>
        </w:rPr>
        <w:t>]</w:t>
      </w:r>
      <w:r>
        <w:rPr>
          <w:rFonts w:hint="eastAsia" w:ascii="Times New Roman" w:hAnsi="Times New Roman" w:cstheme="minorBidi"/>
          <w:szCs w:val="32"/>
          <w:highlight w:val="none"/>
        </w:rPr>
        <w:t>，刘小涛省长当选后首站</w:t>
      </w:r>
      <w:r>
        <w:rPr>
          <w:rFonts w:hint="eastAsia" w:ascii="Times New Roman" w:hAnsi="Times New Roman" w:cstheme="minorBidi"/>
          <w:spacing w:val="2"/>
          <w:szCs w:val="32"/>
          <w:highlight w:val="none"/>
        </w:rPr>
        <w:t>就来此调研并对玄武区人工智能产业生态建设予以充分认可。</w:t>
      </w:r>
      <w:r>
        <w:rPr>
          <w:rFonts w:hint="eastAsia" w:ascii="Times New Roman" w:hAnsi="Times New Roman"/>
          <w:snapToGrid w:val="0"/>
          <w:spacing w:val="2"/>
          <w:kern w:val="0"/>
          <w:szCs w:val="32"/>
          <w:highlight w:val="none"/>
        </w:rPr>
        <w:t>持</w:t>
      </w:r>
      <w:r>
        <w:rPr>
          <w:rFonts w:hint="eastAsia" w:ascii="Times New Roman" w:hAnsi="Times New Roman"/>
          <w:snapToGrid w:val="0"/>
          <w:kern w:val="0"/>
          <w:szCs w:val="32"/>
          <w:highlight w:val="none"/>
        </w:rPr>
        <w:t>续推进国际数碳谷（GDC）建设，</w:t>
      </w:r>
      <w:r>
        <w:rPr>
          <w:rFonts w:hint="eastAsia" w:ascii="Times New Roman" w:hAnsi="Times New Roman" w:cstheme="minorBidi"/>
          <w:szCs w:val="32"/>
          <w:highlight w:val="none"/>
        </w:rPr>
        <w:t>与清华大学合作</w:t>
      </w:r>
      <w:r>
        <w:rPr>
          <w:rFonts w:hint="eastAsia" w:ascii="Times New Roman" w:hAnsi="Times New Roman"/>
          <w:snapToGrid w:val="0"/>
          <w:kern w:val="0"/>
          <w:szCs w:val="32"/>
          <w:highlight w:val="none"/>
        </w:rPr>
        <w:t>落地</w:t>
      </w:r>
      <w:r>
        <w:rPr>
          <w:rFonts w:hint="eastAsia" w:ascii="Times New Roman" w:hAnsi="Times New Roman" w:cstheme="minorBidi"/>
          <w:szCs w:val="32"/>
          <w:highlight w:val="none"/>
        </w:rPr>
        <w:t>碳足迹因子数据库“</w:t>
      </w:r>
      <w:r>
        <w:rPr>
          <w:rFonts w:hint="eastAsia" w:ascii="Times New Roman" w:hAnsi="Times New Roman"/>
          <w:snapToGrid w:val="0"/>
          <w:kern w:val="0"/>
          <w:szCs w:val="32"/>
          <w:highlight w:val="none"/>
        </w:rPr>
        <w:t>天工数据库”，推动</w:t>
      </w:r>
      <w:r>
        <w:rPr>
          <w:rFonts w:hint="eastAsia" w:ascii="Times New Roman" w:hAnsi="Times New Roman"/>
          <w:szCs w:val="32"/>
          <w:highlight w:val="none"/>
        </w:rPr>
        <w:t>接入省产品碳足迹公共服务平台</w:t>
      </w:r>
      <w:r>
        <w:rPr>
          <w:rFonts w:hint="eastAsia" w:ascii="Times New Roman" w:hAnsi="Times New Roman"/>
          <w:snapToGrid w:val="0"/>
          <w:kern w:val="0"/>
          <w:szCs w:val="32"/>
          <w:highlight w:val="none"/>
        </w:rPr>
        <w:t>；与</w:t>
      </w:r>
      <w:r>
        <w:rPr>
          <w:rFonts w:hint="eastAsia" w:ascii="Times New Roman" w:hAnsi="Times New Roman"/>
          <w:szCs w:val="32"/>
          <w:highlight w:val="none"/>
        </w:rPr>
        <w:t>北京绿色交易所合作建设全国首个地方服务中心，提供</w:t>
      </w:r>
      <w:r>
        <w:rPr>
          <w:rFonts w:hint="eastAsia" w:ascii="Times New Roman" w:hAnsi="Times New Roman"/>
          <w:snapToGrid w:val="0"/>
          <w:szCs w:val="32"/>
          <w:highlight w:val="none"/>
        </w:rPr>
        <w:t>绿色交易、双碳培训等服务；</w:t>
      </w:r>
      <w:r>
        <w:rPr>
          <w:rFonts w:hint="eastAsia" w:ascii="Times New Roman" w:hAnsi="Times New Roman"/>
          <w:szCs w:val="32"/>
          <w:highlight w:val="none"/>
        </w:rPr>
        <w:t>联合宁德时代在全市建成电动汽车换电站41座，重卡换电品牌“骐骥换电”项目签约落地，同时</w:t>
      </w:r>
      <w:r>
        <w:rPr>
          <w:rFonts w:hint="eastAsia" w:ascii="Times New Roman" w:hAnsi="Times New Roman"/>
          <w:snapToGrid w:val="0"/>
          <w:szCs w:val="32"/>
          <w:highlight w:val="none"/>
        </w:rPr>
        <w:t>积极开展绿色低碳国际交流合作，</w:t>
      </w:r>
      <w:r>
        <w:rPr>
          <w:rFonts w:ascii="Times New Roman" w:hAnsi="Times New Roman"/>
          <w:snapToGrid w:val="0"/>
          <w:szCs w:val="32"/>
          <w:highlight w:val="none"/>
        </w:rPr>
        <w:t>与C40城市气候领导联盟</w:t>
      </w:r>
      <w:r>
        <w:rPr>
          <w:rFonts w:ascii="Times New Roman" w:hAnsi="Times New Roman"/>
          <w:snapToGrid w:val="0"/>
          <w:kern w:val="0"/>
          <w:highlight w:val="none"/>
          <w:vertAlign w:val="superscript"/>
        </w:rPr>
        <w:t>[</w:t>
      </w:r>
      <w:r>
        <w:rPr>
          <w:rFonts w:hint="eastAsia" w:ascii="Times New Roman" w:hAnsi="Times New Roman"/>
          <w:snapToGrid w:val="0"/>
          <w:kern w:val="0"/>
          <w:highlight w:val="none"/>
          <w:vertAlign w:val="superscript"/>
        </w:rPr>
        <w:t>7</w:t>
      </w:r>
      <w:r>
        <w:rPr>
          <w:rFonts w:ascii="Times New Roman" w:hAnsi="Times New Roman"/>
          <w:snapToGrid w:val="0"/>
          <w:kern w:val="0"/>
          <w:highlight w:val="none"/>
          <w:vertAlign w:val="superscript"/>
        </w:rPr>
        <w:t>]</w:t>
      </w:r>
      <w:r>
        <w:rPr>
          <w:rFonts w:ascii="Times New Roman" w:hAnsi="Times New Roman"/>
          <w:snapToGrid w:val="0"/>
          <w:szCs w:val="32"/>
          <w:highlight w:val="none"/>
        </w:rPr>
        <w:t>建立常态化合作机制，</w:t>
      </w:r>
      <w:r>
        <w:rPr>
          <w:rFonts w:hint="eastAsia" w:ascii="Times New Roman" w:hAnsi="Times New Roman"/>
          <w:snapToGrid w:val="0"/>
          <w:szCs w:val="32"/>
          <w:highlight w:val="none"/>
        </w:rPr>
        <w:t>成立中欧绿色能源产业协同孵化中心，创建“宁丰收”国际农业科技金融路演基地。</w:t>
      </w:r>
    </w:p>
    <w:p w14:paraId="7957072F">
      <w:pPr>
        <w:overflowPunct/>
        <w:snapToGrid/>
        <w:ind w:firstLine="640"/>
        <w:rPr>
          <w:rFonts w:ascii="Times New Roman" w:hAnsi="Times New Roman" w:cs="方正仿宋_GBK"/>
          <w:szCs w:val="32"/>
          <w:highlight w:val="none"/>
          <w:lang w:bidi="ar"/>
        </w:rPr>
      </w:pPr>
      <w:r>
        <w:rPr>
          <w:rFonts w:hint="eastAsia" w:ascii="Times New Roman" w:hAnsi="Times New Roman" w:eastAsia="方正黑体_GBK"/>
          <w:highlight w:val="none"/>
        </w:rPr>
        <w:t>坚持谋创新、促开放，在内外融合中推动发展活力加速释放。</w:t>
      </w:r>
      <w:r>
        <w:rPr>
          <w:rFonts w:hint="eastAsia" w:ascii="Times New Roman" w:hAnsi="Times New Roman"/>
          <w:snapToGrid w:val="0"/>
          <w:szCs w:val="32"/>
          <w:highlight w:val="none"/>
        </w:rPr>
        <w:t>始终</w:t>
      </w:r>
      <w:r>
        <w:rPr>
          <w:rFonts w:ascii="Times New Roman" w:hAnsi="Times New Roman"/>
          <w:snapToGrid w:val="0"/>
          <w:szCs w:val="32"/>
          <w:highlight w:val="none"/>
        </w:rPr>
        <w:t>以科技创新引领产业创新，</w:t>
      </w:r>
      <w:r>
        <w:rPr>
          <w:rFonts w:hint="eastAsia" w:ascii="Times New Roman" w:hAnsi="Times New Roman"/>
          <w:snapToGrid w:val="0"/>
          <w:szCs w:val="32"/>
          <w:highlight w:val="none"/>
        </w:rPr>
        <w:t>着力推进重点领域改革攻坚，不断提升创新体系整体效能，统筹推动高水平对外开放，全面加快“四链”</w:t>
      </w:r>
      <w:r>
        <w:rPr>
          <w:rFonts w:ascii="Times New Roman" w:hAnsi="Times New Roman"/>
          <w:snapToGrid w:val="0"/>
          <w:kern w:val="0"/>
          <w:highlight w:val="none"/>
          <w:vertAlign w:val="superscript"/>
        </w:rPr>
        <w:t>[</w:t>
      </w:r>
      <w:r>
        <w:rPr>
          <w:rFonts w:hint="eastAsia" w:ascii="Times New Roman" w:hAnsi="Times New Roman"/>
          <w:snapToGrid w:val="0"/>
          <w:kern w:val="0"/>
          <w:highlight w:val="none"/>
          <w:vertAlign w:val="superscript"/>
        </w:rPr>
        <w:t>8</w:t>
      </w:r>
      <w:r>
        <w:rPr>
          <w:rFonts w:ascii="Times New Roman" w:hAnsi="Times New Roman"/>
          <w:snapToGrid w:val="0"/>
          <w:kern w:val="0"/>
          <w:highlight w:val="none"/>
          <w:vertAlign w:val="superscript"/>
        </w:rPr>
        <w:t>]</w:t>
      </w:r>
      <w:r>
        <w:rPr>
          <w:rFonts w:ascii="Times New Roman" w:hAnsi="Times New Roman"/>
          <w:snapToGrid w:val="0"/>
          <w:szCs w:val="32"/>
          <w:highlight w:val="none"/>
        </w:rPr>
        <w:t>深度融合</w:t>
      </w:r>
      <w:r>
        <w:rPr>
          <w:rFonts w:hint="eastAsia" w:ascii="Times New Roman" w:hAnsi="Times New Roman"/>
          <w:snapToGrid w:val="0"/>
          <w:szCs w:val="32"/>
          <w:highlight w:val="none"/>
        </w:rPr>
        <w:t>，聚力打造东部现代服务业中心核心区。</w:t>
      </w:r>
      <w:r>
        <w:rPr>
          <w:rFonts w:hint="eastAsia" w:ascii="Times New Roman" w:hAnsi="Times New Roman" w:eastAsia="方正楷体_GBK"/>
          <w:bCs/>
          <w:szCs w:val="32"/>
          <w:highlight w:val="none"/>
          <w:shd w:val="clear" w:color="auto" w:fill="FFFFFF"/>
        </w:rPr>
        <w:t>改革向更深层次突破。</w:t>
      </w:r>
      <w:r>
        <w:rPr>
          <w:rFonts w:hint="eastAsia" w:ascii="Times New Roman" w:hAnsi="Times New Roman"/>
          <w:szCs w:val="32"/>
          <w:highlight w:val="none"/>
        </w:rPr>
        <w:t>突出</w:t>
      </w:r>
      <w:r>
        <w:rPr>
          <w:rFonts w:hint="eastAsia" w:ascii="Times New Roman" w:hAnsi="Times New Roman" w:cs="方正仿宋_GBK"/>
          <w:szCs w:val="32"/>
          <w:highlight w:val="none"/>
        </w:rPr>
        <w:t>数据要素市场化配置改革主线，</w:t>
      </w:r>
      <w:r>
        <w:rPr>
          <w:rFonts w:hint="eastAsia" w:ascii="Times New Roman" w:hAnsi="Times New Roman" w:cs="方正黑体_GBK"/>
          <w:highlight w:val="none"/>
        </w:rPr>
        <w:t>积极开展数据跨境安全有序流动场景化试点，</w:t>
      </w:r>
      <w:r>
        <w:rPr>
          <w:rFonts w:hint="eastAsia" w:ascii="Times New Roman" w:hAnsi="Times New Roman"/>
          <w:szCs w:val="32"/>
          <w:highlight w:val="none"/>
        </w:rPr>
        <w:t>与上海临港新片区、海南自贸港数字保税区合作打造“数港通”数据跨境综合服务中心，</w:t>
      </w:r>
      <w:r>
        <w:rPr>
          <w:rFonts w:hint="eastAsia" w:ascii="Times New Roman" w:hAnsi="Times New Roman" w:cs="方正黑体_GBK"/>
          <w:highlight w:val="none"/>
        </w:rPr>
        <w:t>推动形成</w:t>
      </w:r>
      <w:r>
        <w:rPr>
          <w:rFonts w:hint="eastAsia" w:ascii="Times New Roman" w:hAnsi="Times New Roman"/>
          <w:snapToGrid w:val="0"/>
          <w:kern w:val="0"/>
          <w:highlight w:val="none"/>
        </w:rPr>
        <w:t>汽车数据出海等</w:t>
      </w:r>
      <w:r>
        <w:rPr>
          <w:rFonts w:hint="eastAsia" w:ascii="Times New Roman" w:hAnsi="Times New Roman" w:cs="方正黑体_GBK"/>
          <w:highlight w:val="none"/>
        </w:rPr>
        <w:t>跨境流动操作指引，落地运营</w:t>
      </w:r>
      <w:r>
        <w:rPr>
          <w:rFonts w:hint="eastAsia" w:ascii="Times New Roman" w:hAnsi="Times New Roman"/>
          <w:snapToGrid w:val="0"/>
          <w:kern w:val="0"/>
          <w:szCs w:val="32"/>
          <w:highlight w:val="none"/>
        </w:rPr>
        <w:t>全国首个电池数字护照公共服务平台，</w:t>
      </w:r>
      <w:r>
        <w:rPr>
          <w:rFonts w:hint="eastAsia" w:ascii="Times New Roman" w:hAnsi="Times New Roman" w:cs="方正仿宋_GBK"/>
          <w:szCs w:val="32"/>
          <w:highlight w:val="none"/>
          <w:lang w:bidi="ar"/>
        </w:rPr>
        <w:t>发布全国首个电池行业数据标准，</w:t>
      </w:r>
      <w:r>
        <w:rPr>
          <w:rFonts w:hint="eastAsia" w:ascii="Times New Roman" w:hAnsi="Times New Roman"/>
          <w:snapToGrid w:val="0"/>
          <w:kern w:val="0"/>
          <w:szCs w:val="32"/>
          <w:highlight w:val="none"/>
        </w:rPr>
        <w:t>累计</w:t>
      </w:r>
      <w:r>
        <w:rPr>
          <w:rFonts w:ascii="Times New Roman" w:hAnsi="Times New Roman"/>
          <w:szCs w:val="32"/>
          <w:highlight w:val="none"/>
        </w:rPr>
        <w:t>发放电池产品数字护照</w:t>
      </w:r>
      <w:r>
        <w:rPr>
          <w:rFonts w:hint="eastAsia" w:ascii="Times New Roman" w:hAnsi="Times New Roman"/>
          <w:szCs w:val="32"/>
          <w:highlight w:val="none"/>
        </w:rPr>
        <w:t>1800余</w:t>
      </w:r>
      <w:r>
        <w:rPr>
          <w:rFonts w:ascii="Times New Roman" w:hAnsi="Times New Roman"/>
          <w:szCs w:val="32"/>
          <w:highlight w:val="none"/>
        </w:rPr>
        <w:t>张</w:t>
      </w:r>
      <w:r>
        <w:rPr>
          <w:rFonts w:hint="eastAsia" w:ascii="Times New Roman" w:hAnsi="Times New Roman"/>
          <w:szCs w:val="32"/>
          <w:highlight w:val="none"/>
        </w:rPr>
        <w:t>。扎实推动国资国企改革攻坚深化提升行动，完成86家区属国有企业监事及监事会改革，</w:t>
      </w:r>
      <w:r>
        <w:rPr>
          <w:rFonts w:hint="eastAsia" w:ascii="Times New Roman" w:hAnsi="Times New Roman"/>
          <w:highlight w:val="none"/>
        </w:rPr>
        <w:t>高新集团成功发行科创债4亿元，</w:t>
      </w:r>
      <w:r>
        <w:rPr>
          <w:rFonts w:ascii="Times New Roman" w:hAnsi="Times New Roman"/>
          <w:highlight w:val="none"/>
        </w:rPr>
        <w:t>钟山集团</w:t>
      </w:r>
      <w:r>
        <w:rPr>
          <w:rFonts w:hint="eastAsia" w:ascii="Times New Roman" w:hAnsi="Times New Roman"/>
          <w:highlight w:val="none"/>
        </w:rPr>
        <w:t>荣获</w:t>
      </w:r>
      <w:r>
        <w:rPr>
          <w:rFonts w:ascii="Times New Roman" w:hAnsi="Times New Roman"/>
          <w:highlight w:val="none"/>
        </w:rPr>
        <w:t>国内</w:t>
      </w:r>
      <w:r>
        <w:rPr>
          <w:rFonts w:hint="eastAsia" w:ascii="Times New Roman" w:hAnsi="Times New Roman"/>
          <w:highlight w:val="none"/>
        </w:rPr>
        <w:t>企业</w:t>
      </w:r>
      <w:r>
        <w:rPr>
          <w:rFonts w:ascii="Times New Roman" w:hAnsi="Times New Roman"/>
          <w:highlight w:val="none"/>
        </w:rPr>
        <w:t>最高信用AAA级认证评级</w:t>
      </w:r>
      <w:r>
        <w:rPr>
          <w:rFonts w:hint="eastAsia" w:ascii="Times New Roman" w:hAnsi="Times New Roman"/>
          <w:highlight w:val="none"/>
        </w:rPr>
        <w:t>。认真落实新一轮优化营商环境十条政策举措，发布</w:t>
      </w:r>
      <w:r>
        <w:rPr>
          <w:rFonts w:ascii="Times New Roman" w:hAnsi="Times New Roman"/>
          <w:szCs w:val="32"/>
          <w:highlight w:val="none"/>
        </w:rPr>
        <w:t>优化</w:t>
      </w:r>
      <w:r>
        <w:rPr>
          <w:rFonts w:hint="eastAsia" w:ascii="Times New Roman" w:hAnsi="Times New Roman" w:cs="方正仿宋_GBK"/>
          <w:szCs w:val="32"/>
          <w:highlight w:val="none"/>
        </w:rPr>
        <w:t>营商环境创新应用场景</w:t>
      </w:r>
      <w:r>
        <w:rPr>
          <w:rFonts w:hint="eastAsia" w:ascii="Times New Roman" w:hAnsi="Times New Roman"/>
          <w:szCs w:val="32"/>
          <w:highlight w:val="none"/>
        </w:rPr>
        <w:t>40个，</w:t>
      </w:r>
      <w:r>
        <w:rPr>
          <w:rFonts w:hint="eastAsia" w:ascii="Times New Roman" w:hAnsi="Times New Roman"/>
          <w:highlight w:val="none"/>
        </w:rPr>
        <w:t>兑现各类产业扶持政策资金1.3亿元，</w:t>
      </w:r>
      <w:r>
        <w:rPr>
          <w:rFonts w:ascii="Times New Roman" w:hAnsi="Times New Roman"/>
          <w:szCs w:val="32"/>
          <w:highlight w:val="none"/>
        </w:rPr>
        <w:t>新增</w:t>
      </w:r>
      <w:r>
        <w:rPr>
          <w:rFonts w:hint="eastAsia" w:ascii="Times New Roman" w:hAnsi="Times New Roman"/>
          <w:szCs w:val="32"/>
          <w:highlight w:val="none"/>
        </w:rPr>
        <w:t>市场</w:t>
      </w:r>
      <w:r>
        <w:rPr>
          <w:rFonts w:ascii="Times New Roman" w:hAnsi="Times New Roman"/>
          <w:szCs w:val="32"/>
          <w:highlight w:val="none"/>
        </w:rPr>
        <w:t>主体</w:t>
      </w:r>
      <w:r>
        <w:rPr>
          <w:rFonts w:hint="eastAsia" w:ascii="Times New Roman" w:hAnsi="Times New Roman"/>
          <w:szCs w:val="32"/>
          <w:highlight w:val="none"/>
          <w:lang w:eastAsia="zh-CN"/>
        </w:rPr>
        <w:t>超</w:t>
      </w:r>
      <w:r>
        <w:rPr>
          <w:rFonts w:hint="eastAsia" w:ascii="Times New Roman" w:hAnsi="Times New Roman"/>
          <w:highlight w:val="none"/>
        </w:rPr>
        <w:t>1万</w:t>
      </w:r>
      <w:r>
        <w:rPr>
          <w:rFonts w:ascii="Times New Roman" w:hAnsi="Times New Roman"/>
          <w:szCs w:val="32"/>
          <w:highlight w:val="none"/>
        </w:rPr>
        <w:t>户</w:t>
      </w:r>
      <w:r>
        <w:rPr>
          <w:rFonts w:hint="eastAsia" w:ascii="Times New Roman" w:hAnsi="Times New Roman"/>
          <w:szCs w:val="32"/>
          <w:highlight w:val="none"/>
        </w:rPr>
        <w:t>、注册资本</w:t>
      </w:r>
      <w:r>
        <w:rPr>
          <w:rFonts w:hint="eastAsia" w:ascii="Times New Roman" w:hAnsi="Times New Roman"/>
          <w:highlight w:val="none"/>
        </w:rPr>
        <w:t>145.5亿元，</w:t>
      </w:r>
      <w:r>
        <w:rPr>
          <w:rFonts w:ascii="Times New Roman" w:hAnsi="Times New Roman"/>
          <w:szCs w:val="32"/>
          <w:highlight w:val="none"/>
        </w:rPr>
        <w:t>其中</w:t>
      </w:r>
      <w:r>
        <w:rPr>
          <w:rFonts w:hint="eastAsia" w:ascii="Times New Roman" w:hAnsi="Times New Roman"/>
          <w:szCs w:val="32"/>
          <w:highlight w:val="none"/>
        </w:rPr>
        <w:t>亿元以上</w:t>
      </w:r>
      <w:r>
        <w:rPr>
          <w:rFonts w:ascii="Times New Roman" w:hAnsi="Times New Roman"/>
          <w:szCs w:val="32"/>
          <w:highlight w:val="none"/>
        </w:rPr>
        <w:t>企业</w:t>
      </w:r>
      <w:r>
        <w:rPr>
          <w:rFonts w:hint="eastAsia" w:ascii="Times New Roman" w:hAnsi="Times New Roman"/>
          <w:highlight w:val="none"/>
        </w:rPr>
        <w:t>22</w:t>
      </w:r>
      <w:r>
        <w:rPr>
          <w:rFonts w:ascii="Times New Roman" w:hAnsi="Times New Roman"/>
          <w:szCs w:val="32"/>
          <w:highlight w:val="none"/>
        </w:rPr>
        <w:t>户</w:t>
      </w:r>
      <w:r>
        <w:rPr>
          <w:rFonts w:hint="eastAsia" w:ascii="Times New Roman" w:hAnsi="Times New Roman"/>
          <w:szCs w:val="32"/>
          <w:highlight w:val="none"/>
        </w:rPr>
        <w:t>。</w:t>
      </w:r>
      <w:r>
        <w:rPr>
          <w:rFonts w:hint="eastAsia" w:ascii="Times New Roman" w:hAnsi="Times New Roman" w:eastAsia="方正楷体_GBK"/>
          <w:bCs/>
          <w:szCs w:val="32"/>
          <w:highlight w:val="none"/>
          <w:shd w:val="clear" w:color="auto" w:fill="FFFFFF"/>
        </w:rPr>
        <w:t>创新向更高水平迈进。</w:t>
      </w:r>
      <w:r>
        <w:rPr>
          <w:rFonts w:hint="eastAsia" w:ascii="Times New Roman" w:hAnsi="Times New Roman"/>
          <w:szCs w:val="32"/>
          <w:highlight w:val="none"/>
        </w:rPr>
        <w:t>持续深化</w:t>
      </w:r>
      <w:r>
        <w:rPr>
          <w:rFonts w:hint="eastAsia" w:ascii="Times New Roman" w:hAnsi="Times New Roman" w:cs="方正仿宋_GBK"/>
          <w:snapToGrid w:val="0"/>
          <w:kern w:val="0"/>
          <w:szCs w:val="32"/>
          <w:highlight w:val="none"/>
        </w:rPr>
        <w:t>政产学研合作，</w:t>
      </w:r>
      <w:r>
        <w:rPr>
          <w:rFonts w:hint="eastAsia" w:ascii="Times New Roman" w:hAnsi="Times New Roman"/>
          <w:szCs w:val="32"/>
          <w:highlight w:val="none"/>
        </w:rPr>
        <w:t>联合东南大学、南京农业大学分别打造玄武科技成果转化基地、动物大健康产业园，推动南京大学与中节能大数据公司共建人工智能校企联合实验室，</w:t>
      </w:r>
      <w:r>
        <w:rPr>
          <w:rFonts w:hint="eastAsia" w:ascii="Times New Roman" w:hAnsi="Times New Roman"/>
          <w:highlight w:val="none"/>
        </w:rPr>
        <w:t>南京农业大学获批省第二批概念验证中心，南京林业大学、省地质调查研究院获批市级概念验证中心，鼓楼医院临床医学研究院建成启用。</w:t>
      </w:r>
      <w:r>
        <w:rPr>
          <w:rFonts w:hint="eastAsia" w:ascii="Times New Roman" w:hAnsi="Times New Roman"/>
          <w:szCs w:val="32"/>
          <w:highlight w:val="none"/>
        </w:rPr>
        <w:t>深交所科交中心南京专区正式运营，上线重点企业</w:t>
      </w:r>
      <w:r>
        <w:rPr>
          <w:rFonts w:hint="eastAsia" w:ascii="Times New Roman" w:hAnsi="Times New Roman"/>
          <w:highlight w:val="none"/>
        </w:rPr>
        <w:t>350</w:t>
      </w:r>
      <w:r>
        <w:rPr>
          <w:rFonts w:hint="eastAsia" w:ascii="Times New Roman" w:hAnsi="Times New Roman"/>
          <w:szCs w:val="32"/>
          <w:highlight w:val="none"/>
        </w:rPr>
        <w:t>余家，入驻中介服务机构30余家。</w:t>
      </w:r>
      <w:r>
        <w:rPr>
          <w:rFonts w:hint="eastAsia" w:ascii="Times New Roman" w:hAnsi="Times New Roman"/>
          <w:kern w:val="0"/>
          <w:szCs w:val="32"/>
          <w:highlight w:val="none"/>
        </w:rPr>
        <w:t>锦创数字产业园等</w:t>
      </w:r>
      <w:r>
        <w:rPr>
          <w:rFonts w:ascii="Times New Roman" w:hAnsi="Times New Roman"/>
          <w:szCs w:val="32"/>
          <w:highlight w:val="none"/>
        </w:rPr>
        <w:t>3</w:t>
      </w:r>
      <w:r>
        <w:rPr>
          <w:rFonts w:hint="eastAsia" w:ascii="Times New Roman" w:hAnsi="Times New Roman"/>
          <w:szCs w:val="32"/>
          <w:highlight w:val="none"/>
        </w:rPr>
        <w:t>家</w:t>
      </w:r>
      <w:r>
        <w:rPr>
          <w:rFonts w:hint="eastAsia" w:ascii="Times New Roman" w:hAnsi="Times New Roman"/>
          <w:kern w:val="0"/>
          <w:szCs w:val="32"/>
          <w:highlight w:val="none"/>
        </w:rPr>
        <w:t>首批市级精品硅巷完成验收</w:t>
      </w:r>
      <w:r>
        <w:rPr>
          <w:rFonts w:hint="eastAsia" w:ascii="Times New Roman" w:hAnsi="Times New Roman"/>
          <w:szCs w:val="32"/>
          <w:highlight w:val="none"/>
        </w:rPr>
        <w:t>，</w:t>
      </w:r>
      <w:r>
        <w:rPr>
          <w:rFonts w:hint="eastAsia" w:ascii="Times New Roman" w:hAnsi="Times New Roman"/>
          <w:kern w:val="0"/>
          <w:szCs w:val="32"/>
          <w:highlight w:val="none"/>
        </w:rPr>
        <w:t>电子城未来产业创新基地等4个硅巷建成备案，累计建成市级备案硅巷31个，面积达82.4万平方米。</w:t>
      </w:r>
      <w:r>
        <w:rPr>
          <w:rFonts w:hint="eastAsia" w:ascii="Times New Roman" w:hAnsi="Times New Roman"/>
          <w:highlight w:val="none"/>
        </w:rPr>
        <w:t>全年</w:t>
      </w:r>
      <w:r>
        <w:rPr>
          <w:rFonts w:hint="eastAsia" w:ascii="Times New Roman" w:hAnsi="Times New Roman"/>
          <w:szCs w:val="32"/>
          <w:highlight w:val="none"/>
        </w:rPr>
        <w:t>申报高新技术企业</w:t>
      </w:r>
      <w:r>
        <w:rPr>
          <w:rFonts w:hint="eastAsia" w:ascii="Times New Roman" w:hAnsi="Times New Roman"/>
          <w:highlight w:val="none"/>
        </w:rPr>
        <w:t>210</w:t>
      </w:r>
      <w:r>
        <w:rPr>
          <w:rFonts w:hint="eastAsia" w:ascii="Times New Roman" w:hAnsi="Times New Roman"/>
          <w:szCs w:val="32"/>
          <w:highlight w:val="none"/>
        </w:rPr>
        <w:t>家，新增国家级专精特新“小巨人”企业</w:t>
      </w:r>
      <w:r>
        <w:rPr>
          <w:rFonts w:hint="eastAsia" w:ascii="Times New Roman" w:hAnsi="Times New Roman"/>
          <w:highlight w:val="none"/>
        </w:rPr>
        <w:t>4</w:t>
      </w:r>
      <w:r>
        <w:rPr>
          <w:rFonts w:hint="eastAsia" w:ascii="Times New Roman" w:hAnsi="Times New Roman"/>
          <w:szCs w:val="32"/>
          <w:highlight w:val="none"/>
        </w:rPr>
        <w:t>家、省级专精特新中小企业13家，入选市培育独角兽、瞪羚企业14家，</w:t>
      </w:r>
      <w:r>
        <w:rPr>
          <w:rFonts w:hint="eastAsia" w:ascii="Times New Roman" w:hAnsi="Times New Roman"/>
          <w:kern w:val="0"/>
          <w:szCs w:val="32"/>
          <w:highlight w:val="none"/>
        </w:rPr>
        <w:t>入选</w:t>
      </w:r>
      <w:r>
        <w:rPr>
          <w:rFonts w:hint="eastAsia" w:ascii="Times New Roman" w:hAnsi="Times New Roman"/>
          <w:szCs w:val="32"/>
          <w:highlight w:val="none"/>
        </w:rPr>
        <w:t>国家重大人才计划14人、位居主城第一</w:t>
      </w:r>
      <w:r>
        <w:rPr>
          <w:rFonts w:hint="eastAsia" w:ascii="Times New Roman" w:hAnsi="Times New Roman"/>
          <w:highlight w:val="none"/>
        </w:rPr>
        <w:t>，</w:t>
      </w:r>
      <w:r>
        <w:rPr>
          <w:rFonts w:hint="eastAsia" w:ascii="Times New Roman" w:hAnsi="Times New Roman"/>
          <w:szCs w:val="32"/>
          <w:highlight w:val="none"/>
        </w:rPr>
        <w:t>万人有效发明专利拥有量全省第一，</w:t>
      </w:r>
      <w:r>
        <w:rPr>
          <w:rFonts w:hint="eastAsia" w:ascii="Times New Roman" w:hAnsi="Times New Roman"/>
          <w:highlight w:val="none"/>
        </w:rPr>
        <w:t>位列全国创新百强区第35位。</w:t>
      </w:r>
      <w:r>
        <w:rPr>
          <w:rFonts w:hint="eastAsia" w:ascii="Times New Roman" w:hAnsi="Times New Roman" w:eastAsia="方正楷体_GBK"/>
          <w:bCs/>
          <w:szCs w:val="32"/>
          <w:highlight w:val="none"/>
          <w:shd w:val="clear" w:color="auto" w:fill="FFFFFF"/>
        </w:rPr>
        <w:t>开放向更宽领域拓展。</w:t>
      </w:r>
      <w:r>
        <w:rPr>
          <w:rFonts w:hint="eastAsia" w:ascii="Times New Roman" w:hAnsi="Times New Roman"/>
          <w:highlight w:val="none"/>
        </w:rPr>
        <w:t>江苏中亚中心成立不到一年成功升级为中国—中亚贸易畅通合作平台，</w:t>
      </w:r>
      <w:r>
        <w:rPr>
          <w:rFonts w:ascii="Times New Roman" w:hAnsi="Times New Roman" w:cs="方正仿宋_GBK"/>
          <w:szCs w:val="32"/>
          <w:highlight w:val="none"/>
          <w:lang w:bidi="ar"/>
        </w:rPr>
        <w:t>习近平总书记在出席第二届中国</w:t>
      </w:r>
      <w:r>
        <w:rPr>
          <w:rFonts w:hint="eastAsia" w:ascii="Times New Roman" w:hAnsi="Times New Roman"/>
          <w:highlight w:val="none"/>
        </w:rPr>
        <w:t>—</w:t>
      </w:r>
      <w:r>
        <w:rPr>
          <w:rFonts w:ascii="Times New Roman" w:hAnsi="Times New Roman" w:cs="方正仿宋_GBK"/>
          <w:szCs w:val="32"/>
          <w:highlight w:val="none"/>
          <w:lang w:bidi="ar"/>
        </w:rPr>
        <w:t>中亚峰会期间与中亚五国元首共同为平台揭牌，李强总理在江苏调研期间对平台建设给予充分肯定</w:t>
      </w:r>
      <w:r>
        <w:rPr>
          <w:rFonts w:hint="eastAsia" w:ascii="Times New Roman" w:hAnsi="Times New Roman" w:cs="方正仿宋_GBK"/>
          <w:szCs w:val="32"/>
          <w:highlight w:val="none"/>
          <w:lang w:bidi="ar"/>
        </w:rPr>
        <w:t>，省委、省政府主要领导出席平台挂牌仪式。</w:t>
      </w:r>
      <w:r>
        <w:rPr>
          <w:rFonts w:hint="eastAsia" w:ascii="Times New Roman" w:hAnsi="Times New Roman"/>
          <w:szCs w:val="32"/>
          <w:highlight w:val="none"/>
        </w:rPr>
        <w:t>与苏豪控股集团合作全力推进平台建设，建成中亚五国国家馆、外资企业办公区、玄武国际交流中心等功能区域，吸引哈萨克斯坦国家贸易代表处、中亚出版中心等近百家企业机构入驻，“苏豪云”跨境电商平台入选中国—上合组织国家数字经济合作典型案例。联合苏豪控股集团在哈萨克斯坦建设中亚江苏中心，打造跨境电</w:t>
      </w:r>
      <w:r>
        <w:rPr>
          <w:rFonts w:hint="eastAsia" w:ascii="Times New Roman" w:hAnsi="Times New Roman"/>
          <w:spacing w:val="-4"/>
          <w:szCs w:val="32"/>
          <w:highlight w:val="none"/>
        </w:rPr>
        <w:t>商孵化、新能源汽车展销等一体化服务平台，成功</w:t>
      </w:r>
      <w:r>
        <w:rPr>
          <w:rFonts w:hint="eastAsia" w:ascii="Times New Roman" w:hAnsi="Times New Roman" w:cs="方正仿宋_GBK"/>
          <w:spacing w:val="-4"/>
          <w:szCs w:val="32"/>
          <w:highlight w:val="none"/>
          <w:lang w:bidi="ar"/>
        </w:rPr>
        <w:t>举办2</w:t>
      </w:r>
      <w:r>
        <w:rPr>
          <w:rFonts w:ascii="Times New Roman" w:hAnsi="Times New Roman" w:cs="方正仿宋_GBK"/>
          <w:spacing w:val="-4"/>
          <w:szCs w:val="32"/>
          <w:highlight w:val="none"/>
          <w:lang w:bidi="ar"/>
        </w:rPr>
        <w:t>025</w:t>
      </w:r>
      <w:r>
        <w:rPr>
          <w:rFonts w:hint="eastAsia" w:ascii="Times New Roman" w:hAnsi="Times New Roman" w:cs="方正仿宋_GBK"/>
          <w:spacing w:val="-4"/>
          <w:szCs w:val="32"/>
          <w:highlight w:val="none"/>
          <w:lang w:bidi="ar"/>
        </w:rPr>
        <w:t>江苏（阿斯塔纳）进出口商品展览会</w:t>
      </w:r>
      <w:r>
        <w:rPr>
          <w:rFonts w:hint="eastAsia" w:ascii="Times New Roman" w:hAnsi="Times New Roman"/>
          <w:spacing w:val="-4"/>
          <w:szCs w:val="32"/>
          <w:highlight w:val="none"/>
        </w:rPr>
        <w:t>。</w:t>
      </w:r>
      <w:r>
        <w:rPr>
          <w:rFonts w:hint="eastAsia" w:ascii="Times New Roman" w:hAnsi="Times New Roman" w:cs="方正仿宋_GBK"/>
          <w:spacing w:val="-4"/>
          <w:szCs w:val="32"/>
          <w:highlight w:val="none"/>
          <w:lang w:bidi="ar"/>
        </w:rPr>
        <w:t>促成意大利罗马中心城区区长回访，双方签署</w:t>
      </w:r>
      <w:r>
        <w:rPr>
          <w:rFonts w:ascii="Times New Roman" w:hAnsi="Times New Roman"/>
          <w:spacing w:val="-4"/>
          <w:szCs w:val="32"/>
          <w:highlight w:val="none"/>
        </w:rPr>
        <w:t>进一步深化友好合作关系备忘</w:t>
      </w:r>
      <w:r>
        <w:rPr>
          <w:rFonts w:hint="eastAsia" w:ascii="Times New Roman" w:hAnsi="Times New Roman"/>
          <w:spacing w:val="-4"/>
          <w:szCs w:val="32"/>
          <w:highlight w:val="none"/>
        </w:rPr>
        <w:t>录，推动红山森林动物园与罗马动物</w:t>
      </w:r>
      <w:r>
        <w:rPr>
          <w:rFonts w:hint="eastAsia" w:ascii="Times New Roman" w:hAnsi="Times New Roman"/>
          <w:spacing w:val="-4"/>
          <w:szCs w:val="32"/>
          <w:highlight w:val="none"/>
        </w:rPr>
        <w:t>园、玄武中等专业学校与阿伏伽德罗国立科学高中开展友好合作。</w:t>
      </w:r>
      <w:r>
        <w:rPr>
          <w:rFonts w:hint="eastAsia" w:ascii="Times New Roman" w:hAnsi="Times New Roman" w:cs="方正仿宋_GBK"/>
          <w:spacing w:val="-4"/>
          <w:szCs w:val="32"/>
          <w:highlight w:val="none"/>
          <w:lang w:bidi="ar"/>
        </w:rPr>
        <w:t>全年实际利用外资</w:t>
      </w:r>
      <w:r>
        <w:rPr>
          <w:rFonts w:hint="eastAsia" w:ascii="Times New Roman" w:hAnsi="Times New Roman"/>
          <w:spacing w:val="-4"/>
          <w:highlight w:val="none"/>
        </w:rPr>
        <w:t>390</w:t>
      </w:r>
      <w:r>
        <w:rPr>
          <w:rFonts w:hint="eastAsia" w:ascii="Times New Roman" w:hAnsi="Times New Roman"/>
          <w:spacing w:val="-4"/>
          <w:highlight w:val="none"/>
          <w:lang w:val="en-US" w:eastAsia="zh-CN"/>
        </w:rPr>
        <w:t>6</w:t>
      </w:r>
      <w:r>
        <w:rPr>
          <w:rFonts w:hint="eastAsia" w:ascii="Times New Roman" w:hAnsi="Times New Roman" w:cs="方正仿宋_GBK"/>
          <w:spacing w:val="-4"/>
          <w:szCs w:val="32"/>
          <w:highlight w:val="none"/>
          <w:lang w:bidi="ar"/>
        </w:rPr>
        <w:t>万美元，外贸进出口总额</w:t>
      </w:r>
      <w:r>
        <w:rPr>
          <w:rFonts w:hint="eastAsia" w:ascii="Times New Roman" w:hAnsi="Times New Roman"/>
          <w:spacing w:val="-4"/>
          <w:highlight w:val="none"/>
          <w:lang w:val="en-US" w:eastAsia="zh-CN"/>
        </w:rPr>
        <w:t>586.6</w:t>
      </w:r>
      <w:r>
        <w:rPr>
          <w:rFonts w:hint="eastAsia" w:ascii="Times New Roman" w:hAnsi="Times New Roman"/>
          <w:spacing w:val="-4"/>
          <w:highlight w:val="none"/>
        </w:rPr>
        <w:t>亿</w:t>
      </w:r>
      <w:r>
        <w:rPr>
          <w:rFonts w:hint="eastAsia" w:ascii="Times New Roman" w:hAnsi="Times New Roman" w:cs="方正仿宋_GBK"/>
          <w:spacing w:val="-4"/>
          <w:szCs w:val="32"/>
          <w:highlight w:val="none"/>
          <w:lang w:bidi="ar"/>
        </w:rPr>
        <w:t>元，</w:t>
      </w:r>
      <w:r>
        <w:rPr>
          <w:rFonts w:hint="eastAsia" w:ascii="Times New Roman" w:hAnsi="Times New Roman"/>
          <w:spacing w:val="-4"/>
          <w:highlight w:val="none"/>
        </w:rPr>
        <w:t>其中跨境电商进出口同比增长</w:t>
      </w:r>
      <w:r>
        <w:rPr>
          <w:rFonts w:hint="eastAsia" w:ascii="Times New Roman" w:hAnsi="Times New Roman"/>
          <w:spacing w:val="-4"/>
          <w:highlight w:val="none"/>
          <w:lang w:eastAsia="zh-CN"/>
        </w:rPr>
        <w:t>超</w:t>
      </w:r>
      <w:r>
        <w:rPr>
          <w:rFonts w:hint="eastAsia" w:ascii="Times New Roman" w:hAnsi="Times New Roman"/>
          <w:spacing w:val="-4"/>
          <w:highlight w:val="none"/>
          <w:lang w:val="en-US" w:eastAsia="zh-CN"/>
        </w:rPr>
        <w:t>150%</w:t>
      </w:r>
      <w:r>
        <w:rPr>
          <w:rFonts w:hint="eastAsia" w:ascii="Times New Roman" w:hAnsi="Times New Roman"/>
          <w:spacing w:val="-4"/>
          <w:highlight w:val="none"/>
        </w:rPr>
        <w:t>。</w:t>
      </w:r>
    </w:p>
    <w:p w14:paraId="71294D21">
      <w:pPr>
        <w:overflowPunct/>
        <w:snapToGrid/>
        <w:ind w:firstLine="640"/>
        <w:rPr>
          <w:rFonts w:ascii="Times New Roman" w:hAnsi="Times New Roman" w:cs="方正仿宋_GBK"/>
          <w:szCs w:val="32"/>
          <w:highlight w:val="none"/>
          <w:lang w:bidi="ar"/>
        </w:rPr>
      </w:pPr>
      <w:r>
        <w:rPr>
          <w:rFonts w:hint="eastAsia" w:ascii="Times New Roman" w:hAnsi="Times New Roman" w:eastAsia="方正黑体_GBK"/>
          <w:highlight w:val="none"/>
        </w:rPr>
        <w:t>坚持抓更新、强治理，在精细建管中推动城市品质积极彰显。</w:t>
      </w:r>
      <w:r>
        <w:rPr>
          <w:rFonts w:hint="eastAsia" w:ascii="Times New Roman" w:hAnsi="Times New Roman" w:cs="方正仿宋_GBK"/>
          <w:szCs w:val="32"/>
          <w:highlight w:val="none"/>
          <w:lang w:bidi="ar"/>
        </w:rPr>
        <w:t>以入选全市城市更新实验区为契机，</w:t>
      </w:r>
      <w:r>
        <w:rPr>
          <w:rFonts w:ascii="Times New Roman" w:hAnsi="Times New Roman" w:cs="方正仿宋_GBK"/>
          <w:szCs w:val="32"/>
          <w:highlight w:val="none"/>
          <w:lang w:bidi="ar"/>
        </w:rPr>
        <w:t>统筹推进以片区为单元的综合性城市更新</w:t>
      </w:r>
      <w:r>
        <w:rPr>
          <w:rFonts w:hint="eastAsia" w:ascii="Times New Roman" w:hAnsi="Times New Roman" w:cs="方正仿宋_GBK"/>
          <w:szCs w:val="32"/>
          <w:highlight w:val="none"/>
          <w:lang w:bidi="ar"/>
        </w:rPr>
        <w:t>，全面深化</w:t>
      </w:r>
      <w:r>
        <w:rPr>
          <w:rFonts w:ascii="Times New Roman" w:hAnsi="Times New Roman" w:cs="方正仿宋_GBK"/>
          <w:szCs w:val="32"/>
          <w:highlight w:val="none"/>
          <w:lang w:bidi="ar"/>
        </w:rPr>
        <w:t>背街小巷环境精细化治理</w:t>
      </w:r>
      <w:r>
        <w:rPr>
          <w:rFonts w:hint="eastAsia" w:ascii="Times New Roman" w:hAnsi="Times New Roman" w:cs="方正仿宋_GBK"/>
          <w:szCs w:val="32"/>
          <w:highlight w:val="none"/>
          <w:lang w:bidi="ar"/>
        </w:rPr>
        <w:t>，深入打好污染防治攻坚战，城区综合承载能力不断提升。</w:t>
      </w:r>
      <w:r>
        <w:rPr>
          <w:rFonts w:hint="eastAsia" w:ascii="Times New Roman" w:hAnsi="Times New Roman" w:eastAsia="方正楷体_GBK" w:cs="方正楷体_GBK"/>
          <w:bCs/>
          <w:szCs w:val="32"/>
          <w:highlight w:val="none"/>
        </w:rPr>
        <w:t>更新行动扎实推进</w:t>
      </w:r>
      <w:r>
        <w:rPr>
          <w:rFonts w:hint="eastAsia" w:ascii="Times New Roman" w:hAnsi="Times New Roman"/>
          <w:szCs w:val="32"/>
          <w:highlight w:val="none"/>
        </w:rPr>
        <w:t>。认真抓好年度56个城建项目，</w:t>
      </w:r>
      <w:r>
        <w:rPr>
          <w:rFonts w:ascii="Times New Roman" w:hAnsi="Times New Roman"/>
          <w:kern w:val="0"/>
          <w:szCs w:val="32"/>
          <w:highlight w:val="none"/>
        </w:rPr>
        <w:t>华新路、青石街等</w:t>
      </w:r>
      <w:r>
        <w:rPr>
          <w:rFonts w:hint="eastAsia" w:ascii="Times New Roman" w:hAnsi="Times New Roman"/>
          <w:highlight w:val="none"/>
        </w:rPr>
        <w:t>7条</w:t>
      </w:r>
      <w:r>
        <w:rPr>
          <w:rFonts w:ascii="Times New Roman" w:hAnsi="Times New Roman"/>
          <w:kern w:val="0"/>
          <w:szCs w:val="32"/>
          <w:highlight w:val="none"/>
        </w:rPr>
        <w:t>道路</w:t>
      </w:r>
      <w:r>
        <w:rPr>
          <w:rFonts w:hint="eastAsia" w:ascii="Times New Roman" w:hAnsi="Times New Roman"/>
          <w:kern w:val="0"/>
          <w:szCs w:val="32"/>
          <w:highlight w:val="none"/>
        </w:rPr>
        <w:t>完成综合</w:t>
      </w:r>
      <w:r>
        <w:rPr>
          <w:rFonts w:ascii="Times New Roman" w:hAnsi="Times New Roman"/>
          <w:kern w:val="0"/>
          <w:szCs w:val="32"/>
          <w:highlight w:val="none"/>
        </w:rPr>
        <w:t>整治</w:t>
      </w:r>
      <w:r>
        <w:rPr>
          <w:rFonts w:hint="eastAsia" w:ascii="Times New Roman" w:hAnsi="Times New Roman"/>
          <w:kern w:val="0"/>
          <w:szCs w:val="32"/>
          <w:highlight w:val="none"/>
        </w:rPr>
        <w:t>，</w:t>
      </w:r>
      <w:r>
        <w:rPr>
          <w:rFonts w:hint="eastAsia" w:ascii="Times New Roman" w:hAnsi="Times New Roman"/>
          <w:szCs w:val="32"/>
          <w:highlight w:val="none"/>
        </w:rPr>
        <w:t>东大影壁、北苑三村等22个老旧小区进行整体改造</w:t>
      </w:r>
      <w:r>
        <w:rPr>
          <w:rFonts w:ascii="Times New Roman" w:hAnsi="Times New Roman"/>
          <w:szCs w:val="32"/>
          <w:highlight w:val="none"/>
        </w:rPr>
        <w:t>，</w:t>
      </w:r>
      <w:r>
        <w:rPr>
          <w:rFonts w:hint="eastAsia" w:ascii="Times New Roman" w:hAnsi="Times New Roman"/>
          <w:szCs w:val="32"/>
          <w:highlight w:val="none"/>
        </w:rPr>
        <w:t>高楼门22号、</w:t>
      </w:r>
      <w:r>
        <w:rPr>
          <w:rFonts w:hint="eastAsia" w:ascii="Times New Roman" w:hAnsi="Times New Roman"/>
          <w:highlight w:val="none"/>
        </w:rPr>
        <w:t>锁金村4号</w:t>
      </w:r>
      <w:r>
        <w:rPr>
          <w:rFonts w:hint="eastAsia" w:ascii="Times New Roman" w:hAnsi="Times New Roman"/>
          <w:szCs w:val="32"/>
          <w:highlight w:val="none"/>
        </w:rPr>
        <w:t>等6幢</w:t>
      </w:r>
      <w:r>
        <w:rPr>
          <w:rFonts w:ascii="Times New Roman" w:hAnsi="Times New Roman"/>
          <w:szCs w:val="32"/>
          <w:highlight w:val="none"/>
        </w:rPr>
        <w:t>危房</w:t>
      </w:r>
      <w:r>
        <w:rPr>
          <w:rFonts w:hint="eastAsia" w:ascii="Times New Roman" w:hAnsi="Times New Roman"/>
          <w:szCs w:val="32"/>
          <w:highlight w:val="none"/>
        </w:rPr>
        <w:t>成功</w:t>
      </w:r>
      <w:r>
        <w:rPr>
          <w:rFonts w:ascii="Times New Roman" w:hAnsi="Times New Roman"/>
          <w:szCs w:val="32"/>
          <w:highlight w:val="none"/>
        </w:rPr>
        <w:t>消险治理</w:t>
      </w:r>
      <w:r>
        <w:rPr>
          <w:rFonts w:hint="eastAsia" w:ascii="Times New Roman" w:hAnsi="Times New Roman"/>
          <w:szCs w:val="32"/>
          <w:highlight w:val="none"/>
        </w:rPr>
        <w:t>，全区首个居住类城市更新卫巷项目启动建设，</w:t>
      </w:r>
      <w:r>
        <w:rPr>
          <w:rFonts w:hint="eastAsia" w:ascii="Times New Roman" w:hAnsi="Times New Roman" w:cs="宋体"/>
          <w:bCs/>
          <w:szCs w:val="32"/>
          <w:highlight w:val="none"/>
        </w:rPr>
        <w:t>珠江路等5幅地块顺利出让</w:t>
      </w:r>
      <w:r>
        <w:rPr>
          <w:rFonts w:hint="eastAsia" w:ascii="Times New Roman" w:hAnsi="Times New Roman"/>
          <w:szCs w:val="32"/>
          <w:highlight w:val="none"/>
        </w:rPr>
        <w:t>。全面启动“一路四环”</w:t>
      </w:r>
      <w:r>
        <w:rPr>
          <w:rFonts w:ascii="Times New Roman" w:hAnsi="Times New Roman"/>
          <w:snapToGrid w:val="0"/>
          <w:kern w:val="0"/>
          <w:highlight w:val="none"/>
          <w:vertAlign w:val="superscript"/>
        </w:rPr>
        <w:t>[</w:t>
      </w:r>
      <w:r>
        <w:rPr>
          <w:rFonts w:hint="eastAsia" w:ascii="Times New Roman" w:hAnsi="Times New Roman"/>
          <w:snapToGrid w:val="0"/>
          <w:kern w:val="0"/>
          <w:highlight w:val="none"/>
          <w:vertAlign w:val="superscript"/>
        </w:rPr>
        <w:t>9</w:t>
      </w:r>
      <w:r>
        <w:rPr>
          <w:rFonts w:ascii="Times New Roman" w:hAnsi="Times New Roman"/>
          <w:snapToGrid w:val="0"/>
          <w:kern w:val="0"/>
          <w:highlight w:val="none"/>
          <w:vertAlign w:val="superscript"/>
        </w:rPr>
        <w:t>]</w:t>
      </w:r>
      <w:r>
        <w:rPr>
          <w:rFonts w:hint="eastAsia" w:ascii="Times New Roman" w:hAnsi="Times New Roman"/>
          <w:szCs w:val="32"/>
          <w:highlight w:val="none"/>
        </w:rPr>
        <w:t>城市更新行动，联合东南大学专家团队多轮研究长江路片区更新方案，深入挖掘沿线13处文博场馆等历史文化资源，全力</w:t>
      </w:r>
      <w:r>
        <w:rPr>
          <w:rFonts w:hint="eastAsia" w:ascii="Times New Roman" w:hAnsi="Times New Roman"/>
          <w:kern w:val="0"/>
          <w:szCs w:val="32"/>
          <w:highlight w:val="none"/>
        </w:rPr>
        <w:t>打造“只此中国的文博街区”；</w:t>
      </w:r>
      <w:r>
        <w:rPr>
          <w:rFonts w:hint="eastAsia" w:ascii="Times New Roman" w:hAnsi="Times New Roman"/>
          <w:szCs w:val="32"/>
          <w:highlight w:val="none"/>
        </w:rPr>
        <w:t>创新采取“政府主导建设+东大设计规划+河西集团商管运营”模式完成蓁巷改造升级，打造街巷业态渐进式更新地标型街区，入选“2025最佳商业街区焕新案例”</w:t>
      </w:r>
      <w:r>
        <w:rPr>
          <w:rFonts w:hint="eastAsia" w:ascii="Times New Roman" w:hAnsi="Times New Roman" w:cstheme="minorBidi"/>
          <w:szCs w:val="32"/>
          <w:highlight w:val="none"/>
        </w:rPr>
        <w:t>；</w:t>
      </w:r>
      <w:r>
        <w:rPr>
          <w:rFonts w:hint="eastAsia" w:ascii="Times New Roman" w:hAnsi="Times New Roman"/>
          <w:szCs w:val="32"/>
          <w:highlight w:val="none"/>
        </w:rPr>
        <w:t>强化环红山森林动物园片区联动发展，</w:t>
      </w:r>
      <w:r>
        <w:rPr>
          <w:rFonts w:hint="eastAsia" w:ascii="Times New Roman" w:hAnsi="Times New Roman"/>
          <w:bCs/>
          <w:snapToGrid w:val="0"/>
          <w:kern w:val="0"/>
          <w:highlight w:val="none"/>
        </w:rPr>
        <w:t>“壮观天下”国际街区成功开街，</w:t>
      </w:r>
      <w:r>
        <w:rPr>
          <w:rFonts w:hint="eastAsia" w:ascii="Times New Roman" w:hAnsi="Times New Roman"/>
          <w:kern w:val="0"/>
          <w:szCs w:val="32"/>
          <w:highlight w:val="none"/>
        </w:rPr>
        <w:t>红山森林动物园南门新区建成开放</w:t>
      </w:r>
      <w:r>
        <w:rPr>
          <w:rFonts w:hint="eastAsia" w:ascii="Times New Roman" w:hAnsi="Times New Roman"/>
          <w:bCs/>
          <w:snapToGrid w:val="0"/>
          <w:kern w:val="0"/>
          <w:highlight w:val="none"/>
        </w:rPr>
        <w:t>，红山南路过街通道开通入选全市“我为群众办实事”年度十佳人气案例</w:t>
      </w:r>
      <w:r>
        <w:rPr>
          <w:rFonts w:hint="eastAsia" w:ascii="Times New Roman" w:hAnsi="Times New Roman"/>
          <w:kern w:val="0"/>
          <w:szCs w:val="32"/>
          <w:highlight w:val="none"/>
        </w:rPr>
        <w:t>。</w:t>
      </w:r>
      <w:r>
        <w:rPr>
          <w:rFonts w:ascii="Times New Roman" w:hAnsi="Times New Roman"/>
          <w:szCs w:val="32"/>
          <w:highlight w:val="none"/>
        </w:rPr>
        <w:t>百子亭历史风貌区</w:t>
      </w:r>
      <w:r>
        <w:rPr>
          <w:rFonts w:hint="eastAsia" w:ascii="Times New Roman" w:hAnsi="Times New Roman"/>
          <w:szCs w:val="32"/>
          <w:highlight w:val="none"/>
        </w:rPr>
        <w:t>、南京全民健身中心</w:t>
      </w:r>
      <w:r>
        <w:rPr>
          <w:rFonts w:ascii="Times New Roman" w:hAnsi="Times New Roman"/>
          <w:szCs w:val="32"/>
          <w:highlight w:val="none"/>
        </w:rPr>
        <w:t>等</w:t>
      </w:r>
      <w:r>
        <w:rPr>
          <w:rFonts w:hint="eastAsia" w:ascii="Times New Roman" w:hAnsi="Times New Roman"/>
          <w:szCs w:val="32"/>
          <w:highlight w:val="none"/>
        </w:rPr>
        <w:t>13</w:t>
      </w:r>
      <w:r>
        <w:rPr>
          <w:rFonts w:ascii="Times New Roman" w:hAnsi="Times New Roman"/>
          <w:szCs w:val="32"/>
          <w:highlight w:val="none"/>
        </w:rPr>
        <w:t>个项目列入市城市更新三年行动计划</w:t>
      </w:r>
      <w:r>
        <w:rPr>
          <w:rFonts w:hint="eastAsia" w:ascii="Times New Roman" w:hAnsi="Times New Roman"/>
          <w:szCs w:val="32"/>
          <w:highlight w:val="none"/>
        </w:rPr>
        <w:t>，省建科院低碳科技办公楼、佳汇大厦入选省第三批城市更新试点项目并建成投用。</w:t>
      </w:r>
      <w:r>
        <w:rPr>
          <w:rFonts w:hint="eastAsia" w:ascii="Times New Roman" w:hAnsi="Times New Roman" w:eastAsia="方正楷体_GBK" w:cs="方正楷体_GBK"/>
          <w:bCs/>
          <w:szCs w:val="32"/>
          <w:highlight w:val="none"/>
        </w:rPr>
        <w:t>精细治理不断深化</w:t>
      </w:r>
      <w:r>
        <w:rPr>
          <w:rFonts w:hint="eastAsia" w:ascii="Times New Roman" w:hAnsi="Times New Roman"/>
          <w:szCs w:val="32"/>
          <w:highlight w:val="none"/>
        </w:rPr>
        <w:t>。对凯润金城、忠林坊等22个片区雨污水管网进行清疏修缮，完成墨香路、红山路等5处积淹水点改造，区“一网统管”平台成功接入省气象台卫星云图等数据，区域</w:t>
      </w:r>
      <w:r>
        <w:rPr>
          <w:rFonts w:ascii="Times New Roman" w:hAnsi="Times New Roman"/>
          <w:szCs w:val="32"/>
          <w:highlight w:val="none"/>
        </w:rPr>
        <w:t>防台防汛</w:t>
      </w:r>
      <w:r>
        <w:rPr>
          <w:rFonts w:hint="eastAsia" w:ascii="Times New Roman" w:hAnsi="Times New Roman"/>
          <w:szCs w:val="32"/>
          <w:highlight w:val="none"/>
        </w:rPr>
        <w:t>能力全面提升。在</w:t>
      </w:r>
      <w:r>
        <w:rPr>
          <w:rFonts w:ascii="Times New Roman" w:hAnsi="Times New Roman"/>
          <w:szCs w:val="32"/>
          <w:highlight w:val="none"/>
        </w:rPr>
        <w:t>核心商圈</w:t>
      </w:r>
      <w:r>
        <w:rPr>
          <w:rFonts w:hint="eastAsia" w:ascii="Times New Roman" w:hAnsi="Times New Roman"/>
          <w:szCs w:val="32"/>
          <w:highlight w:val="none"/>
        </w:rPr>
        <w:t>、热门</w:t>
      </w:r>
      <w:r>
        <w:rPr>
          <w:rFonts w:ascii="Times New Roman" w:hAnsi="Times New Roman"/>
          <w:szCs w:val="32"/>
          <w:highlight w:val="none"/>
        </w:rPr>
        <w:t>景区</w:t>
      </w:r>
      <w:r>
        <w:rPr>
          <w:rFonts w:hint="eastAsia" w:ascii="Times New Roman" w:hAnsi="Times New Roman"/>
          <w:szCs w:val="32"/>
          <w:highlight w:val="none"/>
        </w:rPr>
        <w:t>、</w:t>
      </w:r>
      <w:r>
        <w:rPr>
          <w:rFonts w:ascii="Times New Roman" w:hAnsi="Times New Roman"/>
          <w:szCs w:val="32"/>
          <w:highlight w:val="none"/>
        </w:rPr>
        <w:t>重点路段</w:t>
      </w:r>
      <w:r>
        <w:rPr>
          <w:rFonts w:hint="eastAsia" w:ascii="Times New Roman" w:hAnsi="Times New Roman"/>
          <w:szCs w:val="32"/>
          <w:highlight w:val="none"/>
        </w:rPr>
        <w:t>划定</w:t>
      </w:r>
      <w:r>
        <w:rPr>
          <w:rFonts w:ascii="Times New Roman" w:hAnsi="Times New Roman"/>
          <w:szCs w:val="32"/>
          <w:highlight w:val="none"/>
        </w:rPr>
        <w:t>共享单车禁投区域</w:t>
      </w:r>
      <w:r>
        <w:rPr>
          <w:rFonts w:hint="eastAsia" w:ascii="Times New Roman" w:hAnsi="Times New Roman"/>
          <w:szCs w:val="32"/>
          <w:highlight w:val="none"/>
        </w:rPr>
        <w:t>，通过</w:t>
      </w:r>
      <w:r>
        <w:rPr>
          <w:rFonts w:ascii="Times New Roman" w:hAnsi="Times New Roman"/>
          <w:szCs w:val="32"/>
          <w:highlight w:val="none"/>
        </w:rPr>
        <w:t>升级智能管控系统加强非机动车停放管理</w:t>
      </w:r>
      <w:r>
        <w:rPr>
          <w:rFonts w:hint="eastAsia" w:ascii="Times New Roman" w:hAnsi="Times New Roman"/>
          <w:szCs w:val="32"/>
          <w:highlight w:val="none"/>
        </w:rPr>
        <w:t>，在玄武</w:t>
      </w:r>
      <w:r>
        <w:rPr>
          <w:rFonts w:ascii="Times New Roman" w:hAnsi="Times New Roman"/>
          <w:szCs w:val="32"/>
          <w:highlight w:val="none"/>
        </w:rPr>
        <w:t>招商花园城建设共享停车场</w:t>
      </w:r>
      <w:r>
        <w:rPr>
          <w:rFonts w:hint="eastAsia" w:ascii="Times New Roman" w:hAnsi="Times New Roman"/>
          <w:szCs w:val="32"/>
          <w:highlight w:val="none"/>
        </w:rPr>
        <w:t>缓解红山森林动物园周边停车压力</w:t>
      </w:r>
      <w:r>
        <w:rPr>
          <w:rFonts w:ascii="Times New Roman" w:hAnsi="Times New Roman"/>
          <w:szCs w:val="32"/>
          <w:highlight w:val="none"/>
        </w:rPr>
        <w:t>，</w:t>
      </w:r>
      <w:r>
        <w:rPr>
          <w:rFonts w:hint="eastAsia" w:ascii="Times New Roman" w:hAnsi="Times New Roman"/>
          <w:szCs w:val="32"/>
          <w:highlight w:val="none"/>
        </w:rPr>
        <w:t>全区新增机动车泊位超3000个</w:t>
      </w:r>
      <w:r>
        <w:rPr>
          <w:rFonts w:hint="eastAsia" w:ascii="Times New Roman" w:hAnsi="Times New Roman"/>
          <w:szCs w:val="32"/>
          <w:highlight w:val="none"/>
          <w:lang w:val="zh-CN"/>
        </w:rPr>
        <w:t>。</w:t>
      </w:r>
      <w:r>
        <w:rPr>
          <w:rFonts w:hint="eastAsia" w:ascii="Times New Roman" w:hAnsi="Times New Roman"/>
          <w:szCs w:val="32"/>
          <w:highlight w:val="none"/>
        </w:rPr>
        <w:t>持续推进环卫</w:t>
      </w:r>
      <w:r>
        <w:rPr>
          <w:rFonts w:ascii="Times New Roman" w:hAnsi="Times New Roman"/>
          <w:szCs w:val="32"/>
          <w:highlight w:val="none"/>
        </w:rPr>
        <w:t>基础设施提档升级</w:t>
      </w:r>
      <w:r>
        <w:rPr>
          <w:rFonts w:hint="eastAsia" w:ascii="Times New Roman" w:hAnsi="Times New Roman"/>
          <w:szCs w:val="32"/>
          <w:highlight w:val="none"/>
        </w:rPr>
        <w:t>，</w:t>
      </w:r>
      <w:r>
        <w:rPr>
          <w:rFonts w:ascii="Times New Roman" w:hAnsi="Times New Roman"/>
          <w:szCs w:val="32"/>
          <w:highlight w:val="none"/>
        </w:rPr>
        <w:t>完成聚宝山庄、四牌楼</w:t>
      </w:r>
      <w:r>
        <w:rPr>
          <w:rFonts w:hint="eastAsia" w:ascii="Times New Roman" w:hAnsi="Times New Roman"/>
          <w:szCs w:val="32"/>
          <w:highlight w:val="none"/>
        </w:rPr>
        <w:t>2个</w:t>
      </w:r>
      <w:r>
        <w:rPr>
          <w:rFonts w:ascii="Times New Roman" w:hAnsi="Times New Roman"/>
          <w:szCs w:val="32"/>
          <w:highlight w:val="none"/>
        </w:rPr>
        <w:t>垃圾转运站改造</w:t>
      </w:r>
      <w:r>
        <w:rPr>
          <w:rFonts w:hint="eastAsia" w:ascii="Times New Roman" w:hAnsi="Times New Roman"/>
          <w:szCs w:val="32"/>
          <w:highlight w:val="none"/>
        </w:rPr>
        <w:t>，对</w:t>
      </w:r>
      <w:r>
        <w:rPr>
          <w:rFonts w:ascii="Times New Roman" w:hAnsi="Times New Roman"/>
          <w:szCs w:val="32"/>
          <w:highlight w:val="none"/>
        </w:rPr>
        <w:t>10座公厕</w:t>
      </w:r>
      <w:r>
        <w:rPr>
          <w:rFonts w:hint="eastAsia" w:ascii="Times New Roman" w:hAnsi="Times New Roman"/>
          <w:szCs w:val="32"/>
          <w:highlight w:val="none"/>
        </w:rPr>
        <w:t>进行</w:t>
      </w:r>
      <w:r>
        <w:rPr>
          <w:rFonts w:ascii="Times New Roman" w:hAnsi="Times New Roman"/>
          <w:szCs w:val="32"/>
          <w:highlight w:val="none"/>
        </w:rPr>
        <w:t>适老适幼化改造，</w:t>
      </w:r>
      <w:r>
        <w:rPr>
          <w:rFonts w:hint="eastAsia" w:ascii="Times New Roman" w:hAnsi="Times New Roman"/>
          <w:szCs w:val="32"/>
          <w:highlight w:val="none"/>
        </w:rPr>
        <w:t>全区</w:t>
      </w:r>
      <w:r>
        <w:rPr>
          <w:rFonts w:ascii="Times New Roman" w:hAnsi="Times New Roman"/>
          <w:szCs w:val="32"/>
          <w:highlight w:val="none"/>
        </w:rPr>
        <w:t>97条主次干道</w:t>
      </w:r>
      <w:r>
        <w:rPr>
          <w:rFonts w:hint="eastAsia" w:ascii="Times New Roman" w:hAnsi="Times New Roman"/>
          <w:szCs w:val="32"/>
          <w:highlight w:val="none"/>
        </w:rPr>
        <w:t>全部</w:t>
      </w:r>
      <w:r>
        <w:rPr>
          <w:rFonts w:ascii="Times New Roman" w:hAnsi="Times New Roman"/>
          <w:szCs w:val="32"/>
          <w:highlight w:val="none"/>
        </w:rPr>
        <w:t>实现机械化清扫</w:t>
      </w:r>
      <w:r>
        <w:rPr>
          <w:rFonts w:hint="eastAsia" w:ascii="Times New Roman" w:hAnsi="Times New Roman"/>
          <w:szCs w:val="32"/>
          <w:highlight w:val="none"/>
        </w:rPr>
        <w:t>。</w:t>
      </w:r>
      <w:r>
        <w:rPr>
          <w:rFonts w:hint="eastAsia" w:ascii="Times New Roman" w:hAnsi="Times New Roman" w:eastAsia="方正楷体_GBK" w:cs="方正楷体_GBK"/>
          <w:bCs/>
          <w:szCs w:val="32"/>
          <w:highlight w:val="none"/>
        </w:rPr>
        <w:t>生态环境持续改善。</w:t>
      </w:r>
      <w:bookmarkStart w:id="0" w:name="OLE_LINK7"/>
      <w:bookmarkStart w:id="1" w:name="OLE_LINK9"/>
      <w:r>
        <w:rPr>
          <w:rFonts w:hint="eastAsia" w:ascii="Times New Roman" w:hAnsi="Times New Roman"/>
          <w:szCs w:val="32"/>
          <w:highlight w:val="none"/>
        </w:rPr>
        <w:t>深入推进治气攻坚行动，完成4家企业光氧化催化废气处理低效设施改造，建成7个街道环境空气质量自动监测标准站，</w:t>
      </w:r>
      <w:r>
        <w:rPr>
          <w:rFonts w:hint="eastAsia" w:ascii="Times New Roman" w:hAnsi="Times New Roman"/>
          <w:highlight w:val="none"/>
        </w:rPr>
        <w:t>全区空气优良天数比率88.5%、同比上升1.3%，位列全市第二；PM</w:t>
      </w:r>
      <w:r>
        <w:rPr>
          <w:rFonts w:hint="eastAsia" w:ascii="Times New Roman" w:hAnsi="Times New Roman"/>
          <w:highlight w:val="none"/>
          <w:vertAlign w:val="subscript"/>
        </w:rPr>
        <w:t>2.5</w:t>
      </w:r>
      <w:r>
        <w:rPr>
          <w:rFonts w:hint="eastAsia" w:ascii="Times New Roman" w:hAnsi="Times New Roman"/>
          <w:highlight w:val="none"/>
        </w:rPr>
        <w:t>浓度23.8微克/立方米、同比下降9.8%，位列全市第一。</w:t>
      </w:r>
      <w:r>
        <w:rPr>
          <w:rFonts w:hint="eastAsia" w:ascii="Times New Roman" w:hAnsi="Times New Roman"/>
          <w:szCs w:val="32"/>
          <w:highlight w:val="none"/>
        </w:rPr>
        <w:t>统筹抓好水资源、水环境、水生态治理，紫金山二沟暗涵截流优化改造、街巷雨水管网检测修复等3个续建项目顺利完工，</w:t>
      </w:r>
      <w:r>
        <w:rPr>
          <w:rFonts w:ascii="Times New Roman" w:hAnsi="Times New Roman"/>
          <w:szCs w:val="32"/>
          <w:highlight w:val="none"/>
        </w:rPr>
        <w:t>鸡鸣寺沟、东洼子沟等</w:t>
      </w:r>
      <w:r>
        <w:rPr>
          <w:rFonts w:hint="eastAsia" w:ascii="Times New Roman" w:hAnsi="Times New Roman"/>
          <w:szCs w:val="32"/>
          <w:highlight w:val="none"/>
        </w:rPr>
        <w:t>6</w:t>
      </w:r>
      <w:r>
        <w:rPr>
          <w:rFonts w:ascii="Times New Roman" w:hAnsi="Times New Roman"/>
          <w:szCs w:val="32"/>
          <w:highlight w:val="none"/>
        </w:rPr>
        <w:t>条</w:t>
      </w:r>
      <w:r>
        <w:rPr>
          <w:rFonts w:hint="eastAsia" w:ascii="Times New Roman" w:hAnsi="Times New Roman"/>
          <w:szCs w:val="32"/>
          <w:highlight w:val="none"/>
        </w:rPr>
        <w:t>河道</w:t>
      </w:r>
      <w:r>
        <w:rPr>
          <w:rFonts w:ascii="Times New Roman" w:hAnsi="Times New Roman"/>
          <w:szCs w:val="32"/>
          <w:highlight w:val="none"/>
        </w:rPr>
        <w:t>创成</w:t>
      </w:r>
      <w:r>
        <w:rPr>
          <w:rFonts w:hint="eastAsia" w:ascii="Times New Roman" w:hAnsi="Times New Roman"/>
          <w:szCs w:val="32"/>
          <w:highlight w:val="none"/>
        </w:rPr>
        <w:t>市级</w:t>
      </w:r>
      <w:r>
        <w:rPr>
          <w:rFonts w:ascii="Times New Roman" w:hAnsi="Times New Roman"/>
          <w:szCs w:val="32"/>
          <w:highlight w:val="none"/>
        </w:rPr>
        <w:t>幸福河湖</w:t>
      </w:r>
      <w:r>
        <w:rPr>
          <w:rFonts w:hint="eastAsia" w:ascii="Times New Roman" w:hAnsi="Times New Roman"/>
          <w:szCs w:val="32"/>
          <w:highlight w:val="none"/>
        </w:rPr>
        <w:t>，</w:t>
      </w:r>
      <w:r>
        <w:rPr>
          <w:rFonts w:hint="eastAsia" w:ascii="Times New Roman" w:hAnsi="Times New Roman"/>
          <w:highlight w:val="none"/>
        </w:rPr>
        <w:t>国省考关联断面、市考断面水质稳定达标</w:t>
      </w:r>
      <w:r>
        <w:rPr>
          <w:rFonts w:ascii="Times New Roman" w:hAnsi="Times New Roman"/>
          <w:szCs w:val="32"/>
          <w:highlight w:val="none"/>
        </w:rPr>
        <w:t>。</w:t>
      </w:r>
      <w:r>
        <w:rPr>
          <w:rFonts w:hint="eastAsia" w:ascii="Times New Roman" w:hAnsi="Times New Roman"/>
          <w:szCs w:val="32"/>
          <w:highlight w:val="none"/>
        </w:rPr>
        <w:t>全面</w:t>
      </w:r>
      <w:r>
        <w:rPr>
          <w:rFonts w:ascii="Times New Roman" w:hAnsi="Times New Roman"/>
          <w:szCs w:val="32"/>
          <w:highlight w:val="none"/>
        </w:rPr>
        <w:t>加强危险废物全周期监管</w:t>
      </w:r>
      <w:r>
        <w:rPr>
          <w:rFonts w:hint="eastAsia" w:ascii="Times New Roman" w:hAnsi="Times New Roman"/>
          <w:szCs w:val="32"/>
          <w:highlight w:val="none"/>
        </w:rPr>
        <w:t>，</w:t>
      </w:r>
      <w:r>
        <w:rPr>
          <w:rFonts w:hint="eastAsia" w:ascii="Times New Roman" w:hAnsi="Times New Roman"/>
          <w:highlight w:val="none"/>
        </w:rPr>
        <w:t>开展非法倾倒处置固体废物专项整治行</w:t>
      </w:r>
      <w:r>
        <w:rPr>
          <w:rFonts w:hint="eastAsia" w:ascii="Times New Roman" w:hAnsi="Times New Roman"/>
          <w:highlight w:val="none"/>
        </w:rPr>
        <w:t>动，</w:t>
      </w:r>
      <w:r>
        <w:rPr>
          <w:rFonts w:hint="eastAsia" w:ascii="Times New Roman" w:hAnsi="Times New Roman"/>
          <w:szCs w:val="32"/>
          <w:highlight w:val="none"/>
          <w:shd w:val="clear" w:color="auto" w:fill="FFFFFF"/>
        </w:rPr>
        <w:t>全年</w:t>
      </w:r>
      <w:r>
        <w:rPr>
          <w:rFonts w:hint="eastAsia" w:ascii="Times New Roman" w:hAnsi="Times New Roman"/>
          <w:szCs w:val="32"/>
          <w:highlight w:val="none"/>
        </w:rPr>
        <w:t>安全转移危废</w:t>
      </w:r>
      <w:r>
        <w:rPr>
          <w:rFonts w:ascii="Times New Roman" w:hAnsi="Times New Roman"/>
          <w:highlight w:val="none"/>
        </w:rPr>
        <w:t>1686.6</w:t>
      </w:r>
      <w:r>
        <w:rPr>
          <w:rFonts w:hint="eastAsia" w:ascii="Times New Roman" w:hAnsi="Times New Roman"/>
          <w:szCs w:val="32"/>
          <w:highlight w:val="none"/>
        </w:rPr>
        <w:t>吨、医废近</w:t>
      </w:r>
      <w:r>
        <w:rPr>
          <w:rFonts w:ascii="Times New Roman" w:hAnsi="Times New Roman"/>
          <w:highlight w:val="none"/>
        </w:rPr>
        <w:t>1</w:t>
      </w:r>
      <w:r>
        <w:rPr>
          <w:rFonts w:hint="eastAsia" w:ascii="Times New Roman" w:hAnsi="Times New Roman"/>
          <w:highlight w:val="none"/>
        </w:rPr>
        <w:t>800</w:t>
      </w:r>
      <w:r>
        <w:rPr>
          <w:rFonts w:hint="eastAsia" w:ascii="Times New Roman" w:hAnsi="Times New Roman"/>
          <w:szCs w:val="32"/>
          <w:highlight w:val="none"/>
        </w:rPr>
        <w:t>吨。积极践行绿</w:t>
      </w:r>
      <w:r>
        <w:rPr>
          <w:rFonts w:hint="eastAsia" w:ascii="Times New Roman" w:hAnsi="Times New Roman"/>
          <w:szCs w:val="32"/>
          <w:highlight w:val="none"/>
        </w:rPr>
        <w:t>色低碳理念，在南京维景国际酒店、东方珍珠voco酒店等启动“玄武低碳商旅”项目试点。</w:t>
      </w:r>
      <w:bookmarkEnd w:id="0"/>
      <w:bookmarkEnd w:id="1"/>
      <w:r>
        <w:rPr>
          <w:rFonts w:hint="eastAsia" w:ascii="Times New Roman" w:hAnsi="Times New Roman"/>
          <w:szCs w:val="32"/>
          <w:highlight w:val="none"/>
        </w:rPr>
        <w:t>认真</w:t>
      </w:r>
      <w:r>
        <w:rPr>
          <w:rFonts w:ascii="Times New Roman" w:hAnsi="Times New Roman"/>
          <w:szCs w:val="32"/>
          <w:highlight w:val="none"/>
        </w:rPr>
        <w:t>做好</w:t>
      </w:r>
      <w:r>
        <w:rPr>
          <w:rFonts w:hint="eastAsia" w:ascii="Times New Roman" w:hAnsi="Times New Roman"/>
          <w:szCs w:val="32"/>
          <w:highlight w:val="none"/>
        </w:rPr>
        <w:t>中央和省级生态环保督察交办问题整改，31件信访事项</w:t>
      </w:r>
      <w:r>
        <w:rPr>
          <w:rFonts w:hint="eastAsia" w:ascii="Times New Roman" w:hAnsi="Times New Roman"/>
          <w:highlight w:val="none"/>
        </w:rPr>
        <w:t>高标准完成办理</w:t>
      </w:r>
      <w:r>
        <w:rPr>
          <w:rFonts w:hint="eastAsia" w:ascii="Times New Roman" w:hAnsi="Times New Roman"/>
          <w:szCs w:val="32"/>
          <w:highlight w:val="none"/>
        </w:rPr>
        <w:t>销号</w:t>
      </w:r>
      <w:r>
        <w:rPr>
          <w:rFonts w:hint="eastAsia" w:ascii="Times New Roman" w:hAnsi="Times New Roman"/>
          <w:highlight w:val="none"/>
        </w:rPr>
        <w:t>。在主城率先获得国家生态文明建设示范区殊荣。</w:t>
      </w:r>
    </w:p>
    <w:p w14:paraId="10078039">
      <w:pPr>
        <w:adjustRightInd w:val="0"/>
        <w:ind w:firstLine="640"/>
        <w:rPr>
          <w:rFonts w:ascii="Times New Roman" w:hAnsi="Times New Roman"/>
          <w:bCs/>
          <w:snapToGrid w:val="0"/>
          <w:kern w:val="0"/>
          <w:highlight w:val="none"/>
        </w:rPr>
      </w:pPr>
      <w:r>
        <w:rPr>
          <w:rFonts w:hint="eastAsia" w:ascii="Times New Roman" w:hAnsi="Times New Roman" w:eastAsia="方正黑体_GBK"/>
          <w:highlight w:val="none"/>
        </w:rPr>
        <w:t>坚持兜底线、增福祉，在优化服务中推动民生保障更有温度。</w:t>
      </w:r>
      <w:r>
        <w:rPr>
          <w:rFonts w:hint="eastAsia" w:ascii="Times New Roman" w:hAnsi="Times New Roman"/>
          <w:bCs/>
          <w:snapToGrid w:val="0"/>
          <w:kern w:val="0"/>
          <w:highlight w:val="none"/>
        </w:rPr>
        <w:t>始终把人民对美好生活的向往作为政府矢志不渝的奋斗目标，更加突出优质均衡，更加注重用心用情，民生领域财政支出占比保持在75%以上，年度10项民生实事高标准完成。</w:t>
      </w:r>
      <w:r>
        <w:rPr>
          <w:rFonts w:hint="eastAsia" w:ascii="Times New Roman" w:hAnsi="Times New Roman" w:eastAsia="方正楷体_GBK" w:cs="方正楷体_GBK"/>
          <w:bCs/>
          <w:szCs w:val="32"/>
          <w:highlight w:val="none"/>
        </w:rPr>
        <w:t>织密社会保障网络。</w:t>
      </w:r>
      <w:r>
        <w:rPr>
          <w:rFonts w:hint="eastAsia" w:ascii="Times New Roman" w:hAnsi="Times New Roman"/>
          <w:highlight w:val="none"/>
        </w:rPr>
        <w:t>突出就业优先导向，创新打造“玄武·模数师学院”</w:t>
      </w:r>
      <w:r>
        <w:rPr>
          <w:rFonts w:ascii="Times New Roman" w:hAnsi="Times New Roman"/>
          <w:snapToGrid w:val="0"/>
          <w:kern w:val="0"/>
          <w:highlight w:val="none"/>
          <w:vertAlign w:val="superscript"/>
        </w:rPr>
        <w:t>[</w:t>
      </w:r>
      <w:r>
        <w:rPr>
          <w:rFonts w:hint="eastAsia" w:ascii="Times New Roman" w:hAnsi="Times New Roman"/>
          <w:snapToGrid w:val="0"/>
          <w:kern w:val="0"/>
          <w:highlight w:val="none"/>
          <w:vertAlign w:val="superscript"/>
        </w:rPr>
        <w:t>10</w:t>
      </w:r>
      <w:r>
        <w:rPr>
          <w:rFonts w:ascii="Times New Roman" w:hAnsi="Times New Roman"/>
          <w:snapToGrid w:val="0"/>
          <w:kern w:val="0"/>
          <w:highlight w:val="none"/>
          <w:vertAlign w:val="superscript"/>
        </w:rPr>
        <w:t>]</w:t>
      </w:r>
      <w:r>
        <w:rPr>
          <w:rFonts w:hint="eastAsia" w:ascii="Times New Roman" w:hAnsi="Times New Roman"/>
          <w:highlight w:val="none"/>
        </w:rPr>
        <w:t>，成立人工智能OPC社区</w:t>
      </w:r>
      <w:r>
        <w:rPr>
          <w:rFonts w:ascii="Times New Roman" w:hAnsi="Times New Roman"/>
          <w:snapToGrid w:val="0"/>
          <w:kern w:val="0"/>
          <w:highlight w:val="none"/>
          <w:vertAlign w:val="superscript"/>
        </w:rPr>
        <w:t>[</w:t>
      </w:r>
      <w:r>
        <w:rPr>
          <w:rFonts w:hint="eastAsia" w:ascii="Times New Roman" w:hAnsi="Times New Roman"/>
          <w:snapToGrid w:val="0"/>
          <w:kern w:val="0"/>
          <w:highlight w:val="none"/>
          <w:vertAlign w:val="superscript"/>
        </w:rPr>
        <w:t>11</w:t>
      </w:r>
      <w:r>
        <w:rPr>
          <w:rFonts w:ascii="Times New Roman" w:hAnsi="Times New Roman"/>
          <w:snapToGrid w:val="0"/>
          <w:kern w:val="0"/>
          <w:highlight w:val="none"/>
          <w:vertAlign w:val="superscript"/>
        </w:rPr>
        <w:t>]</w:t>
      </w:r>
      <w:r>
        <w:rPr>
          <w:rFonts w:hint="eastAsia" w:ascii="Times New Roman" w:hAnsi="Times New Roman"/>
          <w:highlight w:val="none"/>
        </w:rPr>
        <w:t>，举办首届“模数杯”挑战赛，首批培训学员就业创业率超80%，全区城镇新增就业1.4万</w:t>
      </w:r>
      <w:r>
        <w:rPr>
          <w:rFonts w:hint="eastAsia" w:ascii="Times New Roman" w:hAnsi="Times New Roman"/>
          <w:szCs w:val="32"/>
          <w:highlight w:val="none"/>
        </w:rPr>
        <w:t>人，支持成功自主创业1100余人</w:t>
      </w:r>
      <w:r>
        <w:rPr>
          <w:rFonts w:hint="eastAsia" w:ascii="Times New Roman" w:hAnsi="Times New Roman"/>
          <w:highlight w:val="none"/>
        </w:rPr>
        <w:t>，入选省级新就业群体工作观察联系点</w:t>
      </w:r>
      <w:r>
        <w:rPr>
          <w:rFonts w:hint="eastAsia" w:ascii="Times New Roman" w:hAnsi="Times New Roman"/>
          <w:szCs w:val="32"/>
          <w:highlight w:val="none"/>
        </w:rPr>
        <w:t>。持续强化民生兜底保障，发放最低生活保障金</w:t>
      </w:r>
      <w:r>
        <w:rPr>
          <w:rFonts w:hint="eastAsia" w:ascii="Times New Roman" w:hAnsi="Times New Roman"/>
          <w:highlight w:val="none"/>
        </w:rPr>
        <w:t>等各类救助补助3500</w:t>
      </w:r>
      <w:r>
        <w:rPr>
          <w:rFonts w:hint="eastAsia" w:ascii="Times New Roman" w:hAnsi="Times New Roman"/>
          <w:szCs w:val="32"/>
          <w:highlight w:val="none"/>
        </w:rPr>
        <w:t>余</w:t>
      </w:r>
      <w:r>
        <w:rPr>
          <w:rFonts w:ascii="Times New Roman" w:hAnsi="Times New Roman"/>
          <w:szCs w:val="32"/>
          <w:highlight w:val="none"/>
        </w:rPr>
        <w:t>万元</w:t>
      </w:r>
      <w:r>
        <w:rPr>
          <w:rFonts w:hint="eastAsia" w:ascii="Times New Roman" w:hAnsi="Times New Roman"/>
          <w:szCs w:val="32"/>
          <w:highlight w:val="none"/>
        </w:rPr>
        <w:t>，为所有在册社会救助保障对象购买“宁惠保”，社会救助“三大工程”</w:t>
      </w:r>
      <w:r>
        <w:rPr>
          <w:rFonts w:ascii="Times New Roman" w:hAnsi="Times New Roman"/>
          <w:snapToGrid w:val="0"/>
          <w:kern w:val="0"/>
          <w:highlight w:val="none"/>
          <w:vertAlign w:val="superscript"/>
        </w:rPr>
        <w:t>[</w:t>
      </w:r>
      <w:r>
        <w:rPr>
          <w:rFonts w:hint="eastAsia" w:ascii="Times New Roman" w:hAnsi="Times New Roman"/>
          <w:snapToGrid w:val="0"/>
          <w:kern w:val="0"/>
          <w:highlight w:val="none"/>
          <w:vertAlign w:val="superscript"/>
        </w:rPr>
        <w:t>12</w:t>
      </w:r>
      <w:r>
        <w:rPr>
          <w:rFonts w:ascii="Times New Roman" w:hAnsi="Times New Roman"/>
          <w:snapToGrid w:val="0"/>
          <w:kern w:val="0"/>
          <w:highlight w:val="none"/>
          <w:vertAlign w:val="superscript"/>
        </w:rPr>
        <w:t>]</w:t>
      </w:r>
      <w:r>
        <w:rPr>
          <w:rFonts w:hint="eastAsia" w:ascii="Times New Roman" w:hAnsi="Times New Roman"/>
          <w:szCs w:val="32"/>
          <w:highlight w:val="none"/>
        </w:rPr>
        <w:t>惠及</w:t>
      </w:r>
      <w:r>
        <w:rPr>
          <w:rFonts w:hint="eastAsia" w:ascii="Times New Roman" w:hAnsi="Times New Roman"/>
          <w:highlight w:val="none"/>
        </w:rPr>
        <w:t>1.4</w:t>
      </w:r>
      <w:r>
        <w:rPr>
          <w:rFonts w:hint="eastAsia" w:ascii="Times New Roman" w:hAnsi="Times New Roman"/>
          <w:szCs w:val="32"/>
          <w:highlight w:val="none"/>
        </w:rPr>
        <w:t>万户次，梅园新村社区获评全国最美志愿服务社区。不断优化完善“一老一小”服务体系，牵头起草《社会力量参与困境儿童服务工作指南》民政行业标准，新增养老床位近200张，</w:t>
      </w:r>
      <w:r>
        <w:rPr>
          <w:rFonts w:ascii="Times New Roman" w:hAnsi="Times New Roman"/>
          <w:szCs w:val="32"/>
          <w:highlight w:val="none"/>
        </w:rPr>
        <w:t>实现省级街道</w:t>
      </w:r>
      <w:r>
        <w:rPr>
          <w:rFonts w:hint="eastAsia" w:ascii="Times New Roman" w:hAnsi="Times New Roman"/>
          <w:szCs w:val="32"/>
          <w:highlight w:val="none"/>
        </w:rPr>
        <w:t>未成年人保护站</w:t>
      </w:r>
      <w:r>
        <w:rPr>
          <w:rFonts w:ascii="Times New Roman" w:hAnsi="Times New Roman"/>
          <w:szCs w:val="32"/>
          <w:highlight w:val="none"/>
        </w:rPr>
        <w:t>全覆盖</w:t>
      </w:r>
      <w:r>
        <w:rPr>
          <w:rFonts w:hint="eastAsia" w:ascii="Times New Roman" w:hAnsi="Times New Roman"/>
          <w:szCs w:val="32"/>
          <w:highlight w:val="none"/>
        </w:rPr>
        <w:t>，徐</w:t>
      </w:r>
      <w:r>
        <w:rPr>
          <w:rFonts w:hint="eastAsia" w:ascii="Times New Roman" w:hAnsi="Times New Roman"/>
          <w:spacing w:val="2"/>
          <w:szCs w:val="32"/>
          <w:highlight w:val="none"/>
        </w:rPr>
        <w:t>庄社区入选全国示范性老年友好型社区建设单位</w:t>
      </w:r>
      <w:r>
        <w:rPr>
          <w:rFonts w:ascii="Times New Roman" w:hAnsi="Times New Roman"/>
          <w:spacing w:val="2"/>
          <w:szCs w:val="32"/>
          <w:highlight w:val="none"/>
        </w:rPr>
        <w:t>。</w:t>
      </w:r>
      <w:r>
        <w:rPr>
          <w:rFonts w:hint="eastAsia" w:ascii="Times New Roman" w:hAnsi="Times New Roman" w:eastAsia="方正楷体_GBK" w:cs="方正楷体_GBK"/>
          <w:bCs/>
          <w:spacing w:val="2"/>
          <w:szCs w:val="32"/>
          <w:highlight w:val="none"/>
        </w:rPr>
        <w:t>强化公共服务供给。</w:t>
      </w:r>
      <w:r>
        <w:rPr>
          <w:rFonts w:hint="eastAsia" w:ascii="Times New Roman" w:hAnsi="Times New Roman"/>
          <w:spacing w:val="2"/>
          <w:szCs w:val="32"/>
          <w:highlight w:val="none"/>
        </w:rPr>
        <w:t>有序实施</w:t>
      </w:r>
      <w:r>
        <w:rPr>
          <w:rFonts w:ascii="Times New Roman" w:hAnsi="Times New Roman"/>
          <w:spacing w:val="2"/>
          <w:szCs w:val="32"/>
          <w:highlight w:val="none"/>
        </w:rPr>
        <w:t>26个</w:t>
      </w:r>
      <w:r>
        <w:rPr>
          <w:rFonts w:hint="eastAsia" w:ascii="Times New Roman" w:hAnsi="Times New Roman"/>
          <w:spacing w:val="2"/>
          <w:szCs w:val="32"/>
          <w:highlight w:val="none"/>
        </w:rPr>
        <w:t>校园</w:t>
      </w:r>
      <w:r>
        <w:rPr>
          <w:rFonts w:ascii="Times New Roman" w:hAnsi="Times New Roman"/>
          <w:spacing w:val="2"/>
          <w:szCs w:val="32"/>
          <w:highlight w:val="none"/>
        </w:rPr>
        <w:t>基建工程</w:t>
      </w:r>
      <w:r>
        <w:rPr>
          <w:rFonts w:hint="eastAsia" w:ascii="Times New Roman" w:hAnsi="Times New Roman"/>
          <w:spacing w:val="2"/>
          <w:szCs w:val="32"/>
          <w:highlight w:val="none"/>
        </w:rPr>
        <w:t>项目，完成义务教育阶段</w:t>
      </w:r>
      <w:r>
        <w:rPr>
          <w:rFonts w:ascii="Times New Roman" w:hAnsi="Times New Roman"/>
          <w:spacing w:val="2"/>
          <w:szCs w:val="32"/>
          <w:highlight w:val="none"/>
        </w:rPr>
        <w:t>6</w:t>
      </w:r>
      <w:r>
        <w:rPr>
          <w:rFonts w:ascii="Times New Roman" w:hAnsi="Times New Roman"/>
          <w:szCs w:val="32"/>
          <w:highlight w:val="none"/>
        </w:rPr>
        <w:t>所学校布局</w:t>
      </w:r>
      <w:r>
        <w:rPr>
          <w:rFonts w:hint="eastAsia" w:ascii="Times New Roman" w:hAnsi="Times New Roman"/>
          <w:szCs w:val="32"/>
          <w:highlight w:val="none"/>
        </w:rPr>
        <w:t>调整，“</w:t>
      </w:r>
      <w:r>
        <w:rPr>
          <w:rFonts w:ascii="Times New Roman" w:hAnsi="Times New Roman"/>
          <w:szCs w:val="32"/>
          <w:highlight w:val="none"/>
        </w:rPr>
        <w:t>课后服务15分钟教育圈</w:t>
      </w:r>
      <w:r>
        <w:rPr>
          <w:rFonts w:hint="eastAsia" w:ascii="Times New Roman" w:hAnsi="Times New Roman"/>
          <w:szCs w:val="32"/>
          <w:highlight w:val="none"/>
        </w:rPr>
        <w:t>”</w:t>
      </w:r>
      <w:r>
        <w:rPr>
          <w:rFonts w:ascii="Times New Roman" w:hAnsi="Times New Roman"/>
          <w:szCs w:val="32"/>
          <w:highlight w:val="none"/>
        </w:rPr>
        <w:t>入选</w:t>
      </w:r>
      <w:r>
        <w:rPr>
          <w:rFonts w:hint="eastAsia" w:ascii="Times New Roman" w:hAnsi="Times New Roman"/>
          <w:szCs w:val="32"/>
          <w:highlight w:val="none"/>
        </w:rPr>
        <w:t>教育部</w:t>
      </w:r>
      <w:r>
        <w:rPr>
          <w:rFonts w:ascii="Times New Roman" w:hAnsi="Times New Roman"/>
          <w:szCs w:val="32"/>
          <w:highlight w:val="none"/>
        </w:rPr>
        <w:t>基础教育</w:t>
      </w:r>
      <w:r>
        <w:rPr>
          <w:rFonts w:hint="eastAsia" w:ascii="Times New Roman" w:hAnsi="Times New Roman"/>
          <w:szCs w:val="32"/>
          <w:highlight w:val="none"/>
        </w:rPr>
        <w:t>创新</w:t>
      </w:r>
      <w:r>
        <w:rPr>
          <w:rFonts w:ascii="Times New Roman" w:hAnsi="Times New Roman"/>
          <w:szCs w:val="32"/>
          <w:highlight w:val="none"/>
        </w:rPr>
        <w:t>案例</w:t>
      </w:r>
      <w:r>
        <w:rPr>
          <w:rFonts w:hint="eastAsia" w:ascii="Times New Roman" w:hAnsi="Times New Roman"/>
          <w:szCs w:val="32"/>
          <w:highlight w:val="none"/>
        </w:rPr>
        <w:t>，全区获评</w:t>
      </w:r>
      <w:r>
        <w:rPr>
          <w:rFonts w:ascii="Times New Roman" w:hAnsi="Times New Roman"/>
          <w:szCs w:val="32"/>
          <w:highlight w:val="none"/>
        </w:rPr>
        <w:t>全国义务教育优质均衡发展区</w:t>
      </w:r>
      <w:r>
        <w:rPr>
          <w:rFonts w:hint="eastAsia" w:ascii="Times New Roman" w:hAnsi="Times New Roman"/>
          <w:szCs w:val="32"/>
          <w:highlight w:val="none"/>
        </w:rPr>
        <w:t>。建设全市首家119—120联动急救站点，建成省级慢病筛防中心，省基层卫生健康综合试验区建设做法连续两年</w:t>
      </w:r>
      <w:r>
        <w:rPr>
          <w:rFonts w:ascii="Times New Roman" w:hAnsi="Times New Roman"/>
          <w:szCs w:val="32"/>
          <w:highlight w:val="none"/>
        </w:rPr>
        <w:t>入选国家卫健委</w:t>
      </w:r>
      <w:r>
        <w:rPr>
          <w:rFonts w:hint="eastAsia" w:ascii="Times New Roman" w:hAnsi="Times New Roman"/>
          <w:szCs w:val="32"/>
          <w:highlight w:val="none"/>
        </w:rPr>
        <w:t>《</w:t>
      </w:r>
      <w:r>
        <w:rPr>
          <w:rFonts w:ascii="Times New Roman" w:hAnsi="Times New Roman"/>
          <w:szCs w:val="32"/>
          <w:highlight w:val="none"/>
        </w:rPr>
        <w:t>基层卫生综合改革典型案例</w:t>
      </w:r>
      <w:r>
        <w:rPr>
          <w:rFonts w:hint="eastAsia" w:ascii="Times New Roman" w:hAnsi="Times New Roman"/>
          <w:szCs w:val="32"/>
          <w:highlight w:val="none"/>
        </w:rPr>
        <w:t>》，樱驼花园社区获评“全国红十字模范单位”，兰园社区卫生服务中心陈璐滢荣获“全国卫生健康系统先进工作者”。以人民城市融创实验室为切入点，全面启动骑手友好小区建设，累计建成全龄友好型社区食堂及老年助餐点</w:t>
      </w:r>
      <w:r>
        <w:rPr>
          <w:rFonts w:hint="eastAsia" w:ascii="Times New Roman" w:hAnsi="Times New Roman"/>
          <w:highlight w:val="none"/>
        </w:rPr>
        <w:t>86</w:t>
      </w:r>
      <w:r>
        <w:rPr>
          <w:rFonts w:hint="eastAsia" w:ascii="Times New Roman" w:hAnsi="Times New Roman"/>
          <w:szCs w:val="32"/>
          <w:highlight w:val="none"/>
        </w:rPr>
        <w:t>个。积极打造“山水为证、情定玄武”婚俗品牌，区婚姻登记处整体迁入玄武湖景区，全国通办以来结婚登记数量同比增加超200%。高质量完成第四次全国文物普查实地调查，依托社会机构开展全民</w:t>
      </w:r>
      <w:r>
        <w:rPr>
          <w:rFonts w:ascii="Times New Roman" w:hAnsi="Times New Roman"/>
          <w:szCs w:val="32"/>
          <w:highlight w:val="none"/>
        </w:rPr>
        <w:t>健身活动</w:t>
      </w:r>
      <w:r>
        <w:rPr>
          <w:rFonts w:hint="eastAsia" w:ascii="Times New Roman" w:hAnsi="Times New Roman"/>
          <w:szCs w:val="32"/>
          <w:highlight w:val="none"/>
        </w:rPr>
        <w:t>超</w:t>
      </w:r>
      <w:r>
        <w:rPr>
          <w:rFonts w:hint="eastAsia" w:ascii="Times New Roman" w:hAnsi="Times New Roman"/>
          <w:highlight w:val="none"/>
        </w:rPr>
        <w:t>200</w:t>
      </w:r>
      <w:r>
        <w:rPr>
          <w:rFonts w:ascii="Times New Roman" w:hAnsi="Times New Roman"/>
          <w:szCs w:val="32"/>
          <w:highlight w:val="none"/>
        </w:rPr>
        <w:t>场次</w:t>
      </w:r>
      <w:r>
        <w:rPr>
          <w:rFonts w:hint="eastAsia" w:ascii="Times New Roman" w:hAnsi="Times New Roman"/>
          <w:szCs w:val="32"/>
          <w:highlight w:val="none"/>
        </w:rPr>
        <w:t>，玄武门街道创新打造“友恭学堂”以文化惠民获《新华日报》点赞，玄武体校</w:t>
      </w:r>
      <w:r>
        <w:rPr>
          <w:rFonts w:ascii="Times New Roman" w:hAnsi="Times New Roman"/>
          <w:szCs w:val="32"/>
          <w:highlight w:val="none"/>
        </w:rPr>
        <w:t>培养输送</w:t>
      </w:r>
      <w:r>
        <w:rPr>
          <w:rFonts w:hint="eastAsia" w:ascii="Times New Roman" w:hAnsi="Times New Roman"/>
          <w:szCs w:val="32"/>
          <w:highlight w:val="none"/>
        </w:rPr>
        <w:t>的2名运动员斩获世界少年</w:t>
      </w:r>
      <w:r>
        <w:rPr>
          <w:rFonts w:ascii="Times New Roman" w:hAnsi="Times New Roman"/>
          <w:szCs w:val="32"/>
          <w:highlight w:val="none"/>
        </w:rPr>
        <w:t>花样游泳</w:t>
      </w:r>
      <w:r>
        <w:rPr>
          <w:rFonts w:hint="eastAsia" w:ascii="Times New Roman" w:hAnsi="Times New Roman"/>
          <w:szCs w:val="32"/>
          <w:highlight w:val="none"/>
        </w:rPr>
        <w:t>锦标赛</w:t>
      </w:r>
      <w:r>
        <w:rPr>
          <w:rFonts w:ascii="Times New Roman" w:hAnsi="Times New Roman"/>
          <w:szCs w:val="32"/>
          <w:highlight w:val="none"/>
        </w:rPr>
        <w:t>金牌</w:t>
      </w:r>
      <w:r>
        <w:rPr>
          <w:rFonts w:hint="eastAsia" w:ascii="Times New Roman" w:hAnsi="Times New Roman"/>
          <w:szCs w:val="32"/>
          <w:highlight w:val="none"/>
        </w:rPr>
        <w:t>。持续深化双拥共建工作，为</w:t>
      </w:r>
      <w:r>
        <w:rPr>
          <w:rFonts w:ascii="Times New Roman" w:hAnsi="Times New Roman"/>
          <w:szCs w:val="32"/>
          <w:highlight w:val="none"/>
        </w:rPr>
        <w:t>17</w:t>
      </w:r>
      <w:r>
        <w:rPr>
          <w:rFonts w:hint="eastAsia" w:ascii="Times New Roman" w:hAnsi="Times New Roman"/>
          <w:szCs w:val="32"/>
          <w:highlight w:val="none"/>
        </w:rPr>
        <w:t>个军队老旧住房小区开展整体改造，“红梅军魂”爱心暑托班托管军人子女做法被央视报道。精心打造“初心之路”“文都南京”2个省级青年学习社项目，金陵STYLE入选省青年发展型街区。</w:t>
      </w:r>
      <w:r>
        <w:rPr>
          <w:rFonts w:hint="eastAsia" w:ascii="Times New Roman" w:hAnsi="Times New Roman" w:eastAsia="方正楷体_GBK" w:cs="方正楷体_GBK"/>
          <w:bCs/>
          <w:szCs w:val="32"/>
          <w:highlight w:val="none"/>
        </w:rPr>
        <w:t>守牢安全稳定底线。</w:t>
      </w:r>
      <w:r>
        <w:rPr>
          <w:rFonts w:hint="eastAsia" w:ascii="Times New Roman" w:hAnsi="Times New Roman"/>
          <w:szCs w:val="32"/>
          <w:highlight w:val="none"/>
        </w:rPr>
        <w:t>深入推进</w:t>
      </w:r>
      <w:r>
        <w:rPr>
          <w:rFonts w:ascii="Times New Roman" w:hAnsi="Times New Roman"/>
          <w:szCs w:val="32"/>
          <w:highlight w:val="none"/>
        </w:rPr>
        <w:t>安全生产治本攻坚三年行动</w:t>
      </w:r>
      <w:r>
        <w:rPr>
          <w:rFonts w:hint="eastAsia" w:ascii="Times New Roman" w:hAnsi="Times New Roman"/>
          <w:szCs w:val="32"/>
          <w:highlight w:val="none"/>
        </w:rPr>
        <w:t>，健全完善街道应急管理—消防一体化工作机制，</w:t>
      </w:r>
      <w:r>
        <w:rPr>
          <w:rFonts w:ascii="Times New Roman" w:hAnsi="Times New Roman"/>
          <w:szCs w:val="32"/>
          <w:highlight w:val="none"/>
        </w:rPr>
        <w:t>扎实</w:t>
      </w:r>
      <w:r>
        <w:rPr>
          <w:rFonts w:hint="eastAsia" w:ascii="Times New Roman" w:hAnsi="Times New Roman"/>
          <w:szCs w:val="32"/>
          <w:highlight w:val="none"/>
        </w:rPr>
        <w:t>开展高层建筑、电动自行车等“一件事”</w:t>
      </w:r>
      <w:r>
        <w:rPr>
          <w:rFonts w:ascii="Times New Roman" w:hAnsi="Times New Roman"/>
          <w:szCs w:val="32"/>
          <w:highlight w:val="none"/>
        </w:rPr>
        <w:t>全链条</w:t>
      </w:r>
      <w:r>
        <w:rPr>
          <w:rFonts w:hint="eastAsia" w:ascii="Times New Roman" w:hAnsi="Times New Roman"/>
          <w:szCs w:val="32"/>
          <w:highlight w:val="none"/>
        </w:rPr>
        <w:t>整治，全面强化</w:t>
      </w:r>
      <w:r>
        <w:rPr>
          <w:rFonts w:hint="eastAsia" w:ascii="Times New Roman" w:hAnsi="Times New Roman"/>
          <w:bCs/>
          <w:szCs w:val="32"/>
          <w:highlight w:val="none"/>
        </w:rPr>
        <w:t>老旧小区、“九小场所”等</w:t>
      </w:r>
      <w:r>
        <w:rPr>
          <w:rFonts w:hint="eastAsia" w:ascii="Times New Roman" w:hAnsi="Times New Roman"/>
          <w:szCs w:val="32"/>
          <w:highlight w:val="none"/>
        </w:rPr>
        <w:t>消防安全治理，柳营专职消防救援队</w:t>
      </w:r>
      <w:r>
        <w:rPr>
          <w:rFonts w:hint="eastAsia" w:ascii="Times New Roman" w:hAnsi="Times New Roman"/>
          <w:spacing w:val="-4"/>
          <w:szCs w:val="32"/>
          <w:highlight w:val="none"/>
        </w:rPr>
        <w:t>建成投勤。持续深化燃气安全“清瓶行动”，在全力推进“瓶改</w:t>
      </w:r>
      <w:r>
        <w:rPr>
          <w:rFonts w:hint="eastAsia" w:ascii="Times New Roman" w:hAnsi="Times New Roman"/>
          <w:szCs w:val="32"/>
          <w:highlight w:val="none"/>
        </w:rPr>
        <w:t>管”的基础上，主动作为推动“瓶改电”工作，实现主城核心区域、重要商业街区餐饮用户瓶装气清零。认真抓好信访积案化解攻坚，中央巡视移交信访事项办结率达</w:t>
      </w:r>
      <w:r>
        <w:rPr>
          <w:rFonts w:hint="eastAsia" w:ascii="Times New Roman" w:hAnsi="Times New Roman"/>
          <w:highlight w:val="none"/>
        </w:rPr>
        <w:t>99</w:t>
      </w:r>
      <w:r>
        <w:rPr>
          <w:rFonts w:hint="eastAsia" w:ascii="Times New Roman" w:hAnsi="Times New Roman"/>
          <w:szCs w:val="32"/>
          <w:highlight w:val="none"/>
        </w:rPr>
        <w:t>%，全年信访总量同比下降9.2%</w:t>
      </w:r>
      <w:r>
        <w:rPr>
          <w:rFonts w:hint="eastAsia" w:ascii="Times New Roman" w:hAnsi="Times New Roman"/>
          <w:bCs/>
          <w:szCs w:val="32"/>
          <w:highlight w:val="none"/>
        </w:rPr>
        <w:t>。</w:t>
      </w:r>
      <w:r>
        <w:rPr>
          <w:rFonts w:hint="eastAsia" w:ascii="Times New Roman" w:hAnsi="Times New Roman"/>
          <w:highlight w:val="none"/>
        </w:rPr>
        <w:t>全区110刑事警情同比下降12%，全年未发生安全生产亡人事故，</w:t>
      </w:r>
      <w:r>
        <w:rPr>
          <w:rFonts w:hint="eastAsia" w:ascii="Times New Roman" w:hAnsi="Times New Roman"/>
          <w:bCs/>
          <w:szCs w:val="32"/>
          <w:highlight w:val="none"/>
        </w:rPr>
        <w:t>社会面大局平稳有序。</w:t>
      </w:r>
    </w:p>
    <w:p w14:paraId="44E1F686">
      <w:pPr>
        <w:ind w:firstLine="640"/>
        <w:rPr>
          <w:rFonts w:ascii="Times New Roman" w:hAnsi="Times New Roman"/>
          <w:highlight w:val="none"/>
        </w:rPr>
      </w:pPr>
      <w:r>
        <w:rPr>
          <w:rFonts w:hint="eastAsia" w:ascii="Times New Roman" w:hAnsi="Times New Roman" w:eastAsia="方正黑体_GBK"/>
          <w:highlight w:val="none"/>
        </w:rPr>
        <w:t>坚持转作风、提效能，在实干担当中推动政府建设全面加强。</w:t>
      </w:r>
      <w:r>
        <w:rPr>
          <w:rFonts w:hint="eastAsia" w:ascii="Times New Roman" w:hAnsi="Times New Roman"/>
          <w:bCs/>
          <w:szCs w:val="32"/>
          <w:highlight w:val="none"/>
        </w:rPr>
        <w:t>自觉将党的领导贯穿政府工作各方面全过程，</w:t>
      </w:r>
      <w:r>
        <w:rPr>
          <w:rFonts w:hint="eastAsia" w:ascii="Times New Roman" w:hAnsi="Times New Roman"/>
          <w:bCs/>
          <w:snapToGrid w:val="0"/>
          <w:kern w:val="0"/>
          <w:highlight w:val="none"/>
        </w:rPr>
        <w:t>以服务型政府建设为引领，</w:t>
      </w:r>
      <w:r>
        <w:rPr>
          <w:rFonts w:hint="eastAsia" w:ascii="Times New Roman" w:hAnsi="Times New Roman"/>
          <w:bCs/>
          <w:szCs w:val="32"/>
          <w:highlight w:val="none"/>
        </w:rPr>
        <w:t>扎实推进政府依法行政，驰而不息整治“四风”，进一步提升服务发展、服务企业、服务群众的能力水平。</w:t>
      </w:r>
      <w:r>
        <w:rPr>
          <w:rFonts w:hint="eastAsia" w:ascii="Times New Roman" w:hAnsi="Times New Roman" w:eastAsia="方正楷体_GBK" w:cs="方正楷体_GBK"/>
          <w:bCs/>
          <w:szCs w:val="32"/>
          <w:highlight w:val="none"/>
        </w:rPr>
        <w:t>政治建设纵深推进。</w:t>
      </w:r>
      <w:r>
        <w:rPr>
          <w:rFonts w:hint="eastAsia" w:ascii="Times New Roman" w:hAnsi="Times New Roman"/>
          <w:szCs w:val="32"/>
          <w:highlight w:val="none"/>
        </w:rPr>
        <w:t>全面贯彻落实党的二十大和二十届历次全会精神，深入学习习近平总书记对江苏工作重要讲话精神，深刻领悟“两个确立”的决定性意义，切实增强“四个意识”、坚定“四个自信”、做到“两个维护”。严守政治纪律和政治规矩，全力做好巡视、审计等各类反馈问题整改工作，“</w:t>
      </w:r>
      <w:r>
        <w:rPr>
          <w:rFonts w:ascii="Times New Roman" w:hAnsi="Times New Roman"/>
          <w:szCs w:val="32"/>
          <w:highlight w:val="none"/>
        </w:rPr>
        <w:t>为企服务仍需优化</w:t>
      </w:r>
      <w:r>
        <w:rPr>
          <w:rFonts w:hint="eastAsia" w:ascii="Times New Roman" w:hAnsi="Times New Roman"/>
          <w:szCs w:val="32"/>
          <w:highlight w:val="none"/>
        </w:rPr>
        <w:t>”“精细化治理还需提升”等反馈问题得到有效解决。严格落实意识形态工作责任制，坚决守牢政府系统意识形态主阵地。</w:t>
      </w:r>
      <w:r>
        <w:rPr>
          <w:rFonts w:hint="eastAsia" w:ascii="Times New Roman" w:hAnsi="Times New Roman" w:eastAsia="方正楷体_GBK" w:cs="方正楷体_GBK"/>
          <w:bCs/>
          <w:szCs w:val="32"/>
          <w:highlight w:val="none"/>
        </w:rPr>
        <w:t>法治建设不断巩固</w:t>
      </w:r>
      <w:r>
        <w:rPr>
          <w:rFonts w:hint="eastAsia" w:ascii="Times New Roman" w:hAnsi="Times New Roman"/>
          <w:szCs w:val="32"/>
          <w:highlight w:val="none"/>
        </w:rPr>
        <w:t>。常态化落实区政府常务会议学法要求，进一步加大政府信息公开力度，严格执行“三重一大”决策、行政应诉、旁听庭审等制度，办结行政复议案件344件，全年涉诉机关负责人出庭应诉率100%。</w:t>
      </w:r>
      <w:r>
        <w:rPr>
          <w:rFonts w:hint="eastAsia" w:ascii="Times New Roman" w:hAnsi="Times New Roman" w:cs="方正仿宋_GBK"/>
          <w:highlight w:val="none"/>
        </w:rPr>
        <w:t>高质量建成区涉外法律服务中心，</w:t>
      </w:r>
      <w:r>
        <w:rPr>
          <w:rFonts w:ascii="Times New Roman" w:hAnsi="Times New Roman"/>
          <w:szCs w:val="32"/>
          <w:highlight w:val="none"/>
        </w:rPr>
        <w:t>扎实</w:t>
      </w:r>
      <w:r>
        <w:rPr>
          <w:rFonts w:hint="eastAsia" w:ascii="Times New Roman" w:hAnsi="Times New Roman"/>
          <w:szCs w:val="32"/>
          <w:highlight w:val="none"/>
        </w:rPr>
        <w:t>推进“</w:t>
      </w:r>
      <w:r>
        <w:rPr>
          <w:rFonts w:ascii="Times New Roman" w:hAnsi="Times New Roman"/>
          <w:szCs w:val="32"/>
          <w:highlight w:val="none"/>
        </w:rPr>
        <w:t>2025年法治为民十件实事项目</w:t>
      </w:r>
      <w:r>
        <w:rPr>
          <w:rFonts w:hint="eastAsia" w:ascii="Times New Roman" w:hAnsi="Times New Roman"/>
          <w:szCs w:val="32"/>
          <w:highlight w:val="none"/>
        </w:rPr>
        <w:t>”</w:t>
      </w:r>
      <w:r>
        <w:rPr>
          <w:rFonts w:ascii="Times New Roman" w:hAnsi="Times New Roman"/>
          <w:szCs w:val="32"/>
          <w:highlight w:val="none"/>
        </w:rPr>
        <w:t>，</w:t>
      </w:r>
      <w:r>
        <w:rPr>
          <w:rFonts w:hint="eastAsia" w:ascii="Times New Roman" w:hAnsi="Times New Roman" w:cs="方正仿宋_GBK"/>
          <w:highlight w:val="none"/>
        </w:rPr>
        <w:t>办理各类法律援助案件611件</w:t>
      </w:r>
      <w:r>
        <w:rPr>
          <w:rFonts w:ascii="Times New Roman" w:hAnsi="Times New Roman"/>
          <w:szCs w:val="32"/>
          <w:highlight w:val="none"/>
        </w:rPr>
        <w:t>。</w:t>
      </w:r>
      <w:r>
        <w:rPr>
          <w:rFonts w:hint="eastAsia" w:ascii="Times New Roman" w:hAnsi="Times New Roman" w:cs="方正仿宋_GBK"/>
          <w:highlight w:val="none"/>
        </w:rPr>
        <w:t>自觉接受</w:t>
      </w:r>
      <w:r>
        <w:rPr>
          <w:rFonts w:hint="eastAsia" w:ascii="Times New Roman" w:hAnsi="Times New Roman"/>
          <w:highlight w:val="none"/>
        </w:rPr>
        <w:t>人大法律监督、政协民主监督</w:t>
      </w:r>
      <w:r>
        <w:rPr>
          <w:rFonts w:hint="eastAsia" w:ascii="Times New Roman" w:hAnsi="Times New Roman" w:cs="方正仿宋_GBK"/>
          <w:highlight w:val="none"/>
        </w:rPr>
        <w:t>，</w:t>
      </w:r>
      <w:r>
        <w:rPr>
          <w:rFonts w:hint="eastAsia" w:ascii="Times New Roman" w:hAnsi="Times New Roman"/>
          <w:szCs w:val="32"/>
          <w:highlight w:val="none"/>
        </w:rPr>
        <w:t>办理人大代表建议137件、政协委员提案131件，</w:t>
      </w:r>
      <w:r>
        <w:rPr>
          <w:rFonts w:hint="eastAsia" w:ascii="Times New Roman" w:hAnsi="Times New Roman" w:cs="方正仿宋_GBK"/>
          <w:highlight w:val="none"/>
        </w:rPr>
        <w:t>办结率均达</w:t>
      </w:r>
      <w:r>
        <w:rPr>
          <w:rFonts w:ascii="Times New Roman" w:hAnsi="Times New Roman"/>
          <w:highlight w:val="none"/>
        </w:rPr>
        <w:t>100%</w:t>
      </w:r>
      <w:r>
        <w:rPr>
          <w:rFonts w:hint="eastAsia" w:ascii="Times New Roman" w:hAnsi="Times New Roman" w:cs="方正仿宋_GBK"/>
          <w:highlight w:val="none"/>
        </w:rPr>
        <w:t>。</w:t>
      </w:r>
      <w:r>
        <w:rPr>
          <w:rFonts w:hint="eastAsia" w:ascii="Times New Roman" w:hAnsi="Times New Roman" w:eastAsia="方正楷体_GBK" w:cs="方正楷体_GBK"/>
          <w:bCs/>
          <w:szCs w:val="32"/>
          <w:highlight w:val="none"/>
        </w:rPr>
        <w:t>作风建设常抓不懈。</w:t>
      </w:r>
      <w:r>
        <w:rPr>
          <w:rFonts w:hint="eastAsia" w:ascii="Times New Roman" w:hAnsi="Times New Roman"/>
          <w:szCs w:val="32"/>
          <w:highlight w:val="none"/>
        </w:rPr>
        <w:t>认真</w:t>
      </w:r>
      <w:r>
        <w:rPr>
          <w:rFonts w:ascii="Times New Roman" w:hAnsi="Times New Roman"/>
          <w:szCs w:val="32"/>
          <w:highlight w:val="none"/>
        </w:rPr>
        <w:t>开展深入贯彻中央八项规定精神学习教育，</w:t>
      </w:r>
      <w:r>
        <w:rPr>
          <w:rFonts w:hint="eastAsia" w:ascii="Times New Roman" w:hAnsi="Times New Roman"/>
          <w:szCs w:val="32"/>
          <w:highlight w:val="none"/>
        </w:rPr>
        <w:t>一体推进学查改，涉企执法等问题得到有效整治，涉企行政检查次数同比下降</w:t>
      </w:r>
      <w:r>
        <w:rPr>
          <w:rFonts w:hint="eastAsia" w:ascii="Times New Roman" w:hAnsi="Times New Roman"/>
          <w:highlight w:val="none"/>
        </w:rPr>
        <w:t>27</w:t>
      </w:r>
      <w:r>
        <w:rPr>
          <w:rFonts w:hint="eastAsia" w:ascii="Times New Roman" w:hAnsi="Times New Roman"/>
          <w:szCs w:val="32"/>
          <w:highlight w:val="none"/>
        </w:rPr>
        <w:t>%。全面落实整治形式主义为基层减负要求，持续推动精文减会落细落到位，会议数量同比下降</w:t>
      </w:r>
      <w:bookmarkStart w:id="2" w:name="OLE_LINK2"/>
      <w:r>
        <w:rPr>
          <w:rFonts w:hint="eastAsia" w:ascii="Times New Roman" w:hAnsi="Times New Roman"/>
          <w:szCs w:val="32"/>
          <w:highlight w:val="none"/>
        </w:rPr>
        <w:t>超</w:t>
      </w:r>
      <w:r>
        <w:rPr>
          <w:rFonts w:hint="eastAsia" w:ascii="Times New Roman" w:hAnsi="Times New Roman"/>
          <w:highlight w:val="none"/>
        </w:rPr>
        <w:t>20</w:t>
      </w:r>
      <w:r>
        <w:rPr>
          <w:rFonts w:hint="eastAsia" w:ascii="Times New Roman" w:hAnsi="Times New Roman"/>
          <w:szCs w:val="32"/>
          <w:highlight w:val="none"/>
        </w:rPr>
        <w:t>%</w:t>
      </w:r>
      <w:bookmarkEnd w:id="2"/>
      <w:r>
        <w:rPr>
          <w:rFonts w:hint="eastAsia" w:ascii="Times New Roman" w:hAnsi="Times New Roman"/>
          <w:szCs w:val="32"/>
          <w:highlight w:val="none"/>
        </w:rPr>
        <w:t>，</w:t>
      </w:r>
      <w:r>
        <w:rPr>
          <w:rFonts w:ascii="Times New Roman" w:hAnsi="Times New Roman"/>
          <w:szCs w:val="32"/>
          <w:highlight w:val="none"/>
        </w:rPr>
        <w:t>街道绩效考核指标较上年压减</w:t>
      </w:r>
      <w:r>
        <w:rPr>
          <w:rFonts w:hint="eastAsia" w:ascii="Times New Roman" w:hAnsi="Times New Roman"/>
          <w:highlight w:val="none"/>
        </w:rPr>
        <w:t>3项</w:t>
      </w:r>
      <w:r>
        <w:rPr>
          <w:rFonts w:hint="eastAsia" w:ascii="Times New Roman" w:hAnsi="Times New Roman"/>
          <w:szCs w:val="32"/>
          <w:highlight w:val="none"/>
        </w:rPr>
        <w:t>。牢固树立</w:t>
      </w:r>
      <w:r>
        <w:rPr>
          <w:rFonts w:hint="eastAsia" w:ascii="Times New Roman" w:hAnsi="Times New Roman" w:cs="方正仿宋_GBK"/>
          <w:szCs w:val="32"/>
          <w:highlight w:val="none"/>
        </w:rPr>
        <w:t>“过紧日子”思想，全面</w:t>
      </w:r>
      <w:r>
        <w:rPr>
          <w:rFonts w:ascii="Times New Roman" w:hAnsi="Times New Roman"/>
          <w:szCs w:val="32"/>
          <w:highlight w:val="none"/>
        </w:rPr>
        <w:t>强化预算</w:t>
      </w:r>
      <w:r>
        <w:rPr>
          <w:rFonts w:hint="eastAsia" w:ascii="Times New Roman" w:hAnsi="Times New Roman"/>
          <w:szCs w:val="32"/>
          <w:highlight w:val="none"/>
        </w:rPr>
        <w:t>管理</w:t>
      </w:r>
      <w:r>
        <w:rPr>
          <w:rFonts w:ascii="Times New Roman" w:hAnsi="Times New Roman"/>
          <w:szCs w:val="32"/>
          <w:highlight w:val="none"/>
        </w:rPr>
        <w:t>，严控一般性及非刚性非必要支出</w:t>
      </w:r>
      <w:r>
        <w:rPr>
          <w:rFonts w:hint="eastAsia" w:ascii="Times New Roman" w:hAnsi="Times New Roman"/>
          <w:szCs w:val="32"/>
          <w:highlight w:val="none"/>
        </w:rPr>
        <w:t>，切实</w:t>
      </w:r>
      <w:r>
        <w:rPr>
          <w:rFonts w:ascii="Times New Roman" w:hAnsi="Times New Roman"/>
          <w:szCs w:val="32"/>
          <w:highlight w:val="none"/>
        </w:rPr>
        <w:t>兜牢</w:t>
      </w:r>
      <w:r>
        <w:rPr>
          <w:rFonts w:hint="eastAsia" w:ascii="Times New Roman" w:hAnsi="Times New Roman"/>
          <w:szCs w:val="32"/>
          <w:highlight w:val="none"/>
        </w:rPr>
        <w:t>“</w:t>
      </w:r>
      <w:r>
        <w:rPr>
          <w:rFonts w:ascii="Times New Roman" w:hAnsi="Times New Roman"/>
          <w:szCs w:val="32"/>
          <w:highlight w:val="none"/>
        </w:rPr>
        <w:t>三保</w:t>
      </w:r>
      <w:r>
        <w:rPr>
          <w:rFonts w:hint="eastAsia" w:ascii="Times New Roman" w:hAnsi="Times New Roman"/>
          <w:szCs w:val="32"/>
          <w:highlight w:val="none"/>
        </w:rPr>
        <w:t>”</w:t>
      </w:r>
      <w:r>
        <w:rPr>
          <w:rFonts w:ascii="Times New Roman" w:hAnsi="Times New Roman"/>
          <w:szCs w:val="32"/>
          <w:highlight w:val="none"/>
        </w:rPr>
        <w:t>底线</w:t>
      </w:r>
      <w:r>
        <w:rPr>
          <w:rFonts w:hint="eastAsia" w:ascii="Times New Roman" w:hAnsi="Times New Roman"/>
          <w:szCs w:val="32"/>
          <w:highlight w:val="none"/>
        </w:rPr>
        <w:t>，</w:t>
      </w:r>
      <w:r>
        <w:rPr>
          <w:rFonts w:hint="eastAsia" w:ascii="Times New Roman" w:hAnsi="Times New Roman"/>
          <w:highlight w:val="none"/>
        </w:rPr>
        <w:t>“</w:t>
      </w:r>
      <w:r>
        <w:rPr>
          <w:rFonts w:ascii="Times New Roman" w:hAnsi="Times New Roman"/>
          <w:highlight w:val="none"/>
        </w:rPr>
        <w:t>三公</w:t>
      </w:r>
      <w:r>
        <w:rPr>
          <w:rFonts w:hint="eastAsia" w:ascii="Times New Roman" w:hAnsi="Times New Roman"/>
          <w:highlight w:val="none"/>
        </w:rPr>
        <w:t>”经费支出同比下降近30%</w:t>
      </w:r>
      <w:r>
        <w:rPr>
          <w:rFonts w:hint="eastAsia" w:ascii="Times New Roman" w:hAnsi="Times New Roman"/>
          <w:szCs w:val="32"/>
          <w:highlight w:val="none"/>
        </w:rPr>
        <w:t>。积极</w:t>
      </w:r>
      <w:r>
        <w:rPr>
          <w:rFonts w:hint="eastAsia" w:ascii="Times New Roman" w:hAnsi="Times New Roman"/>
          <w:highlight w:val="none"/>
        </w:rPr>
        <w:t>推动统计监督和审计监督统筹衔接，认真抓好</w:t>
      </w:r>
      <w:r>
        <w:rPr>
          <w:rFonts w:hint="eastAsia" w:ascii="Times New Roman" w:hAnsi="Times New Roman"/>
          <w:szCs w:val="32"/>
          <w:highlight w:val="none"/>
        </w:rPr>
        <w:t>审计发现问题整改落实，</w:t>
      </w:r>
      <w:r>
        <w:rPr>
          <w:rFonts w:ascii="Times New Roman" w:hAnsi="Times New Roman"/>
          <w:szCs w:val="32"/>
          <w:highlight w:val="none"/>
        </w:rPr>
        <w:t>妥善推动</w:t>
      </w:r>
      <w:r>
        <w:rPr>
          <w:rFonts w:hint="eastAsia" w:ascii="Times New Roman" w:hAnsi="Times New Roman"/>
          <w:szCs w:val="32"/>
          <w:highlight w:val="none"/>
        </w:rPr>
        <w:t>债务</w:t>
      </w:r>
      <w:r>
        <w:rPr>
          <w:rFonts w:ascii="Times New Roman" w:hAnsi="Times New Roman"/>
          <w:szCs w:val="32"/>
          <w:highlight w:val="none"/>
        </w:rPr>
        <w:t>化解，实现财政平稳运行。</w:t>
      </w:r>
      <w:r>
        <w:rPr>
          <w:rFonts w:hint="eastAsia" w:ascii="Times New Roman" w:hAnsi="Times New Roman"/>
          <w:szCs w:val="32"/>
          <w:highlight w:val="none"/>
        </w:rPr>
        <w:t>不断完善公物仓运行机制，有效推</w:t>
      </w:r>
      <w:r>
        <w:rPr>
          <w:rFonts w:hint="eastAsia" w:ascii="Times New Roman" w:hAnsi="Times New Roman"/>
          <w:highlight w:val="none"/>
        </w:rPr>
        <w:t>进各类资产节约集约利用。此外，民宗、对台、侨务、档案、地方志、工商联、妇女儿童、国防动员、人民武装等各项工作取得新进展。</w:t>
      </w:r>
    </w:p>
    <w:p w14:paraId="2250256A">
      <w:pPr>
        <w:ind w:firstLine="640"/>
        <w:rPr>
          <w:rFonts w:ascii="Times New Roman" w:hAnsi="Times New Roman"/>
          <w:highlight w:val="none"/>
        </w:rPr>
      </w:pPr>
      <w:r>
        <w:rPr>
          <w:rFonts w:hint="eastAsia" w:ascii="Times New Roman" w:hAnsi="Times New Roman"/>
          <w:highlight w:val="none"/>
        </w:rPr>
        <w:t>各位代表！“十四五”时期是玄武发展历程中极不平凡的五年。五年来，我们坚持以习近平新时代中国特色社会主义思想为指导，立足省会城市中心城区实际</w:t>
      </w:r>
      <w:r>
        <w:rPr>
          <w:rFonts w:ascii="Times New Roman" w:hAnsi="Times New Roman"/>
          <w:highlight w:val="none"/>
        </w:rPr>
        <w:t>，</w:t>
      </w:r>
      <w:r>
        <w:rPr>
          <w:rFonts w:hint="eastAsia" w:ascii="Times New Roman" w:hAnsi="Times New Roman"/>
          <w:highlight w:val="none"/>
        </w:rPr>
        <w:t>坚定不移走新发展理念指引下的转型之路，</w:t>
      </w:r>
      <w:r>
        <w:rPr>
          <w:rFonts w:ascii="Times New Roman" w:hAnsi="Times New Roman"/>
          <w:highlight w:val="none"/>
        </w:rPr>
        <w:t>沉着应对外部挑战，主动破解复杂局面，</w:t>
      </w:r>
      <w:r>
        <w:rPr>
          <w:rFonts w:hint="eastAsia" w:ascii="Times New Roman" w:hAnsi="Times New Roman"/>
          <w:highlight w:val="none"/>
        </w:rPr>
        <w:t>全力提升经济密度、创新浓度、治理精度、幸福厚度，</w:t>
      </w:r>
      <w:r>
        <w:rPr>
          <w:rFonts w:ascii="Times New Roman" w:hAnsi="Times New Roman"/>
          <w:highlight w:val="none"/>
        </w:rPr>
        <w:t>各项事业呈现蓬勃发展态势</w:t>
      </w:r>
      <w:r>
        <w:rPr>
          <w:rFonts w:hint="eastAsia" w:ascii="Times New Roman" w:hAnsi="Times New Roman"/>
          <w:highlight w:val="none"/>
        </w:rPr>
        <w:t>。</w:t>
      </w:r>
    </w:p>
    <w:p w14:paraId="5CD0D9F6">
      <w:pPr>
        <w:ind w:firstLine="640"/>
        <w:rPr>
          <w:rFonts w:ascii="Times New Roman" w:hAnsi="Times New Roman"/>
          <w:highlight w:val="none"/>
        </w:rPr>
      </w:pPr>
      <w:r>
        <w:rPr>
          <w:rFonts w:hint="eastAsia" w:ascii="Times New Roman" w:hAnsi="Times New Roman" w:eastAsia="方正黑体_GBK" w:cs="方正黑体_GBK"/>
          <w:highlight w:val="none"/>
        </w:rPr>
        <w:t>这五年，玄武综合实力实现大跨越。</w:t>
      </w:r>
      <w:r>
        <w:rPr>
          <w:rFonts w:hint="eastAsia" w:ascii="Times New Roman" w:hAnsi="Times New Roman"/>
          <w:highlight w:val="none"/>
        </w:rPr>
        <w:t>我们牢牢把握高质量发展首要任务，积极应对世纪疫情严重冲击，经济总量相继突破1200亿元、1300亿元两个关口</w:t>
      </w:r>
      <w:r>
        <w:rPr>
          <w:rFonts w:hint="eastAsia" w:ascii="Times New Roman" w:hAnsi="Times New Roman"/>
          <w:highlight w:val="none"/>
        </w:rPr>
        <w:t>，2025年突破1400亿元，以</w:t>
      </w:r>
      <w:r>
        <w:rPr>
          <w:rFonts w:hint="eastAsia" w:ascii="Times New Roman" w:hAnsi="Times New Roman"/>
          <w:highlight w:val="none"/>
        </w:rPr>
        <w:t>全市1%的土地面积贡献7.4%的经济产出，单位面积GDP达</w:t>
      </w:r>
      <w:r>
        <w:rPr>
          <w:rFonts w:hint="eastAsia" w:ascii="Times New Roman" w:hAnsi="Times New Roman"/>
          <w:spacing w:val="-4"/>
          <w:highlight w:val="none"/>
        </w:rPr>
        <w:t>18.6亿元，人均GDP超25万元，一般公共预算收入突破百亿</w:t>
      </w:r>
      <w:r>
        <w:rPr>
          <w:rFonts w:hint="eastAsia" w:ascii="Times New Roman" w:hAnsi="Times New Roman"/>
          <w:highlight w:val="none"/>
        </w:rPr>
        <w:t>元、占全市比重从“十三五”末的5.9%上升至6.6%，服务业增加值占比超98%、位列全市第一，连续四年获评全国创新百强区。</w:t>
      </w:r>
    </w:p>
    <w:p w14:paraId="19007300">
      <w:pPr>
        <w:ind w:firstLine="640"/>
        <w:rPr>
          <w:rFonts w:ascii="Times New Roman" w:hAnsi="Times New Roman"/>
          <w:spacing w:val="-11"/>
          <w:sz w:val="32"/>
          <w:highlight w:val="none"/>
        </w:rPr>
      </w:pPr>
      <w:r>
        <w:rPr>
          <w:rFonts w:hint="eastAsia" w:ascii="Times New Roman" w:hAnsi="Times New Roman" w:eastAsia="方正黑体_GBK" w:cs="方正黑体_GBK"/>
          <w:highlight w:val="none"/>
        </w:rPr>
        <w:t>这五年，玄武产业强区实现大突破。</w:t>
      </w:r>
      <w:r>
        <w:rPr>
          <w:rFonts w:hint="eastAsia" w:ascii="Times New Roman" w:hAnsi="Times New Roman"/>
          <w:highlight w:val="none"/>
        </w:rPr>
        <w:t>我们统筹推进现代化都市型产业体系建设和战略性新兴产业布局，文旅产业占GDP近20%，总部型金融机构达50余家，限上社会消费品零售总额占全市17%、首次位列全市第一，软件信息、生物医药产业营收分</w:t>
      </w:r>
      <w:r>
        <w:rPr>
          <w:rFonts w:hint="eastAsia" w:ascii="Times New Roman" w:hAnsi="Times New Roman"/>
          <w:spacing w:val="-4"/>
          <w:highlight w:val="none"/>
        </w:rPr>
        <w:t>别超500亿元、300亿元，数字中国首批40朵国家行业云落地3朵，全省60个国家备案大模型占了22个，江苏最具代表性的数据和大模型产业园、江苏唯一的绿色低碳服务业集聚区等积极推</w:t>
      </w:r>
      <w:r>
        <w:rPr>
          <w:rFonts w:hint="eastAsia" w:ascii="Times New Roman" w:hAnsi="Times New Roman"/>
          <w:spacing w:val="-11"/>
          <w:sz w:val="32"/>
          <w:highlight w:val="none"/>
        </w:rPr>
        <w:t>进，产业含金量、含绿量、含新量大幅提升，新质生产力</w:t>
      </w:r>
      <w:r>
        <w:rPr>
          <w:rFonts w:hint="eastAsia" w:ascii="Times New Roman" w:hAnsi="Times New Roman"/>
          <w:spacing w:val="-11"/>
          <w:sz w:val="32"/>
          <w:szCs w:val="32"/>
          <w:highlight w:val="none"/>
        </w:rPr>
        <w:t>加快发展</w:t>
      </w:r>
      <w:r>
        <w:rPr>
          <w:rFonts w:hint="eastAsia" w:ascii="Times New Roman" w:hAnsi="Times New Roman"/>
          <w:spacing w:val="-11"/>
          <w:sz w:val="32"/>
          <w:highlight w:val="none"/>
        </w:rPr>
        <w:t>。</w:t>
      </w:r>
    </w:p>
    <w:p w14:paraId="2D5B5916">
      <w:pPr>
        <w:ind w:firstLine="640"/>
        <w:rPr>
          <w:rFonts w:ascii="Times New Roman" w:hAnsi="Times New Roman"/>
          <w:highlight w:val="none"/>
        </w:rPr>
      </w:pPr>
      <w:r>
        <w:rPr>
          <w:rFonts w:hint="eastAsia" w:ascii="Times New Roman" w:hAnsi="Times New Roman" w:eastAsia="方正黑体_GBK" w:cs="方正黑体_GBK"/>
          <w:highlight w:val="none"/>
        </w:rPr>
        <w:t>这五年，玄武改革开放实现大拓展。</w:t>
      </w:r>
      <w:r>
        <w:rPr>
          <w:rFonts w:hint="eastAsia" w:ascii="Times New Roman" w:hAnsi="Times New Roman"/>
          <w:highlight w:val="none"/>
        </w:rPr>
        <w:t>我们持续深化“一区一特色”改革，全面提升对外开放能级，全省率先打造江苏数据流通核心枢纽，以工厂制开创行业大模型产业新模式，</w:t>
      </w:r>
      <w:r>
        <w:rPr>
          <w:rFonts w:hint="eastAsia" w:ascii="Times New Roman" w:hAnsi="Times New Roman"/>
          <w:szCs w:val="32"/>
          <w:highlight w:val="none"/>
        </w:rPr>
        <w:t>382</w:t>
      </w:r>
      <w:r>
        <w:rPr>
          <w:rFonts w:hint="eastAsia" w:ascii="Times New Roman" w:hAnsi="Times New Roman"/>
          <w:highlight w:val="none"/>
        </w:rPr>
        <w:t>项政务服务事项实现“一窗办理”，区属国企资产总额较“十三五”末增长</w:t>
      </w:r>
      <w:r>
        <w:rPr>
          <w:rFonts w:hint="eastAsia" w:ascii="Times New Roman" w:hAnsi="Times New Roman"/>
          <w:szCs w:val="32"/>
          <w:highlight w:val="none"/>
        </w:rPr>
        <w:t>近40</w:t>
      </w:r>
      <w:r>
        <w:rPr>
          <w:rFonts w:hint="eastAsia" w:ascii="Times New Roman" w:hAnsi="Times New Roman"/>
          <w:highlight w:val="none"/>
        </w:rPr>
        <w:t>%，首店发展位列全省各区县之首，建成全国首家综合性律政服务产业园，入选国家知识产权强县建设示范县，成功与意大利首都中心城区结好互访，江苏中亚中心升级为国家级平台并成为元首级外交成果。</w:t>
      </w:r>
    </w:p>
    <w:p w14:paraId="240A029B">
      <w:pPr>
        <w:ind w:firstLine="640"/>
        <w:rPr>
          <w:rFonts w:ascii="Times New Roman" w:hAnsi="Times New Roman"/>
          <w:spacing w:val="-11"/>
          <w:sz w:val="32"/>
          <w:highlight w:val="none"/>
        </w:rPr>
      </w:pPr>
      <w:r>
        <w:rPr>
          <w:rFonts w:hint="eastAsia" w:ascii="Times New Roman" w:hAnsi="Times New Roman" w:eastAsia="方正黑体_GBK" w:cs="方正黑体_GBK"/>
          <w:highlight w:val="none"/>
        </w:rPr>
        <w:t>这五年，玄武城区面貌实现大改善。</w:t>
      </w:r>
      <w:r>
        <w:rPr>
          <w:rFonts w:hint="eastAsia" w:ascii="Times New Roman" w:hAnsi="Times New Roman"/>
          <w:highlight w:val="none"/>
        </w:rPr>
        <w:t>我们系统谋划片区更新、产业焕新、功能革新，17条主次干道、</w:t>
      </w:r>
      <w:r>
        <w:rPr>
          <w:rFonts w:hint="eastAsia" w:ascii="Times New Roman" w:hAnsi="Times New Roman"/>
          <w:szCs w:val="32"/>
          <w:highlight w:val="none"/>
        </w:rPr>
        <w:t>77</w:t>
      </w:r>
      <w:r>
        <w:rPr>
          <w:rFonts w:hint="eastAsia" w:ascii="Times New Roman" w:hAnsi="Times New Roman"/>
          <w:highlight w:val="none"/>
        </w:rPr>
        <w:t>个老旧小区、</w:t>
      </w:r>
      <w:r>
        <w:rPr>
          <w:rFonts w:hint="eastAsia" w:ascii="Times New Roman" w:hAnsi="Times New Roman"/>
          <w:szCs w:val="32"/>
          <w:highlight w:val="none"/>
        </w:rPr>
        <w:t>166</w:t>
      </w:r>
      <w:r>
        <w:rPr>
          <w:rFonts w:hint="eastAsia" w:ascii="Times New Roman" w:hAnsi="Times New Roman"/>
          <w:highlight w:val="none"/>
        </w:rPr>
        <w:t>个片区管网提档升级，红山森林动物园、陵园路步行街、玄武湖东岸</w:t>
      </w:r>
      <w:r>
        <w:rPr>
          <w:rFonts w:hint="eastAsia" w:ascii="Times New Roman" w:hAnsi="Times New Roman"/>
          <w:spacing w:val="6"/>
          <w:highlight w:val="none"/>
        </w:rPr>
        <w:t>等顶流IP加速涌现，特别是红山新城蝶变为产城融合“城市新</w:t>
      </w:r>
      <w:r>
        <w:rPr>
          <w:rFonts w:hint="eastAsia" w:ascii="Times New Roman" w:hAnsi="Times New Roman"/>
          <w:highlight w:val="none"/>
        </w:rPr>
        <w:t>中心”，徐庄高新区以连片低密度载体建设打造高品质“生态硅谷”，全区生态质量指数位列全省第二，绿化覆盖率稳居全</w:t>
      </w:r>
      <w:r>
        <w:rPr>
          <w:rFonts w:hint="eastAsia" w:ascii="Times New Roman" w:hAnsi="Times New Roman"/>
          <w:spacing w:val="-11"/>
          <w:sz w:val="32"/>
          <w:highlight w:val="none"/>
        </w:rPr>
        <w:t>市第一，连续五年入选中国最美县域，城市内涵式发展迈出坚实步伐。</w:t>
      </w:r>
    </w:p>
    <w:p w14:paraId="107BFA6D">
      <w:pPr>
        <w:ind w:firstLine="640"/>
        <w:rPr>
          <w:rFonts w:ascii="Times New Roman" w:hAnsi="Times New Roman"/>
          <w:highlight w:val="none"/>
        </w:rPr>
      </w:pPr>
      <w:r>
        <w:rPr>
          <w:rFonts w:hint="eastAsia" w:ascii="Times New Roman" w:hAnsi="Times New Roman" w:eastAsia="方正黑体_GBK" w:cs="方正黑体_GBK"/>
          <w:highlight w:val="none"/>
        </w:rPr>
        <w:t>这五年，玄武民生福祉实现大提升。</w:t>
      </w:r>
      <w:r>
        <w:rPr>
          <w:rFonts w:hint="eastAsia" w:ascii="Times New Roman" w:hAnsi="Times New Roman"/>
          <w:highlight w:val="none"/>
        </w:rPr>
        <w:t>我们坚持每年把近八成本级财力投入社会民生事业，15分钟教育、医保、养老、生活等服务圈基本实现全覆盖，国企物业托管住宅小区278个、服务居民超6万户，人均可支配收入持续领跑全省，全国首创打造“四位一体”退役军人之家，全省率先试点推广家庭医生服务新模式，获评全国未成年人保护示范区、中国社会治理百强区、全省首批文旅产业融合发展示范区等省级以上荣誉30余项。</w:t>
      </w:r>
    </w:p>
    <w:p w14:paraId="2661E3FB">
      <w:pPr>
        <w:ind w:firstLine="640"/>
        <w:rPr>
          <w:rFonts w:ascii="Times New Roman" w:hAnsi="Times New Roman"/>
          <w:sz w:val="28"/>
          <w:szCs w:val="28"/>
          <w:highlight w:val="none"/>
        </w:rPr>
      </w:pPr>
      <w:r>
        <w:rPr>
          <w:rFonts w:hint="eastAsia" w:ascii="Times New Roman" w:hAnsi="Times New Roman"/>
          <w:highlight w:val="none"/>
        </w:rPr>
        <w:t>各位代表！</w:t>
      </w:r>
      <w:r>
        <w:rPr>
          <w:rFonts w:ascii="Times New Roman" w:hAnsi="Times New Roman"/>
          <w:highlight w:val="none"/>
        </w:rPr>
        <w:t>时间记录坚实的脚步，岁月镌刻拼搏的历程。回首</w:t>
      </w:r>
      <w:r>
        <w:rPr>
          <w:rFonts w:hint="eastAsia" w:ascii="Times New Roman" w:hAnsi="Times New Roman"/>
          <w:highlight w:val="none"/>
        </w:rPr>
        <w:t>“十四五”发展</w:t>
      </w:r>
      <w:r>
        <w:rPr>
          <w:rFonts w:ascii="Times New Roman" w:hAnsi="Times New Roman"/>
          <w:highlight w:val="none"/>
        </w:rPr>
        <w:t>，</w:t>
      </w:r>
      <w:r>
        <w:rPr>
          <w:rFonts w:hint="eastAsia" w:ascii="Times New Roman" w:hAnsi="Times New Roman"/>
          <w:highlight w:val="none"/>
        </w:rPr>
        <w:t>玄武经济社会发展取得了诸多可喜成绩，特别是产业强区建设取得阶段性进展，战略性新兴产业加快集聚成势。我们在积极强化“1+2+2”现代化都市型产业体系的基础上，全面布局数据、大模型、绿色低碳、跨境电商等产业新赛道，中国—中亚贸易畅通合作平台、江苏国际数据港、江苏数据交易所、玄武大模型工厂、国际数碳谷（GDC）等引领性核心平台落地建设，国机数科、中节能大数据、宁德时代时代电服江苏总部、百度南京中心、达索系统智能制造中国总部、</w:t>
      </w:r>
      <w:r>
        <w:rPr>
          <w:rFonts w:hint="eastAsia" w:ascii="Times New Roman" w:hAnsi="Times New Roman"/>
          <w:highlight w:val="none"/>
          <w:lang w:bidi="ar"/>
        </w:rPr>
        <w:t>西门子Xcelerator长三角科创赋能中心等</w:t>
      </w:r>
      <w:r>
        <w:rPr>
          <w:rFonts w:hint="eastAsia" w:ascii="Times New Roman" w:hAnsi="Times New Roman"/>
          <w:highlight w:val="none"/>
        </w:rPr>
        <w:t>高能级产业项目相继落户，产业转型发展迈</w:t>
      </w:r>
      <w:r>
        <w:rPr>
          <w:rFonts w:hint="eastAsia" w:ascii="Times New Roman" w:hAnsi="Times New Roman"/>
          <w:spacing w:val="4"/>
          <w:highlight w:val="none"/>
        </w:rPr>
        <w:t>出坚实的步伐。</w:t>
      </w:r>
      <w:r>
        <w:rPr>
          <w:rFonts w:ascii="Times New Roman" w:hAnsi="Times New Roman"/>
          <w:spacing w:val="4"/>
          <w:highlight w:val="none"/>
        </w:rPr>
        <w:t>成绩</w:t>
      </w:r>
      <w:r>
        <w:rPr>
          <w:rFonts w:hint="eastAsia" w:ascii="Times New Roman" w:hAnsi="Times New Roman"/>
          <w:spacing w:val="4"/>
          <w:highlight w:val="none"/>
        </w:rPr>
        <w:t>的取得</w:t>
      </w:r>
      <w:r>
        <w:rPr>
          <w:rFonts w:ascii="Times New Roman" w:hAnsi="Times New Roman"/>
          <w:spacing w:val="4"/>
          <w:highlight w:val="none"/>
        </w:rPr>
        <w:t>来之不易，根本在于</w:t>
      </w:r>
      <w:r>
        <w:rPr>
          <w:rFonts w:hint="eastAsia" w:ascii="Times New Roman" w:hAnsi="Times New Roman"/>
          <w:spacing w:val="4"/>
          <w:highlight w:val="none"/>
        </w:rPr>
        <w:t>以</w:t>
      </w:r>
      <w:r>
        <w:rPr>
          <w:rFonts w:ascii="Times New Roman" w:hAnsi="Times New Roman"/>
          <w:spacing w:val="4"/>
          <w:highlight w:val="none"/>
        </w:rPr>
        <w:t>习近平</w:t>
      </w:r>
      <w:r>
        <w:rPr>
          <w:rFonts w:hint="eastAsia" w:ascii="Times New Roman" w:hAnsi="Times New Roman"/>
          <w:spacing w:val="4"/>
          <w:highlight w:val="none"/>
        </w:rPr>
        <w:t>同志为</w:t>
      </w:r>
      <w:r>
        <w:rPr>
          <w:rFonts w:hint="eastAsia" w:ascii="Times New Roman" w:hAnsi="Times New Roman"/>
          <w:spacing w:val="-6"/>
          <w:highlight w:val="none"/>
        </w:rPr>
        <w:t>核心的党中央领航</w:t>
      </w:r>
      <w:r>
        <w:rPr>
          <w:rFonts w:ascii="Times New Roman" w:hAnsi="Times New Roman"/>
          <w:spacing w:val="-6"/>
          <w:highlight w:val="none"/>
        </w:rPr>
        <w:t>掌舵，在于习近平新时代中国特色社会主义思</w:t>
      </w:r>
      <w:r>
        <w:rPr>
          <w:rFonts w:ascii="Times New Roman" w:hAnsi="Times New Roman"/>
          <w:highlight w:val="none"/>
        </w:rPr>
        <w:t>想科学指引，是市委、市政府和区委坚强领导的结果，是全区广大党员干部群众</w:t>
      </w:r>
      <w:r>
        <w:rPr>
          <w:rFonts w:hint="eastAsia" w:ascii="Times New Roman" w:hAnsi="Times New Roman"/>
          <w:highlight w:val="none"/>
        </w:rPr>
        <w:t>团结拼搏、真抓实干</w:t>
      </w:r>
      <w:r>
        <w:rPr>
          <w:rFonts w:ascii="Times New Roman" w:hAnsi="Times New Roman"/>
          <w:highlight w:val="none"/>
        </w:rPr>
        <w:t>的结果</w:t>
      </w:r>
      <w:r>
        <w:rPr>
          <w:rFonts w:hint="eastAsia" w:ascii="Times New Roman" w:hAnsi="Times New Roman"/>
          <w:highlight w:val="none"/>
        </w:rPr>
        <w:t>，</w:t>
      </w:r>
      <w:r>
        <w:rPr>
          <w:rFonts w:ascii="Times New Roman" w:hAnsi="Times New Roman"/>
          <w:highlight w:val="none"/>
        </w:rPr>
        <w:t>是</w:t>
      </w:r>
      <w:r>
        <w:rPr>
          <w:rFonts w:hint="eastAsia" w:ascii="Times New Roman" w:hAnsi="Times New Roman"/>
          <w:highlight w:val="none"/>
        </w:rPr>
        <w:t>社会各方面鼎力</w:t>
      </w:r>
      <w:r>
        <w:rPr>
          <w:rFonts w:ascii="Times New Roman" w:hAnsi="Times New Roman"/>
          <w:highlight w:val="none"/>
        </w:rPr>
        <w:t>支</w:t>
      </w:r>
      <w:r>
        <w:rPr>
          <w:rFonts w:ascii="Times New Roman" w:hAnsi="Times New Roman"/>
          <w:spacing w:val="2"/>
          <w:highlight w:val="none"/>
        </w:rPr>
        <w:t>持</w:t>
      </w:r>
      <w:r>
        <w:rPr>
          <w:rFonts w:hint="eastAsia" w:ascii="Times New Roman" w:hAnsi="Times New Roman"/>
          <w:spacing w:val="2"/>
          <w:highlight w:val="none"/>
        </w:rPr>
        <w:t>、倾力</w:t>
      </w:r>
      <w:r>
        <w:rPr>
          <w:rFonts w:ascii="Times New Roman" w:hAnsi="Times New Roman"/>
          <w:spacing w:val="2"/>
          <w:highlight w:val="none"/>
        </w:rPr>
        <w:t>帮助的结果。在此，我代表</w:t>
      </w:r>
      <w:r>
        <w:rPr>
          <w:rFonts w:hint="eastAsia" w:ascii="Times New Roman" w:hAnsi="Times New Roman"/>
          <w:spacing w:val="2"/>
          <w:highlight w:val="none"/>
        </w:rPr>
        <w:t>玄武</w:t>
      </w:r>
      <w:r>
        <w:rPr>
          <w:rFonts w:ascii="Times New Roman" w:hAnsi="Times New Roman"/>
          <w:spacing w:val="2"/>
          <w:highlight w:val="none"/>
        </w:rPr>
        <w:t>区人民政府，</w:t>
      </w:r>
      <w:r>
        <w:rPr>
          <w:rFonts w:hint="eastAsia" w:ascii="Times New Roman" w:hAnsi="Times New Roman"/>
          <w:spacing w:val="2"/>
          <w:highlight w:val="none"/>
        </w:rPr>
        <w:t>向各位区人大代表、政协委员，向在各行各业辛勤工作的全区人民，向所有支持玄武建设发展的各界朋友们，表示崇高的敬意和衷心的感谢！</w:t>
      </w:r>
    </w:p>
    <w:p w14:paraId="24B0CE27">
      <w:pPr>
        <w:ind w:firstLine="640"/>
        <w:rPr>
          <w:rFonts w:ascii="Times New Roman" w:hAnsi="Times New Roman"/>
          <w:highlight w:val="none"/>
        </w:rPr>
      </w:pPr>
      <w:r>
        <w:rPr>
          <w:rFonts w:hint="eastAsia" w:ascii="Times New Roman" w:hAnsi="Times New Roman"/>
          <w:highlight w:val="none"/>
        </w:rPr>
        <w:t>在看到成绩的同时，我们也清醒地认识到，全区经济社会发展仍面临不少问题：</w:t>
      </w:r>
      <w:r>
        <w:rPr>
          <w:rFonts w:hint="eastAsia" w:ascii="Times New Roman" w:hAnsi="Times New Roman" w:eastAsia="方正楷体_GBK"/>
          <w:bCs/>
          <w:highlight w:val="none"/>
        </w:rPr>
        <w:t>一是</w:t>
      </w:r>
      <w:r>
        <w:rPr>
          <w:rFonts w:hint="eastAsia" w:ascii="Times New Roman" w:hAnsi="Times New Roman"/>
          <w:highlight w:val="none"/>
        </w:rPr>
        <w:t>经济运行持续承压，需求不足、预期偏弱等挑战依然存在；</w:t>
      </w:r>
      <w:r>
        <w:rPr>
          <w:rFonts w:hint="eastAsia" w:ascii="Times New Roman" w:hAnsi="Times New Roman" w:eastAsia="方正楷体_GBK"/>
          <w:bCs/>
          <w:highlight w:val="none"/>
        </w:rPr>
        <w:t>二是</w:t>
      </w:r>
      <w:r>
        <w:rPr>
          <w:rFonts w:hint="eastAsia" w:ascii="Times New Roman" w:hAnsi="Times New Roman"/>
          <w:highlight w:val="none"/>
        </w:rPr>
        <w:t>新兴产业生态正在形成，有带动力和引领性的链主企业还不够多；</w:t>
      </w:r>
      <w:r>
        <w:rPr>
          <w:rFonts w:hint="eastAsia" w:ascii="Times New Roman" w:hAnsi="Times New Roman" w:eastAsia="方正楷体_GBK"/>
          <w:bCs/>
          <w:highlight w:val="none"/>
        </w:rPr>
        <w:t>三是</w:t>
      </w:r>
      <w:r>
        <w:rPr>
          <w:rFonts w:ascii="Times New Roman" w:hAnsi="Times New Roman"/>
          <w:highlight w:val="none"/>
        </w:rPr>
        <w:t>精细治理</w:t>
      </w:r>
      <w:r>
        <w:rPr>
          <w:rFonts w:hint="eastAsia" w:ascii="Times New Roman" w:hAnsi="Times New Roman"/>
          <w:highlight w:val="none"/>
        </w:rPr>
        <w:t>还有薄弱环节，优质</w:t>
      </w:r>
      <w:r>
        <w:rPr>
          <w:rFonts w:ascii="Times New Roman" w:hAnsi="Times New Roman"/>
          <w:highlight w:val="none"/>
        </w:rPr>
        <w:t>公共服务</w:t>
      </w:r>
      <w:r>
        <w:rPr>
          <w:rFonts w:hint="eastAsia" w:ascii="Times New Roman" w:hAnsi="Times New Roman"/>
          <w:highlight w:val="none"/>
        </w:rPr>
        <w:t>供给仍有短板</w:t>
      </w:r>
      <w:r>
        <w:rPr>
          <w:rFonts w:ascii="Times New Roman" w:hAnsi="Times New Roman"/>
          <w:highlight w:val="none"/>
        </w:rPr>
        <w:t>。对于这些问题，我们在下一步工作中</w:t>
      </w:r>
      <w:r>
        <w:rPr>
          <w:rFonts w:hint="eastAsia" w:ascii="Times New Roman" w:hAnsi="Times New Roman"/>
          <w:highlight w:val="none"/>
        </w:rPr>
        <w:t>将</w:t>
      </w:r>
      <w:r>
        <w:rPr>
          <w:rFonts w:ascii="Times New Roman" w:hAnsi="Times New Roman"/>
          <w:highlight w:val="none"/>
        </w:rPr>
        <w:t>千方百计解决、竭尽全力突破，用实打实的工作成效回应全区人民群众的期盼。</w:t>
      </w:r>
    </w:p>
    <w:p w14:paraId="7959E757">
      <w:pPr>
        <w:adjustRightInd w:val="0"/>
        <w:spacing w:before="240" w:beforeLines="100" w:after="240" w:afterLines="100"/>
        <w:ind w:firstLine="0" w:firstLineChars="0"/>
        <w:jc w:val="center"/>
        <w:rPr>
          <w:rFonts w:ascii="Times New Roman" w:hAnsi="Times New Roman" w:eastAsia="方正黑体_GBK"/>
          <w:highlight w:val="none"/>
        </w:rPr>
      </w:pPr>
      <w:r>
        <w:rPr>
          <w:rFonts w:hint="eastAsia" w:ascii="Times New Roman" w:hAnsi="Times New Roman" w:eastAsia="方正黑体_GBK"/>
          <w:highlight w:val="none"/>
        </w:rPr>
        <w:t>二、“十五五”发展总体思路和目标任务</w:t>
      </w:r>
    </w:p>
    <w:p w14:paraId="1D798D47">
      <w:pPr>
        <w:adjustRightInd w:val="0"/>
        <w:ind w:firstLine="640"/>
        <w:rPr>
          <w:rFonts w:ascii="Times New Roman" w:hAnsi="Times New Roman"/>
          <w:highlight w:val="none"/>
        </w:rPr>
      </w:pPr>
      <w:r>
        <w:rPr>
          <w:rFonts w:hint="eastAsia" w:ascii="Times New Roman" w:hAnsi="Times New Roman"/>
          <w:szCs w:val="32"/>
          <w:highlight w:val="none"/>
        </w:rPr>
        <w:t>“十五五”</w:t>
      </w:r>
      <w:r>
        <w:rPr>
          <w:rFonts w:ascii="Times New Roman" w:hAnsi="Times New Roman"/>
          <w:szCs w:val="32"/>
          <w:highlight w:val="none"/>
        </w:rPr>
        <w:t>时期是基本实现社会主义现代化夯实基础、全面发力的关键时期，在基本实现社会主义现代化进程中具有承前启后的重要地位。</w:t>
      </w:r>
      <w:r>
        <w:rPr>
          <w:rFonts w:hint="eastAsia" w:ascii="Times New Roman" w:hAnsi="Times New Roman"/>
          <w:highlight w:val="none"/>
        </w:rPr>
        <w:t>根据《中共玄武区委关于制定玄武区国民经济和社会发展第十五个五年规划的建议》，区政府编制了《玄武区国民经济和社会发展第十五个五年规划纲要（草案）》，提请本次大会审议。</w:t>
      </w:r>
    </w:p>
    <w:p w14:paraId="07692819">
      <w:pPr>
        <w:adjustRightInd w:val="0"/>
        <w:ind w:firstLine="640"/>
        <w:rPr>
          <w:rFonts w:ascii="Times New Roman" w:hAnsi="Times New Roman"/>
          <w:highlight w:val="none"/>
        </w:rPr>
      </w:pPr>
      <w:r>
        <w:rPr>
          <w:rFonts w:hint="eastAsia" w:ascii="Times New Roman" w:hAnsi="Times New Roman"/>
          <w:highlight w:val="none"/>
        </w:rPr>
        <w:t>“十五五”时期全区经济社会发展的指导思想是：</w:t>
      </w:r>
      <w:r>
        <w:rPr>
          <w:rFonts w:hint="eastAsia" w:ascii="Times New Roman" w:hAnsi="Times New Roman" w:eastAsia="方正黑体_GBK"/>
          <w:highlight w:val="none"/>
        </w:rPr>
        <w:t>全面贯彻习近平新时代中国特色社会主义思想，深入贯彻党的二十大和二</w:t>
      </w:r>
      <w:r>
        <w:rPr>
          <w:rFonts w:hint="eastAsia" w:ascii="Times New Roman" w:hAnsi="Times New Roman" w:eastAsia="方正黑体_GBK"/>
          <w:spacing w:val="2"/>
          <w:highlight w:val="none"/>
        </w:rPr>
        <w:t>十届历次全会精神，认真学习贯彻习近平总书记对江苏工作重要讲话精神，统筹推进“五位一体”总体布局，协调推进“四个全面”战略布局，统筹国内国际两个大局，完整准确全面贯彻新发展理念，加快构建新发展格局，坚持稳中求进工作总基调，坚持以经济建设为中心，以推动高质量发展为主题，以改革创新为根本动力，以满足人民日益增长的美好生活需要为根本目的，坚定不移走特大城市中心城区转型发展之路，奋力打造国际化活力中心城区，为到2035年基本实现社会主义现代化奠定决定性基础</w:t>
      </w:r>
      <w:r>
        <w:rPr>
          <w:rFonts w:hint="eastAsia" w:ascii="Times New Roman" w:hAnsi="Times New Roman"/>
          <w:spacing w:val="2"/>
          <w:highlight w:val="none"/>
        </w:rPr>
        <w:t>。</w:t>
      </w:r>
    </w:p>
    <w:p w14:paraId="01281CFC">
      <w:pPr>
        <w:adjustRightInd w:val="0"/>
        <w:ind w:firstLine="640"/>
        <w:rPr>
          <w:rFonts w:ascii="Times New Roman" w:hAnsi="Times New Roman"/>
          <w:highlight w:val="none"/>
        </w:rPr>
      </w:pPr>
      <w:r>
        <w:rPr>
          <w:rFonts w:hint="eastAsia" w:ascii="Times New Roman" w:hAnsi="Times New Roman"/>
          <w:highlight w:val="none"/>
        </w:rPr>
        <w:t>“十五五”时期全区经济社会发展的主要目标是：</w:t>
      </w:r>
    </w:p>
    <w:p w14:paraId="7BC60726">
      <w:pPr>
        <w:pStyle w:val="7"/>
        <w:spacing w:after="0" w:line="590" w:lineRule="exact"/>
        <w:ind w:firstLine="640"/>
        <w:rPr>
          <w:rFonts w:ascii="Times New Roman" w:hAnsi="Times New Roman" w:cs="Times New Roman"/>
          <w:highlight w:val="none"/>
        </w:rPr>
      </w:pPr>
      <w:r>
        <w:rPr>
          <w:rFonts w:hint="eastAsia" w:ascii="Times New Roman" w:hAnsi="Times New Roman" w:eastAsia="方正楷体_GBK" w:cs="Times New Roman"/>
          <w:bCs/>
          <w:highlight w:val="none"/>
        </w:rPr>
        <w:t>——建设创新涌动的活力玄武。</w:t>
      </w:r>
      <w:r>
        <w:rPr>
          <w:rFonts w:hint="eastAsia" w:ascii="Times New Roman" w:hAnsi="Times New Roman" w:cs="Times New Roman"/>
          <w:highlight w:val="none"/>
        </w:rPr>
        <w:t>全力</w:t>
      </w:r>
      <w:r>
        <w:rPr>
          <w:rFonts w:ascii="Times New Roman" w:hAnsi="Times New Roman" w:cs="Times New Roman"/>
          <w:highlight w:val="none"/>
        </w:rPr>
        <w:t>推动科技创新和产业创新深度融合，</w:t>
      </w:r>
      <w:r>
        <w:rPr>
          <w:rFonts w:hint="eastAsia" w:ascii="Times New Roman" w:hAnsi="Times New Roman" w:cs="Times New Roman"/>
          <w:highlight w:val="none"/>
        </w:rPr>
        <w:t>积极</w:t>
      </w:r>
      <w:r>
        <w:rPr>
          <w:rFonts w:ascii="Times New Roman" w:hAnsi="Times New Roman" w:cs="Times New Roman"/>
          <w:highlight w:val="none"/>
        </w:rPr>
        <w:t>构建全域创新、全面创新生态，重点创新指标和整体创新能力实现明显进步，重大科技创新平台建设取得新进展，科技成果转化和产业化水平不断提高，生产性服务业向专业化和价值链高端延伸，在紫金山创新带建设中发挥重要作用，新质生产力加快发展。</w:t>
      </w:r>
    </w:p>
    <w:p w14:paraId="6D1C7217">
      <w:pPr>
        <w:pStyle w:val="7"/>
        <w:spacing w:after="0" w:line="590" w:lineRule="exact"/>
        <w:ind w:firstLine="640"/>
        <w:rPr>
          <w:rFonts w:ascii="Times New Roman" w:hAnsi="Times New Roman" w:eastAsia="方正楷体_GBK" w:cs="Times New Roman"/>
          <w:b/>
          <w:bCs/>
          <w:highlight w:val="none"/>
        </w:rPr>
      </w:pPr>
      <w:r>
        <w:rPr>
          <w:rFonts w:hint="eastAsia" w:ascii="Times New Roman" w:hAnsi="Times New Roman" w:eastAsia="方正楷体_GBK" w:cs="Times New Roman"/>
          <w:bCs/>
          <w:highlight w:val="none"/>
        </w:rPr>
        <w:t>——</w:t>
      </w:r>
      <w:r>
        <w:rPr>
          <w:rFonts w:ascii="Times New Roman" w:hAnsi="Times New Roman" w:eastAsia="方正楷体_GBK" w:cs="Times New Roman"/>
          <w:bCs/>
          <w:highlight w:val="none"/>
        </w:rPr>
        <w:t>建设融合畅通的</w:t>
      </w:r>
      <w:r>
        <w:rPr>
          <w:rFonts w:hint="eastAsia" w:ascii="Times New Roman" w:hAnsi="Times New Roman" w:eastAsia="方正楷体_GBK" w:cs="Times New Roman"/>
          <w:bCs/>
          <w:highlight w:val="none"/>
        </w:rPr>
        <w:t>开放玄武</w:t>
      </w:r>
      <w:r>
        <w:rPr>
          <w:rFonts w:ascii="Times New Roman" w:hAnsi="Times New Roman" w:eastAsia="方正楷体_GBK" w:cs="Times New Roman"/>
          <w:bCs/>
          <w:highlight w:val="none"/>
        </w:rPr>
        <w:t>。</w:t>
      </w:r>
      <w:r>
        <w:rPr>
          <w:rFonts w:ascii="Times New Roman" w:hAnsi="Times New Roman" w:cs="Times New Roman"/>
          <w:highlight w:val="none"/>
        </w:rPr>
        <w:t>深度融入</w:t>
      </w:r>
      <w:r>
        <w:rPr>
          <w:rFonts w:hint="eastAsia" w:ascii="Times New Roman" w:hAnsi="Times New Roman" w:cs="Times New Roman"/>
          <w:highlight w:val="none"/>
        </w:rPr>
        <w:t>“一带一路”</w:t>
      </w:r>
      <w:r>
        <w:rPr>
          <w:rFonts w:ascii="Times New Roman" w:hAnsi="Times New Roman" w:cs="Times New Roman"/>
          <w:highlight w:val="none"/>
        </w:rPr>
        <w:t>、长三角一体化发展等国家战略，主动服务构建以国内大循环为主体、国内国际双循环相互促进的新发展格局，高质量建设运营中国</w:t>
      </w:r>
      <w:r>
        <w:rPr>
          <w:rFonts w:hint="eastAsia" w:ascii="Times New Roman" w:hAnsi="Times New Roman" w:cs="Times New Roman"/>
          <w:highlight w:val="none"/>
        </w:rPr>
        <w:t>—</w:t>
      </w:r>
      <w:r>
        <w:rPr>
          <w:rFonts w:ascii="Times New Roman" w:hAnsi="Times New Roman" w:cs="Times New Roman"/>
          <w:spacing w:val="-6"/>
          <w:highlight w:val="none"/>
        </w:rPr>
        <w:t>中亚贸易畅通合作平台，在更高层次上参与国际分工</w:t>
      </w:r>
      <w:r>
        <w:rPr>
          <w:rFonts w:hint="eastAsia" w:ascii="Times New Roman" w:hAnsi="Times New Roman" w:cs="Times New Roman"/>
          <w:spacing w:val="-6"/>
          <w:highlight w:val="none"/>
        </w:rPr>
        <w:t>协作</w:t>
      </w:r>
      <w:r>
        <w:rPr>
          <w:rFonts w:ascii="Times New Roman" w:hAnsi="Times New Roman" w:cs="Times New Roman"/>
          <w:spacing w:val="-6"/>
          <w:highlight w:val="none"/>
        </w:rPr>
        <w:t>，在更</w:t>
      </w:r>
      <w:r>
        <w:rPr>
          <w:rFonts w:ascii="Times New Roman" w:hAnsi="Times New Roman" w:cs="Times New Roman"/>
          <w:highlight w:val="none"/>
        </w:rPr>
        <w:t>高水平上推进国际交流合作，加快形成以国际化平台为引领、国际化配套为基础、国际化要素为支撑的对外开放新格局。</w:t>
      </w:r>
    </w:p>
    <w:p w14:paraId="3015B5AD">
      <w:pPr>
        <w:pStyle w:val="7"/>
        <w:spacing w:after="0" w:line="590" w:lineRule="exact"/>
        <w:ind w:firstLine="640"/>
        <w:rPr>
          <w:rFonts w:ascii="Times New Roman" w:hAnsi="Times New Roman" w:cs="Times New Roman"/>
          <w:highlight w:val="none"/>
        </w:rPr>
      </w:pPr>
      <w:r>
        <w:rPr>
          <w:rFonts w:hint="eastAsia" w:ascii="Times New Roman" w:hAnsi="Times New Roman" w:eastAsia="方正楷体_GBK" w:cs="Times New Roman"/>
          <w:bCs/>
          <w:highlight w:val="none"/>
        </w:rPr>
        <w:t>——建设魅力纷呈的人文玄武</w:t>
      </w:r>
      <w:r>
        <w:rPr>
          <w:rFonts w:ascii="Times New Roman" w:hAnsi="Times New Roman" w:cs="Times New Roman"/>
          <w:bCs/>
          <w:highlight w:val="none"/>
        </w:rPr>
        <w:t>。</w:t>
      </w:r>
      <w:r>
        <w:rPr>
          <w:rFonts w:hint="eastAsia" w:ascii="Times New Roman" w:hAnsi="Times New Roman" w:cs="方正仿宋_GBK"/>
          <w:highlight w:val="none"/>
        </w:rPr>
        <w:t>认真践行人民城市理念，</w:t>
      </w:r>
      <w:r>
        <w:rPr>
          <w:rFonts w:ascii="Times New Roman" w:hAnsi="Times New Roman" w:cs="Times New Roman"/>
          <w:highlight w:val="none"/>
        </w:rPr>
        <w:t>以内涵式发展为主线，以城市更新为抓手，统筹</w:t>
      </w:r>
      <w:r>
        <w:rPr>
          <w:rFonts w:hint="eastAsia" w:ascii="Times New Roman" w:hAnsi="Times New Roman" w:cs="方正仿宋_GBK"/>
          <w:highlight w:val="none"/>
        </w:rPr>
        <w:t>“城区—景区—校区—社区”建设</w:t>
      </w:r>
      <w:r>
        <w:rPr>
          <w:rFonts w:ascii="Times New Roman" w:hAnsi="Times New Roman" w:cs="Times New Roman"/>
          <w:highlight w:val="none"/>
        </w:rPr>
        <w:t>，加强人文经济学探索实践，</w:t>
      </w:r>
      <w:r>
        <w:rPr>
          <w:rFonts w:hint="eastAsia" w:ascii="Times New Roman" w:hAnsi="Times New Roman" w:cs="Times New Roman"/>
          <w:highlight w:val="none"/>
        </w:rPr>
        <w:t>推动</w:t>
      </w:r>
      <w:r>
        <w:rPr>
          <w:rFonts w:ascii="Times New Roman" w:hAnsi="Times New Roman" w:cs="Times New Roman"/>
          <w:highlight w:val="none"/>
        </w:rPr>
        <w:t>古都文化、现代人文与</w:t>
      </w:r>
      <w:r>
        <w:rPr>
          <w:rFonts w:hint="eastAsia" w:ascii="Times New Roman" w:hAnsi="Times New Roman" w:cs="方正仿宋_GBK"/>
          <w:highlight w:val="none"/>
        </w:rPr>
        <w:t>“山水城林”自然风貌深度融合，城市</w:t>
      </w:r>
      <w:r>
        <w:rPr>
          <w:rFonts w:hint="eastAsia" w:ascii="Times New Roman" w:hAnsi="Times New Roman" w:cs="Times New Roman"/>
          <w:highlight w:val="none"/>
        </w:rPr>
        <w:t>空间布局更加合理</w:t>
      </w:r>
      <w:r>
        <w:rPr>
          <w:rFonts w:ascii="Times New Roman" w:hAnsi="Times New Roman" w:cs="Times New Roman"/>
          <w:highlight w:val="none"/>
        </w:rPr>
        <w:t>，绿色</w:t>
      </w:r>
      <w:r>
        <w:rPr>
          <w:rFonts w:hint="eastAsia" w:ascii="Times New Roman" w:hAnsi="Times New Roman" w:cs="Times New Roman"/>
          <w:highlight w:val="none"/>
        </w:rPr>
        <w:t>生产生活方式基本形成</w:t>
      </w:r>
      <w:r>
        <w:rPr>
          <w:rFonts w:ascii="Times New Roman" w:hAnsi="Times New Roman" w:cs="Times New Roman"/>
          <w:highlight w:val="none"/>
        </w:rPr>
        <w:t>，</w:t>
      </w:r>
      <w:r>
        <w:rPr>
          <w:rFonts w:hint="eastAsia" w:ascii="Times New Roman" w:hAnsi="Times New Roman" w:cs="Times New Roman"/>
          <w:highlight w:val="none"/>
        </w:rPr>
        <w:t>历史文化资源保护利用成效显著，老城区不断焕发新活力、新城区全面展现新面貌</w:t>
      </w:r>
      <w:r>
        <w:rPr>
          <w:rFonts w:ascii="Times New Roman" w:hAnsi="Times New Roman" w:cs="Times New Roman"/>
          <w:highlight w:val="none"/>
        </w:rPr>
        <w:t>。</w:t>
      </w:r>
    </w:p>
    <w:p w14:paraId="7BF55888">
      <w:pPr>
        <w:pStyle w:val="7"/>
        <w:spacing w:after="0" w:line="590" w:lineRule="exact"/>
        <w:ind w:firstLine="640"/>
        <w:rPr>
          <w:rFonts w:ascii="Times New Roman" w:hAnsi="Times New Roman" w:cs="Times New Roman"/>
          <w:highlight w:val="none"/>
        </w:rPr>
      </w:pPr>
      <w:r>
        <w:rPr>
          <w:rFonts w:hint="eastAsia" w:ascii="Times New Roman" w:hAnsi="Times New Roman" w:eastAsia="方正楷体_GBK" w:cs="Times New Roman"/>
          <w:bCs/>
          <w:highlight w:val="none"/>
        </w:rPr>
        <w:t>——建设全龄友好的幸福玄武。</w:t>
      </w:r>
      <w:r>
        <w:rPr>
          <w:rFonts w:ascii="Times New Roman" w:hAnsi="Times New Roman" w:cs="Times New Roman"/>
          <w:highlight w:val="none"/>
        </w:rPr>
        <w:t>坚持</w:t>
      </w:r>
      <w:r>
        <w:rPr>
          <w:rFonts w:hint="eastAsia" w:ascii="Times New Roman" w:hAnsi="Times New Roman" w:cs="方正仿宋_GBK"/>
          <w:highlight w:val="none"/>
        </w:rPr>
        <w:t>“人产城”</w:t>
      </w:r>
      <w:r>
        <w:rPr>
          <w:rFonts w:ascii="Times New Roman" w:hAnsi="Times New Roman" w:cs="Times New Roman"/>
          <w:highlight w:val="none"/>
        </w:rPr>
        <w:t>融合</w:t>
      </w:r>
      <w:r>
        <w:rPr>
          <w:rFonts w:hint="eastAsia" w:ascii="Times New Roman" w:hAnsi="Times New Roman" w:cs="Times New Roman"/>
          <w:highlight w:val="none"/>
        </w:rPr>
        <w:t>发展</w:t>
      </w:r>
      <w:r>
        <w:rPr>
          <w:rFonts w:ascii="Times New Roman" w:hAnsi="Times New Roman" w:cs="Times New Roman"/>
          <w:highlight w:val="none"/>
        </w:rPr>
        <w:t>，</w:t>
      </w:r>
      <w:r>
        <w:rPr>
          <w:rFonts w:hint="eastAsia" w:ascii="Times New Roman" w:hAnsi="Times New Roman" w:cs="Times New Roman"/>
          <w:highlight w:val="none"/>
        </w:rPr>
        <w:t>认真</w:t>
      </w:r>
      <w:r>
        <w:rPr>
          <w:rFonts w:ascii="Times New Roman" w:hAnsi="Times New Roman" w:cs="Times New Roman"/>
          <w:highlight w:val="none"/>
        </w:rPr>
        <w:t>抓好人口质量提升和人才有效使用，扎实推进青年发展型城区建设，</w:t>
      </w:r>
      <w:r>
        <w:rPr>
          <w:rFonts w:hint="eastAsia" w:ascii="Times New Roman" w:hAnsi="Times New Roman" w:cs="Times New Roman"/>
          <w:highlight w:val="none"/>
        </w:rPr>
        <w:t>实现更加充分更高质量就业，教育、医疗、养老等基本公共服务优质均衡发展，平安玄武、法治玄武建设高水平推进，多层次社会保障体系更加健全，城市治理更加智慧化精细化，全体人民共同富裕取得积极进展</w:t>
      </w:r>
      <w:r>
        <w:rPr>
          <w:rFonts w:ascii="Times New Roman" w:hAnsi="Times New Roman" w:cs="Times New Roman"/>
          <w:highlight w:val="none"/>
        </w:rPr>
        <w:t>。</w:t>
      </w:r>
    </w:p>
    <w:p w14:paraId="5EC43560">
      <w:pPr>
        <w:adjustRightInd w:val="0"/>
        <w:spacing w:before="240" w:beforeLines="100" w:after="240" w:afterLines="100"/>
        <w:ind w:firstLine="0" w:firstLineChars="0"/>
        <w:jc w:val="center"/>
        <w:rPr>
          <w:rFonts w:ascii="Times New Roman" w:hAnsi="Times New Roman" w:eastAsia="方正黑体_GBK"/>
          <w:highlight w:val="none"/>
        </w:rPr>
      </w:pPr>
      <w:r>
        <w:rPr>
          <w:rFonts w:hint="eastAsia" w:ascii="Times New Roman" w:hAnsi="Times New Roman" w:eastAsia="方正黑体_GBK"/>
          <w:highlight w:val="none"/>
        </w:rPr>
        <w:t>三、2026年主要工作安排</w:t>
      </w:r>
    </w:p>
    <w:p w14:paraId="07131188">
      <w:pPr>
        <w:adjustRightInd w:val="0"/>
        <w:ind w:firstLine="640"/>
        <w:rPr>
          <w:rFonts w:ascii="Times New Roman" w:hAnsi="Times New Roman"/>
          <w:highlight w:val="none"/>
        </w:rPr>
      </w:pPr>
      <w:r>
        <w:rPr>
          <w:rFonts w:hint="eastAsia" w:ascii="Times New Roman" w:hAnsi="Times New Roman"/>
          <w:szCs w:val="22"/>
          <w:highlight w:val="none"/>
        </w:rPr>
        <w:t>2026年是“十五五”开局之年。</w:t>
      </w:r>
      <w:r>
        <w:rPr>
          <w:rFonts w:hint="eastAsia" w:ascii="Times New Roman" w:hAnsi="Times New Roman" w:eastAsia="方正黑体_GBK"/>
          <w:highlight w:val="none"/>
        </w:rPr>
        <w:t>做好今年政府工作，要</w:t>
      </w:r>
      <w:r>
        <w:rPr>
          <w:rFonts w:ascii="Times New Roman" w:hAnsi="Times New Roman" w:eastAsia="方正黑体_GBK"/>
          <w:highlight w:val="none"/>
        </w:rPr>
        <w:t>以习近平总书记对江苏工作重要讲话精神为根本遵循，</w:t>
      </w:r>
      <w:r>
        <w:rPr>
          <w:rFonts w:hint="eastAsia" w:ascii="Times New Roman" w:hAnsi="Times New Roman" w:eastAsia="方正黑体_GBK"/>
          <w:highlight w:val="none"/>
        </w:rPr>
        <w:t>坚持稳中求进工作总基调，持</w:t>
      </w:r>
      <w:r>
        <w:rPr>
          <w:rFonts w:hint="eastAsia" w:ascii="Times New Roman" w:hAnsi="Times New Roman" w:eastAsia="方正黑体_GBK"/>
          <w:spacing w:val="2"/>
          <w:highlight w:val="none"/>
        </w:rPr>
        <w:t>续扩大内需、优化供给，做优增量、盘活存量，因地制宜发展新</w:t>
      </w:r>
      <w:r>
        <w:rPr>
          <w:rFonts w:hint="eastAsia" w:ascii="Times New Roman" w:hAnsi="Times New Roman" w:eastAsia="方正黑体_GBK"/>
          <w:spacing w:val="4"/>
          <w:highlight w:val="none"/>
        </w:rPr>
        <w:t>质生产力，推动经济实现质的有效提升和量的合理增长，保持</w:t>
      </w:r>
      <w:r>
        <w:rPr>
          <w:rFonts w:hint="eastAsia" w:ascii="Times New Roman" w:hAnsi="Times New Roman" w:eastAsia="方正黑体_GBK"/>
          <w:highlight w:val="none"/>
        </w:rPr>
        <w:t>社会和谐稳定，确保“十五五”发展开好局、起好步。</w:t>
      </w:r>
      <w:r>
        <w:rPr>
          <w:rFonts w:hint="eastAsia" w:ascii="Times New Roman" w:hAnsi="Times New Roman"/>
          <w:highlight w:val="none"/>
        </w:rPr>
        <w:t>综合考</w:t>
      </w:r>
      <w:r>
        <w:rPr>
          <w:rFonts w:hint="eastAsia" w:ascii="Times New Roman" w:hAnsi="Times New Roman"/>
          <w:spacing w:val="4"/>
          <w:highlight w:val="none"/>
        </w:rPr>
        <w:t>虑各方面因素，建议今年经济社会发展的预期性指标为：</w:t>
      </w:r>
      <w:r>
        <w:rPr>
          <w:rFonts w:ascii="Times New Roman" w:hAnsi="Times New Roman"/>
          <w:spacing w:val="4"/>
          <w:highlight w:val="none"/>
        </w:rPr>
        <w:t>地区生产总值增长</w:t>
      </w:r>
      <w:r>
        <w:rPr>
          <w:rFonts w:hint="eastAsia" w:ascii="Times New Roman" w:hAnsi="Times New Roman"/>
          <w:spacing w:val="4"/>
          <w:highlight w:val="none"/>
        </w:rPr>
        <w:t>5%以上</w:t>
      </w:r>
      <w:r>
        <w:rPr>
          <w:rFonts w:ascii="Times New Roman" w:hAnsi="Times New Roman"/>
          <w:spacing w:val="4"/>
          <w:highlight w:val="none"/>
        </w:rPr>
        <w:t>，社会消费品零售总额增长</w:t>
      </w:r>
      <w:r>
        <w:rPr>
          <w:rFonts w:hint="eastAsia" w:ascii="Times New Roman" w:hAnsi="Times New Roman"/>
          <w:spacing w:val="4"/>
          <w:highlight w:val="none"/>
        </w:rPr>
        <w:t>4.5%</w:t>
      </w:r>
      <w:r>
        <w:rPr>
          <w:rFonts w:ascii="Times New Roman" w:hAnsi="Times New Roman"/>
          <w:spacing w:val="4"/>
          <w:highlight w:val="none"/>
        </w:rPr>
        <w:t>，一般公共预</w:t>
      </w:r>
      <w:r>
        <w:rPr>
          <w:rFonts w:ascii="Times New Roman" w:hAnsi="Times New Roman"/>
          <w:spacing w:val="2"/>
          <w:highlight w:val="none"/>
        </w:rPr>
        <w:t>算收入增长</w:t>
      </w:r>
      <w:r>
        <w:rPr>
          <w:rFonts w:hint="eastAsia" w:ascii="Times New Roman" w:hAnsi="Times New Roman"/>
          <w:spacing w:val="2"/>
          <w:highlight w:val="none"/>
        </w:rPr>
        <w:t>1%</w:t>
      </w:r>
      <w:r>
        <w:rPr>
          <w:rFonts w:ascii="Times New Roman" w:hAnsi="Times New Roman"/>
          <w:spacing w:val="2"/>
          <w:highlight w:val="none"/>
        </w:rPr>
        <w:t>，全社会固定资产投资</w:t>
      </w:r>
      <w:r>
        <w:rPr>
          <w:rFonts w:hint="eastAsia" w:ascii="Times New Roman" w:hAnsi="Times New Roman"/>
          <w:spacing w:val="2"/>
          <w:highlight w:val="none"/>
        </w:rPr>
        <w:t>回稳增效</w:t>
      </w:r>
      <w:r>
        <w:rPr>
          <w:rFonts w:ascii="Times New Roman" w:hAnsi="Times New Roman"/>
          <w:spacing w:val="2"/>
          <w:highlight w:val="none"/>
        </w:rPr>
        <w:t>，外贸进出口总额</w:t>
      </w:r>
      <w:r>
        <w:rPr>
          <w:rFonts w:hint="eastAsia" w:ascii="Times New Roman" w:hAnsi="Times New Roman"/>
          <w:spacing w:val="2"/>
          <w:highlight w:val="none"/>
        </w:rPr>
        <w:t>、实际利用外资稳中提质</w:t>
      </w:r>
      <w:r>
        <w:rPr>
          <w:rFonts w:ascii="Times New Roman" w:hAnsi="Times New Roman"/>
          <w:spacing w:val="2"/>
          <w:highlight w:val="none"/>
        </w:rPr>
        <w:t>，居民人均可支配收入与经济增长</w:t>
      </w:r>
      <w:r>
        <w:rPr>
          <w:rFonts w:hint="eastAsia" w:ascii="Times New Roman" w:hAnsi="Times New Roman"/>
          <w:spacing w:val="2"/>
          <w:highlight w:val="none"/>
        </w:rPr>
        <w:t>基本</w:t>
      </w:r>
      <w:r>
        <w:rPr>
          <w:rFonts w:ascii="Times New Roman" w:hAnsi="Times New Roman"/>
          <w:spacing w:val="2"/>
          <w:highlight w:val="none"/>
        </w:rPr>
        <w:t>同步。</w:t>
      </w:r>
    </w:p>
    <w:p w14:paraId="69BA0418">
      <w:pPr>
        <w:adjustRightInd w:val="0"/>
        <w:ind w:firstLine="640"/>
        <w:rPr>
          <w:rFonts w:ascii="Times New Roman" w:hAnsi="Times New Roman"/>
          <w:highlight w:val="none"/>
        </w:rPr>
      </w:pPr>
      <w:r>
        <w:rPr>
          <w:rFonts w:hint="eastAsia" w:ascii="Times New Roman" w:hAnsi="Times New Roman"/>
          <w:highlight w:val="none"/>
        </w:rPr>
        <w:t>今年要着重做好以下五个方面工作：</w:t>
      </w:r>
    </w:p>
    <w:p w14:paraId="054853B2">
      <w:pPr>
        <w:ind w:firstLine="616"/>
        <w:rPr>
          <w:rFonts w:ascii="Times New Roman" w:hAnsi="Times New Roman" w:eastAsia="方正黑体_GBK" w:cs="方正黑体_GBK"/>
          <w:spacing w:val="-6"/>
          <w:szCs w:val="32"/>
          <w:highlight w:val="none"/>
          <w:shd w:val="clear" w:color="auto" w:fill="FFFFFF"/>
        </w:rPr>
      </w:pPr>
      <w:r>
        <w:rPr>
          <w:rFonts w:hint="eastAsia" w:ascii="Times New Roman" w:hAnsi="Times New Roman" w:eastAsia="方正黑体_GBK" w:cs="方正黑体_GBK"/>
          <w:spacing w:val="-6"/>
          <w:szCs w:val="32"/>
          <w:highlight w:val="none"/>
          <w:shd w:val="clear" w:color="auto" w:fill="FFFFFF"/>
        </w:rPr>
        <w:t>（一）聚焦扩大有效需求，全力巩固稳中有进的经济发展态势</w:t>
      </w:r>
    </w:p>
    <w:p w14:paraId="4F1367FC">
      <w:pPr>
        <w:ind w:firstLine="640"/>
        <w:rPr>
          <w:rFonts w:ascii="Times New Roman" w:hAnsi="Times New Roman" w:cs="方正仿宋_GBK"/>
          <w:szCs w:val="32"/>
          <w:highlight w:val="none"/>
          <w:shd w:val="clear" w:color="auto" w:fill="FFFFFF"/>
        </w:rPr>
      </w:pPr>
      <w:r>
        <w:rPr>
          <w:rFonts w:hint="eastAsia" w:ascii="Times New Roman" w:hAnsi="Times New Roman" w:cs="方正仿宋_GBK"/>
          <w:szCs w:val="32"/>
          <w:highlight w:val="none"/>
          <w:shd w:val="clear" w:color="auto" w:fill="FFFFFF"/>
        </w:rPr>
        <w:t>坚持扩大内需这个战略基点，统筹发挥消费的基础作用和投资的关键作用，全力推动项目建设、招引储备与消费挖潜协同发力，为经济平稳健康运行提供坚实支撑。</w:t>
      </w:r>
    </w:p>
    <w:p w14:paraId="691EC740">
      <w:pPr>
        <w:ind w:firstLine="640"/>
        <w:rPr>
          <w:rFonts w:ascii="Times New Roman" w:hAnsi="Times New Roman" w:cs="方正仿宋_GBK"/>
          <w:szCs w:val="32"/>
          <w:highlight w:val="none"/>
        </w:rPr>
      </w:pPr>
      <w:r>
        <w:rPr>
          <w:rFonts w:hint="eastAsia" w:ascii="Times New Roman" w:hAnsi="Times New Roman" w:eastAsia="方正楷体_GBK" w:cs="方正楷体_GBK"/>
          <w:bCs/>
          <w:szCs w:val="32"/>
          <w:highlight w:val="none"/>
          <w:shd w:val="clear" w:color="auto" w:fill="FFFFFF"/>
        </w:rPr>
        <w:t>持续扩大精准有效投资</w:t>
      </w:r>
      <w:r>
        <w:rPr>
          <w:rStyle w:val="22"/>
          <w:rFonts w:hint="eastAsia" w:ascii="Times New Roman" w:hAnsi="Times New Roman" w:eastAsia="方正楷体_GBK" w:cs="方正楷体_GBK"/>
          <w:b w:val="0"/>
          <w:bCs w:val="0"/>
          <w:szCs w:val="32"/>
          <w:highlight w:val="none"/>
          <w:shd w:val="clear" w:color="auto" w:fill="FFFFFF"/>
        </w:rPr>
        <w:t>。</w:t>
      </w:r>
      <w:r>
        <w:rPr>
          <w:rFonts w:hint="eastAsia" w:ascii="Times New Roman" w:hAnsi="Times New Roman"/>
          <w:highlight w:val="none"/>
        </w:rPr>
        <w:t>统筹抓好</w:t>
      </w:r>
      <w:r>
        <w:rPr>
          <w:rFonts w:ascii="Times New Roman" w:hAnsi="Times New Roman"/>
          <w:highlight w:val="none"/>
        </w:rPr>
        <w:t>118</w:t>
      </w:r>
      <w:r>
        <w:rPr>
          <w:rFonts w:hint="eastAsia" w:ascii="Times New Roman" w:hAnsi="Times New Roman"/>
          <w:highlight w:val="none"/>
        </w:rPr>
        <w:t>个区级以上重大项目建设，总投资775.2亿元，全年计划投资163.6亿元，对</w:t>
      </w:r>
      <w:bookmarkStart w:id="3" w:name="OLE_LINK10"/>
      <w:r>
        <w:rPr>
          <w:rFonts w:hint="eastAsia" w:ascii="Times New Roman" w:hAnsi="Times New Roman"/>
          <w:highlight w:val="none"/>
        </w:rPr>
        <w:t>农业数据流通利用平台、百子亭天地二期等</w:t>
      </w:r>
      <w:bookmarkEnd w:id="3"/>
      <w:r>
        <w:rPr>
          <w:rFonts w:hint="eastAsia" w:ascii="Times New Roman" w:hAnsi="Times New Roman"/>
          <w:highlight w:val="none"/>
        </w:rPr>
        <w:t>43个新开工项目实行“挂图作战、清单管理”，确保项目如期开工建设，同时强化复星国际江苏总部、东豪物流供应链智慧中心等30个续建项目要素保障，争取早竣工、早投产、早达效</w:t>
      </w:r>
      <w:r>
        <w:rPr>
          <w:rFonts w:hint="eastAsia" w:ascii="Times New Roman" w:hAnsi="Times New Roman" w:cs="方正仿宋_GBK"/>
          <w:szCs w:val="32"/>
          <w:highlight w:val="none"/>
        </w:rPr>
        <w:t>。围绕科技创新、城市更新、生态环保等重点领域，精心策划一批打基础、利长远、增后劲的“两重”“两新”项目，全力向上争取超长期特别国债、中央预算内投资及各类政策性资金支持，撬动更多社会资本参与基础设施和公共服务建设，形成“谋划储备一批、签约落地一批、开工建设一批、竣工投产一批”的良性循环。</w:t>
      </w:r>
    </w:p>
    <w:p w14:paraId="1DF9503A">
      <w:pPr>
        <w:ind w:firstLine="640"/>
        <w:rPr>
          <w:rFonts w:ascii="Times New Roman" w:hAnsi="Times New Roman"/>
          <w:szCs w:val="32"/>
          <w:highlight w:val="none"/>
        </w:rPr>
      </w:pPr>
      <w:r>
        <w:rPr>
          <w:rStyle w:val="22"/>
          <w:rFonts w:hint="eastAsia" w:ascii="Times New Roman" w:hAnsi="Times New Roman" w:eastAsia="方正楷体_GBK" w:cs="方正楷体_GBK"/>
          <w:b w:val="0"/>
          <w:szCs w:val="32"/>
          <w:highlight w:val="none"/>
          <w:shd w:val="clear" w:color="auto" w:fill="FFFFFF"/>
        </w:rPr>
        <w:t>着力提升招商引资质效。</w:t>
      </w:r>
      <w:r>
        <w:rPr>
          <w:rFonts w:hint="eastAsia" w:ascii="Times New Roman" w:hAnsi="Times New Roman" w:cs="方正仿宋_GBK"/>
          <w:szCs w:val="32"/>
          <w:highlight w:val="none"/>
        </w:rPr>
        <w:t>发挥重点产业招商小组作用，</w:t>
      </w:r>
      <w:r>
        <w:rPr>
          <w:rFonts w:hint="eastAsia" w:ascii="Times New Roman" w:hAnsi="Times New Roman"/>
          <w:szCs w:val="32"/>
          <w:highlight w:val="none"/>
        </w:rPr>
        <w:t>把握</w:t>
      </w:r>
      <w:r>
        <w:rPr>
          <w:rFonts w:ascii="Times New Roman" w:hAnsi="Times New Roman"/>
          <w:szCs w:val="32"/>
          <w:highlight w:val="none"/>
        </w:rPr>
        <w:t>央企专业化整合、省属国企重组</w:t>
      </w:r>
      <w:r>
        <w:rPr>
          <w:rFonts w:hint="eastAsia" w:ascii="Times New Roman" w:hAnsi="Times New Roman"/>
          <w:szCs w:val="32"/>
          <w:highlight w:val="none"/>
        </w:rPr>
        <w:t>等有利</w:t>
      </w:r>
      <w:r>
        <w:rPr>
          <w:rFonts w:ascii="Times New Roman" w:hAnsi="Times New Roman"/>
          <w:szCs w:val="32"/>
          <w:highlight w:val="none"/>
        </w:rPr>
        <w:t>机遇</w:t>
      </w:r>
      <w:r>
        <w:rPr>
          <w:rFonts w:hint="eastAsia" w:ascii="Times New Roman" w:hAnsi="Times New Roman" w:cs="方正仿宋_GBK"/>
          <w:szCs w:val="32"/>
          <w:highlight w:val="none"/>
        </w:rPr>
        <w:t>深入推进靶向招商，</w:t>
      </w:r>
      <w:r>
        <w:rPr>
          <w:rFonts w:hint="eastAsia" w:ascii="Times New Roman" w:hAnsi="Times New Roman" w:cs="方正仿宋_GBK"/>
          <w:spacing w:val="4"/>
          <w:szCs w:val="32"/>
          <w:highlight w:val="none"/>
        </w:rPr>
        <w:t>健全完善重大项目招引落地、运营发展、升规纳统全生命周期服</w:t>
      </w:r>
      <w:r>
        <w:rPr>
          <w:rFonts w:hint="eastAsia" w:ascii="Times New Roman" w:hAnsi="Times New Roman" w:cs="方正仿宋_GBK"/>
          <w:szCs w:val="32"/>
          <w:highlight w:val="none"/>
        </w:rPr>
        <w:t>务，</w:t>
      </w:r>
      <w:r>
        <w:rPr>
          <w:rFonts w:hint="eastAsia" w:ascii="Times New Roman" w:hAnsi="Times New Roman"/>
          <w:bCs/>
          <w:kern w:val="44"/>
          <w:szCs w:val="32"/>
          <w:highlight w:val="none"/>
        </w:rPr>
        <w:t>依托金洽会、软博会、进博会等重要平台，运用产业基金支持、应用场景供给、龙头企业牵引等手段，统筹办好全年超</w:t>
      </w:r>
      <w:r>
        <w:rPr>
          <w:rFonts w:hint="eastAsia" w:ascii="Times New Roman" w:hAnsi="Times New Roman"/>
          <w:highlight w:val="none"/>
        </w:rPr>
        <w:t>60</w:t>
      </w:r>
      <w:r>
        <w:rPr>
          <w:rFonts w:hint="eastAsia" w:ascii="Times New Roman" w:hAnsi="Times New Roman"/>
          <w:bCs/>
          <w:kern w:val="44"/>
          <w:szCs w:val="32"/>
          <w:highlight w:val="none"/>
        </w:rPr>
        <w:t>场重点招商活动，</w:t>
      </w:r>
      <w:r>
        <w:rPr>
          <w:rFonts w:ascii="Times New Roman" w:hAnsi="Times New Roman"/>
          <w:szCs w:val="32"/>
          <w:highlight w:val="none"/>
        </w:rPr>
        <w:t>招引集聚一批符合</w:t>
      </w:r>
      <w:r>
        <w:rPr>
          <w:rFonts w:hint="eastAsia" w:ascii="Times New Roman" w:hAnsi="Times New Roman"/>
          <w:szCs w:val="32"/>
          <w:highlight w:val="none"/>
        </w:rPr>
        <w:t>全区</w:t>
      </w:r>
      <w:r>
        <w:rPr>
          <w:rFonts w:ascii="Times New Roman" w:hAnsi="Times New Roman"/>
          <w:szCs w:val="32"/>
          <w:highlight w:val="none"/>
        </w:rPr>
        <w:t>产业发展</w:t>
      </w:r>
      <w:r>
        <w:rPr>
          <w:rFonts w:hint="eastAsia" w:ascii="Times New Roman" w:hAnsi="Times New Roman"/>
          <w:szCs w:val="32"/>
          <w:highlight w:val="none"/>
        </w:rPr>
        <w:t>方向</w:t>
      </w:r>
      <w:r>
        <w:rPr>
          <w:rFonts w:ascii="Times New Roman" w:hAnsi="Times New Roman"/>
          <w:szCs w:val="32"/>
          <w:highlight w:val="none"/>
        </w:rPr>
        <w:t>的高能级项目、高成长性企业落户</w:t>
      </w:r>
      <w:r>
        <w:rPr>
          <w:rFonts w:hint="eastAsia" w:ascii="Times New Roman" w:hAnsi="Times New Roman"/>
          <w:szCs w:val="32"/>
          <w:highlight w:val="none"/>
        </w:rPr>
        <w:t>，</w:t>
      </w:r>
      <w:r>
        <w:rPr>
          <w:rFonts w:ascii="Times New Roman" w:hAnsi="Times New Roman"/>
          <w:szCs w:val="32"/>
          <w:highlight w:val="none"/>
        </w:rPr>
        <w:t>全力推进</w:t>
      </w:r>
      <w:r>
        <w:rPr>
          <w:rFonts w:ascii="Times New Roman" w:hAnsi="Times New Roman"/>
          <w:snapToGrid w:val="0"/>
          <w:kern w:val="0"/>
          <w:szCs w:val="32"/>
          <w:highlight w:val="none"/>
        </w:rPr>
        <w:t>融通无人航空器</w:t>
      </w:r>
      <w:r>
        <w:rPr>
          <w:rFonts w:hint="eastAsia" w:ascii="Times New Roman" w:hAnsi="Times New Roman"/>
          <w:snapToGrid w:val="0"/>
          <w:kern w:val="0"/>
          <w:szCs w:val="32"/>
          <w:highlight w:val="none"/>
        </w:rPr>
        <w:t>、</w:t>
      </w:r>
      <w:r>
        <w:rPr>
          <w:rFonts w:hint="eastAsia" w:ascii="Times New Roman" w:hAnsi="Times New Roman"/>
          <w:szCs w:val="32"/>
          <w:highlight w:val="none"/>
        </w:rPr>
        <w:t>傅利叶具身智能机器人</w:t>
      </w:r>
      <w:r>
        <w:rPr>
          <w:rFonts w:ascii="Times New Roman" w:hAnsi="Times New Roman"/>
          <w:szCs w:val="32"/>
          <w:highlight w:val="none"/>
        </w:rPr>
        <w:t>等</w:t>
      </w:r>
      <w:r>
        <w:rPr>
          <w:rFonts w:hint="eastAsia" w:ascii="Times New Roman" w:hAnsi="Times New Roman"/>
          <w:szCs w:val="32"/>
          <w:highlight w:val="none"/>
        </w:rPr>
        <w:t>龙头型总部</w:t>
      </w:r>
      <w:r>
        <w:rPr>
          <w:rFonts w:ascii="Times New Roman" w:hAnsi="Times New Roman"/>
          <w:szCs w:val="32"/>
          <w:highlight w:val="none"/>
        </w:rPr>
        <w:t>项目落地</w:t>
      </w:r>
      <w:r>
        <w:rPr>
          <w:rFonts w:hint="eastAsia" w:ascii="Times New Roman" w:hAnsi="Times New Roman"/>
          <w:szCs w:val="32"/>
          <w:highlight w:val="none"/>
        </w:rPr>
        <w:t>建设，加快推动百度南京中心</w:t>
      </w:r>
      <w:r>
        <w:rPr>
          <w:rFonts w:ascii="Times New Roman" w:hAnsi="Times New Roman"/>
          <w:szCs w:val="32"/>
          <w:highlight w:val="none"/>
        </w:rPr>
        <w:t>、中科睿格</w:t>
      </w:r>
      <w:r>
        <w:rPr>
          <w:rFonts w:ascii="Times New Roman" w:hAnsi="Times New Roman"/>
          <w:snapToGrid w:val="0"/>
          <w:kern w:val="0"/>
          <w:szCs w:val="32"/>
          <w:highlight w:val="none"/>
        </w:rPr>
        <w:t>星云</w:t>
      </w:r>
      <w:r>
        <w:rPr>
          <w:rFonts w:ascii="Times New Roman" w:hAnsi="Times New Roman"/>
          <w:szCs w:val="32"/>
          <w:highlight w:val="none"/>
        </w:rPr>
        <w:t>总</w:t>
      </w:r>
      <w:bookmarkStart w:id="4" w:name="OLE_LINK82"/>
      <w:r>
        <w:rPr>
          <w:rFonts w:ascii="Times New Roman" w:hAnsi="Times New Roman"/>
          <w:szCs w:val="32"/>
          <w:highlight w:val="none"/>
        </w:rPr>
        <w:t>部等</w:t>
      </w:r>
      <w:r>
        <w:rPr>
          <w:rFonts w:hint="eastAsia" w:ascii="Times New Roman" w:hAnsi="Times New Roman"/>
          <w:szCs w:val="32"/>
          <w:highlight w:val="none"/>
        </w:rPr>
        <w:t>产业</w:t>
      </w:r>
      <w:r>
        <w:rPr>
          <w:rFonts w:ascii="Times New Roman" w:hAnsi="Times New Roman"/>
          <w:szCs w:val="32"/>
          <w:highlight w:val="none"/>
        </w:rPr>
        <w:t>项目</w:t>
      </w:r>
      <w:bookmarkStart w:id="5" w:name="OLE_LINK79"/>
      <w:r>
        <w:rPr>
          <w:rFonts w:hint="eastAsia" w:ascii="Times New Roman" w:hAnsi="Times New Roman"/>
          <w:szCs w:val="32"/>
          <w:highlight w:val="none"/>
        </w:rPr>
        <w:t>建成投用</w:t>
      </w:r>
      <w:bookmarkEnd w:id="4"/>
      <w:bookmarkEnd w:id="5"/>
      <w:r>
        <w:rPr>
          <w:rFonts w:hint="eastAsia" w:ascii="Times New Roman" w:hAnsi="Times New Roman"/>
          <w:szCs w:val="32"/>
          <w:highlight w:val="none"/>
        </w:rPr>
        <w:t>，力争招引高能级项目6个以上，实际投资总额达超</w:t>
      </w:r>
      <w:r>
        <w:rPr>
          <w:rFonts w:hint="eastAsia" w:ascii="Times New Roman" w:hAnsi="Times New Roman"/>
          <w:highlight w:val="none"/>
        </w:rPr>
        <w:t>85</w:t>
      </w:r>
      <w:r>
        <w:rPr>
          <w:rFonts w:hint="eastAsia" w:ascii="Times New Roman" w:hAnsi="Times New Roman"/>
          <w:szCs w:val="32"/>
          <w:highlight w:val="none"/>
        </w:rPr>
        <w:t>亿元。</w:t>
      </w:r>
    </w:p>
    <w:p w14:paraId="6FEE0502">
      <w:pPr>
        <w:ind w:firstLine="640"/>
        <w:rPr>
          <w:rFonts w:ascii="Times New Roman" w:hAnsi="Times New Roman" w:cs="方正仿宋_GBK"/>
          <w:szCs w:val="32"/>
          <w:highlight w:val="none"/>
          <w:shd w:val="clear" w:color="auto" w:fill="FFFFFF"/>
        </w:rPr>
      </w:pPr>
      <w:r>
        <w:rPr>
          <w:rStyle w:val="22"/>
          <w:rFonts w:ascii="Times New Roman" w:hAnsi="Times New Roman" w:eastAsia="方正楷体_GBK" w:cs="方正楷体_GBK"/>
          <w:b w:val="0"/>
          <w:szCs w:val="32"/>
          <w:highlight w:val="none"/>
          <w:shd w:val="clear" w:color="auto" w:fill="FFFFFF"/>
        </w:rPr>
        <w:t>全面激活多元消费潜能</w:t>
      </w:r>
      <w:r>
        <w:rPr>
          <w:rStyle w:val="22"/>
          <w:rFonts w:hint="eastAsia" w:ascii="Times New Roman" w:hAnsi="Times New Roman" w:eastAsia="方正楷体_GBK" w:cs="方正楷体_GBK"/>
          <w:b w:val="0"/>
          <w:szCs w:val="32"/>
          <w:highlight w:val="none"/>
          <w:shd w:val="clear" w:color="auto" w:fill="FFFFFF"/>
        </w:rPr>
        <w:t>。</w:t>
      </w:r>
      <w:r>
        <w:rPr>
          <w:rFonts w:hint="eastAsia" w:ascii="Times New Roman" w:hAnsi="Times New Roman" w:cs="方正仿宋_GBK"/>
          <w:szCs w:val="32"/>
          <w:highlight w:val="none"/>
          <w:shd w:val="clear" w:color="auto" w:fill="FFFFFF"/>
        </w:rPr>
        <w:t>落实落细国家及省、市关于汽车、家电等大宗消费品以旧换新政策，精心举办</w:t>
      </w:r>
      <w:r>
        <w:rPr>
          <w:rFonts w:hint="eastAsia" w:ascii="Times New Roman" w:hAnsi="Times New Roman"/>
          <w:highlight w:val="none"/>
        </w:rPr>
        <w:t>“四季有约”</w:t>
      </w:r>
      <w:r>
        <w:rPr>
          <w:rFonts w:hint="eastAsia" w:ascii="Times New Roman" w:hAnsi="Times New Roman" w:cs="方正仿宋_GBK"/>
          <w:szCs w:val="32"/>
          <w:highlight w:val="none"/>
          <w:shd w:val="clear" w:color="auto" w:fill="FFFFFF"/>
        </w:rPr>
        <w:t>等系列促消费活动，以“真金白银”激发市场活力。持续深化文商旅体融合发展，进一步推进长江路、环玄武湖等文旅消费集聚区建设，</w:t>
      </w:r>
      <w:r>
        <w:rPr>
          <w:rFonts w:ascii="Times New Roman" w:hAnsi="Times New Roman"/>
          <w:highlight w:val="none"/>
        </w:rPr>
        <w:t>建成传统文脉活化、科技体验赋能、绿色低碳运营的</w:t>
      </w:r>
      <w:r>
        <w:rPr>
          <w:rFonts w:hint="eastAsia" w:ascii="Times New Roman" w:hAnsi="Times New Roman"/>
          <w:highlight w:val="none"/>
        </w:rPr>
        <w:t>消费新场景</w:t>
      </w:r>
      <w:r>
        <w:rPr>
          <w:rFonts w:ascii="Times New Roman" w:hAnsi="Times New Roman"/>
          <w:highlight w:val="none"/>
        </w:rPr>
        <w:t>。</w:t>
      </w:r>
      <w:r>
        <w:rPr>
          <w:rFonts w:hint="eastAsia" w:ascii="Times New Roman" w:hAnsi="Times New Roman"/>
          <w:highlight w:val="none"/>
        </w:rPr>
        <w:t>全力支持钟山风景区打造世界级旅游景区、玄武湖公园创新沉浸式体验场景，进一步放</w:t>
      </w:r>
      <w:r>
        <w:rPr>
          <w:rFonts w:hint="eastAsia" w:ascii="Times New Roman" w:hAnsi="Times New Roman" w:cs="方正仿宋_GBK"/>
          <w:szCs w:val="32"/>
          <w:highlight w:val="none"/>
          <w:shd w:val="clear" w:color="auto" w:fill="FFFFFF"/>
        </w:rPr>
        <w:t>大红山森林动物园引流效应，</w:t>
      </w:r>
      <w:r>
        <w:rPr>
          <w:rFonts w:hint="eastAsia" w:ascii="Times New Roman" w:hAnsi="Times New Roman"/>
          <w:highlight w:val="none"/>
        </w:rPr>
        <w:t>积极申报国家高质量户外运动目的地</w:t>
      </w:r>
      <w:r>
        <w:rPr>
          <w:rFonts w:hint="eastAsia" w:ascii="Times New Roman" w:hAnsi="Times New Roman" w:cs="方正仿宋_GBK"/>
          <w:szCs w:val="32"/>
          <w:highlight w:val="none"/>
          <w:shd w:val="clear" w:color="auto" w:fill="FFFFFF"/>
        </w:rPr>
        <w:t>。大力发展首店首发经济，重点围绕零售餐饮、文体娱乐、生活服务等业态加快引进国际国内知名品牌首店、全新旗舰店，鼓励开展新品首发首秀活动，全年力争引进各类首店超60家。</w:t>
      </w:r>
    </w:p>
    <w:p w14:paraId="1BF6B08F">
      <w:pPr>
        <w:ind w:firstLine="616"/>
        <w:rPr>
          <w:rFonts w:ascii="Times New Roman" w:hAnsi="Times New Roman" w:cs="方正仿宋_GBK"/>
          <w:spacing w:val="-6"/>
          <w:szCs w:val="32"/>
          <w:highlight w:val="none"/>
          <w:shd w:val="clear" w:color="auto" w:fill="FFFFFF"/>
        </w:rPr>
      </w:pPr>
      <w:r>
        <w:rPr>
          <w:rFonts w:hint="eastAsia" w:ascii="Times New Roman" w:hAnsi="Times New Roman" w:eastAsia="方正黑体_GBK" w:cs="方正黑体_GBK"/>
          <w:spacing w:val="-6"/>
          <w:highlight w:val="none"/>
          <w:shd w:val="clear" w:color="auto" w:fill="FFFFFF"/>
        </w:rPr>
        <w:t>（二）聚焦打造产业强区，加速形成竞争有力的现代产业体系</w:t>
      </w:r>
    </w:p>
    <w:p w14:paraId="2E09A9AA">
      <w:pPr>
        <w:pStyle w:val="16"/>
        <w:widowControl w:val="0"/>
        <w:overflowPunct w:val="0"/>
        <w:spacing w:before="0" w:beforeAutospacing="0" w:after="0" w:afterAutospacing="0" w:line="590" w:lineRule="exact"/>
        <w:ind w:firstLine="648"/>
        <w:jc w:val="both"/>
        <w:rPr>
          <w:rFonts w:ascii="Times New Roman" w:hAnsi="Times New Roman" w:cs="方正仿宋_GBK"/>
          <w:sz w:val="32"/>
          <w:highlight w:val="none"/>
          <w:shd w:val="clear" w:color="auto" w:fill="FFFFFF"/>
        </w:rPr>
      </w:pPr>
      <w:r>
        <w:rPr>
          <w:rFonts w:hint="eastAsia" w:ascii="Times New Roman" w:hAnsi="Times New Roman" w:cs="方正仿宋_GBK"/>
          <w:spacing w:val="2"/>
          <w:sz w:val="32"/>
          <w:highlight w:val="none"/>
          <w:shd w:val="clear" w:color="auto" w:fill="FFFFFF"/>
        </w:rPr>
        <w:t>坚持把发展经济的着力点放在实体经济上，全力推进人工</w:t>
      </w:r>
      <w:r>
        <w:rPr>
          <w:rFonts w:hint="eastAsia" w:ascii="Times New Roman" w:hAnsi="Times New Roman" w:cs="方正仿宋_GBK"/>
          <w:spacing w:val="4"/>
          <w:sz w:val="32"/>
          <w:highlight w:val="none"/>
          <w:shd w:val="clear" w:color="auto" w:fill="FFFFFF"/>
        </w:rPr>
        <w:t>智能发展壮大、服务业转型升级、人文经济提质增效，以新质生</w:t>
      </w:r>
      <w:r>
        <w:rPr>
          <w:rFonts w:hint="eastAsia" w:ascii="Times New Roman" w:hAnsi="Times New Roman" w:cs="方正仿宋_GBK"/>
          <w:sz w:val="32"/>
          <w:highlight w:val="none"/>
          <w:shd w:val="clear" w:color="auto" w:fill="FFFFFF"/>
        </w:rPr>
        <w:t>产力引领现代化产业体系建设。</w:t>
      </w:r>
    </w:p>
    <w:p w14:paraId="6B82CD4E">
      <w:pPr>
        <w:pStyle w:val="16"/>
        <w:widowControl w:val="0"/>
        <w:overflowPunct w:val="0"/>
        <w:spacing w:before="0" w:beforeAutospacing="0" w:after="0" w:afterAutospacing="0" w:line="590" w:lineRule="exact"/>
        <w:ind w:firstLine="640"/>
        <w:jc w:val="both"/>
        <w:rPr>
          <w:rFonts w:ascii="Times New Roman" w:hAnsi="Times New Roman" w:cs="Times New Roman"/>
          <w:sz w:val="32"/>
          <w:highlight w:val="none"/>
          <w:shd w:val="clear" w:color="auto" w:fill="FFFFFF"/>
          <w:lang w:bidi="ar"/>
        </w:rPr>
      </w:pPr>
      <w:r>
        <w:rPr>
          <w:rStyle w:val="22"/>
          <w:rFonts w:hint="eastAsia" w:ascii="Times New Roman" w:hAnsi="Times New Roman" w:eastAsia="方正楷体_GBK" w:cs="方正楷体_GBK"/>
          <w:b w:val="0"/>
          <w:bCs w:val="0"/>
          <w:kern w:val="2"/>
          <w:sz w:val="32"/>
          <w:highlight w:val="none"/>
          <w:shd w:val="clear" w:color="auto" w:fill="FFFFFF"/>
        </w:rPr>
        <w:t>壮大人工智能强引擎。</w:t>
      </w:r>
      <w:r>
        <w:rPr>
          <w:rFonts w:hint="eastAsia" w:ascii="Times New Roman" w:hAnsi="Times New Roman" w:cs="方正仿宋_GBK"/>
          <w:sz w:val="32"/>
          <w:highlight w:val="none"/>
        </w:rPr>
        <w:t>以江苏数据交易所生态构建为核心，持续深化江苏国际数据港建设，进一步加大龙头型、平台型数据企业招引集聚力度，全力推进达索系统智能制造中国总部等标志性项目建设运营，探索构建“中国—中亚”企业出海数字服务平台、“长三角—东盟”数字经济协同发展平台，推动国家级行业可信数据空间集群建设，努力打造国家级数据产业集聚区核心区。充分发挥玄武大模型工厂引领带动作用，加快实施</w:t>
      </w:r>
      <w:r>
        <w:rPr>
          <w:rFonts w:hint="eastAsia" w:ascii="Times New Roman" w:hAnsi="Times New Roman" w:cs="Times New Roman"/>
          <w:sz w:val="32"/>
          <w:highlight w:val="none"/>
          <w:shd w:val="clear" w:color="auto" w:fill="FFFFFF"/>
          <w:lang w:bidi="ar"/>
        </w:rPr>
        <w:t>“人工智能+”行动</w:t>
      </w:r>
      <w:r>
        <w:rPr>
          <w:rFonts w:hint="eastAsia" w:ascii="Times New Roman" w:hAnsi="Times New Roman" w:cs="方正仿宋_GBK"/>
          <w:sz w:val="32"/>
          <w:highlight w:val="none"/>
        </w:rPr>
        <w:t>，</w:t>
      </w:r>
      <w:r>
        <w:rPr>
          <w:rFonts w:hint="eastAsia" w:ascii="Times New Roman" w:hAnsi="Times New Roman" w:cs="Times New Roman"/>
          <w:sz w:val="32"/>
          <w:highlight w:val="none"/>
          <w:shd w:val="clear" w:color="auto" w:fill="FFFFFF"/>
          <w:lang w:bidi="ar"/>
        </w:rPr>
        <w:t>全面推进玄武智能体创新社区、人工智能OPC社区等平台建设，聚焦人工智能企业需求发放算力券、语料券、模型</w:t>
      </w:r>
      <w:r>
        <w:rPr>
          <w:rFonts w:hint="eastAsia" w:ascii="Times New Roman" w:hAnsi="Times New Roman" w:cs="Times New Roman"/>
          <w:spacing w:val="-6"/>
          <w:sz w:val="32"/>
          <w:highlight w:val="none"/>
          <w:shd w:val="clear" w:color="auto" w:fill="FFFFFF"/>
          <w:lang w:bidi="ar"/>
        </w:rPr>
        <w:t>券，引入一批行业领域大模型项目，创新打造“AI+文旅”“AI+医疗”“AI+教育”等垂直领域标杆场景，发布行业大模型超100</w:t>
      </w:r>
      <w:r>
        <w:rPr>
          <w:rFonts w:hint="eastAsia" w:ascii="Times New Roman" w:hAnsi="Times New Roman" w:cs="Times New Roman"/>
          <w:sz w:val="32"/>
          <w:highlight w:val="none"/>
          <w:shd w:val="clear" w:color="auto" w:fill="FFFFFF"/>
          <w:lang w:bidi="ar"/>
        </w:rPr>
        <w:t>个，</w:t>
      </w:r>
      <w:r>
        <w:rPr>
          <w:rFonts w:hint="eastAsia" w:ascii="Times New Roman" w:hAnsi="Times New Roman" w:cs="Times New Roman"/>
          <w:spacing w:val="4"/>
          <w:sz w:val="32"/>
          <w:highlight w:val="none"/>
          <w:shd w:val="clear" w:color="auto" w:fill="FFFFFF"/>
          <w:lang w:bidi="ar"/>
        </w:rPr>
        <w:t>积极争取人工智能应用中试基地落地，推动构建“1+3+N”</w:t>
      </w:r>
      <w:r>
        <w:rPr>
          <w:rFonts w:ascii="Times New Roman" w:hAnsi="Times New Roman" w:cs="Times New Roman"/>
          <w:snapToGrid w:val="0"/>
          <w:spacing w:val="4"/>
          <w:sz w:val="32"/>
          <w:szCs w:val="20"/>
          <w:highlight w:val="none"/>
          <w:vertAlign w:val="superscript"/>
        </w:rPr>
        <w:t>[13]</w:t>
      </w:r>
      <w:r>
        <w:rPr>
          <w:rFonts w:hint="eastAsia" w:ascii="Times New Roman" w:hAnsi="Times New Roman" w:cs="Times New Roman"/>
          <w:spacing w:val="4"/>
          <w:sz w:val="32"/>
          <w:highlight w:val="none"/>
          <w:shd w:val="clear" w:color="auto" w:fill="FFFFFF"/>
          <w:lang w:bidi="ar"/>
        </w:rPr>
        <w:t>全</w:t>
      </w:r>
      <w:r>
        <w:rPr>
          <w:rFonts w:hint="eastAsia" w:ascii="Times New Roman" w:hAnsi="Times New Roman" w:cs="Times New Roman"/>
          <w:sz w:val="32"/>
          <w:highlight w:val="none"/>
          <w:shd w:val="clear" w:color="auto" w:fill="FFFFFF"/>
          <w:lang w:bidi="ar"/>
        </w:rPr>
        <w:t>域数智生态，通过国家备案大模型数量持续保持全省第一。</w:t>
      </w:r>
    </w:p>
    <w:p w14:paraId="6866D15D">
      <w:pPr>
        <w:pStyle w:val="16"/>
        <w:widowControl w:val="0"/>
        <w:overflowPunct w:val="0"/>
        <w:spacing w:before="0" w:beforeAutospacing="0" w:after="0" w:afterAutospacing="0" w:line="590" w:lineRule="exact"/>
        <w:ind w:firstLine="640"/>
        <w:jc w:val="both"/>
        <w:rPr>
          <w:rFonts w:ascii="Times New Roman" w:hAnsi="Times New Roman" w:cs="方正仿宋_GBK"/>
          <w:sz w:val="32"/>
          <w:highlight w:val="none"/>
          <w:shd w:val="clear" w:color="auto" w:fill="FFFFFF"/>
        </w:rPr>
      </w:pPr>
      <w:r>
        <w:rPr>
          <w:rStyle w:val="22"/>
          <w:rFonts w:hint="eastAsia" w:ascii="Times New Roman" w:hAnsi="Times New Roman" w:eastAsia="方正楷体_GBK" w:cs="方正楷体_GBK"/>
          <w:b w:val="0"/>
          <w:bCs w:val="0"/>
          <w:kern w:val="2"/>
          <w:sz w:val="32"/>
          <w:highlight w:val="none"/>
          <w:shd w:val="clear" w:color="auto" w:fill="FFFFFF"/>
        </w:rPr>
        <w:t>巩固高端服务主阵地。</w:t>
      </w:r>
      <w:r>
        <w:rPr>
          <w:rFonts w:hint="eastAsia" w:ascii="Times New Roman" w:hAnsi="Times New Roman" w:cs="方正仿宋_GBK"/>
          <w:sz w:val="32"/>
          <w:highlight w:val="none"/>
          <w:shd w:val="clear" w:color="auto" w:fill="FFFFFF"/>
        </w:rPr>
        <w:t>围绕打造国际化高品质城市金融客厅，</w:t>
      </w:r>
      <w:r>
        <w:rPr>
          <w:rFonts w:hint="eastAsia" w:ascii="Times New Roman" w:hAnsi="Times New Roman"/>
          <w:bCs/>
          <w:sz w:val="32"/>
          <w:highlight w:val="none"/>
        </w:rPr>
        <w:t>依托新街口“中华第一商圈”优势打造高端金融楼宇，加快</w:t>
      </w:r>
      <w:r>
        <w:rPr>
          <w:rFonts w:hint="eastAsia" w:ascii="Times New Roman" w:hAnsi="Times New Roman" w:cs="方正仿宋_GBK"/>
          <w:sz w:val="32"/>
          <w:highlight w:val="none"/>
          <w:shd w:val="clear" w:color="auto" w:fill="FFFFFF"/>
        </w:rPr>
        <w:t>总部型金融机构</w:t>
      </w:r>
      <w:r>
        <w:rPr>
          <w:rFonts w:hint="eastAsia" w:ascii="Times New Roman" w:hAnsi="Times New Roman"/>
          <w:bCs/>
          <w:sz w:val="32"/>
          <w:highlight w:val="none"/>
        </w:rPr>
        <w:t>集聚，结合玄武科技金融园、南理工科创园等建设，</w:t>
      </w:r>
      <w:r>
        <w:rPr>
          <w:rFonts w:hint="eastAsia" w:ascii="Times New Roman" w:hAnsi="Times New Roman" w:cs="方正仿宋_GBK"/>
          <w:sz w:val="32"/>
          <w:highlight w:val="none"/>
          <w:shd w:val="clear" w:color="auto" w:fill="FFFFFF"/>
        </w:rPr>
        <w:t>招引培育一批财富管理、外资金融等企业机构。鼓励金融机构</w:t>
      </w:r>
      <w:r>
        <w:rPr>
          <w:rFonts w:hint="eastAsia" w:ascii="Times New Roman" w:hAnsi="Times New Roman" w:cs="方正仿宋_GBK"/>
          <w:sz w:val="32"/>
          <w:highlight w:val="none"/>
        </w:rPr>
        <w:t>创新融资授信方式，</w:t>
      </w:r>
      <w:r>
        <w:rPr>
          <w:rFonts w:hint="eastAsia" w:ascii="Times New Roman" w:hAnsi="Times New Roman" w:cs="方正仿宋_GBK"/>
          <w:sz w:val="32"/>
          <w:highlight w:val="none"/>
          <w:shd w:val="clear" w:color="auto" w:fill="FFFFFF"/>
        </w:rPr>
        <w:t>开发科技金融、绿色金融等产品业务，用足用好区级金融支持政策，为实体经济发展提供金融支撑。</w:t>
      </w:r>
      <w:r>
        <w:rPr>
          <w:rFonts w:hint="eastAsia" w:ascii="Times New Roman" w:hAnsi="Times New Roman" w:cs="方正仿宋_GBK"/>
          <w:sz w:val="32"/>
          <w:highlight w:val="none"/>
        </w:rPr>
        <w:t>深入</w:t>
      </w:r>
      <w:r>
        <w:rPr>
          <w:rFonts w:hint="eastAsia" w:ascii="Times New Roman" w:hAnsi="Times New Roman" w:cs="方正仿宋_GBK"/>
          <w:spacing w:val="-6"/>
          <w:sz w:val="32"/>
          <w:highlight w:val="none"/>
        </w:rPr>
        <w:t>推进玄武律政产业园建设，构建完善</w:t>
      </w:r>
      <w:r>
        <w:rPr>
          <w:rFonts w:ascii="Times New Roman" w:hAnsi="Times New Roman" w:cs="方正仿宋_GBK"/>
          <w:spacing w:val="-6"/>
          <w:kern w:val="2"/>
          <w:sz w:val="32"/>
          <w:highlight w:val="none"/>
          <w:lang w:bidi="ar"/>
        </w:rPr>
        <w:t>涉外法律服务中心、知识产</w:t>
      </w:r>
      <w:r>
        <w:rPr>
          <w:rFonts w:ascii="Times New Roman" w:hAnsi="Times New Roman" w:cs="方正仿宋_GBK"/>
          <w:kern w:val="2"/>
          <w:sz w:val="32"/>
          <w:highlight w:val="none"/>
          <w:lang w:bidi="ar"/>
        </w:rPr>
        <w:t>权服务中心等商事服务体系，</w:t>
      </w:r>
      <w:r>
        <w:rPr>
          <w:rFonts w:hint="eastAsia" w:ascii="Times New Roman" w:hAnsi="Times New Roman" w:cs="方正仿宋_GBK"/>
          <w:sz w:val="32"/>
          <w:highlight w:val="none"/>
        </w:rPr>
        <w:t>引领带动资产评估、涉外咨询等服</w:t>
      </w:r>
      <w:r>
        <w:rPr>
          <w:rFonts w:hint="eastAsia" w:ascii="Times New Roman" w:hAnsi="Times New Roman" w:cs="方正仿宋_GBK"/>
          <w:spacing w:val="4"/>
          <w:sz w:val="32"/>
          <w:highlight w:val="none"/>
        </w:rPr>
        <w:t>务业态加快发展，为企业提供全链条、一站式律政服务。深入推</w:t>
      </w:r>
      <w:r>
        <w:rPr>
          <w:rFonts w:hint="eastAsia" w:ascii="Times New Roman" w:hAnsi="Times New Roman" w:cs="方正仿宋_GBK"/>
          <w:sz w:val="32"/>
          <w:highlight w:val="none"/>
        </w:rPr>
        <w:t>进深交所科交中心南京专区建设，以提升科技成果转化效率为重点，积极探索新型科技成果转化交易服务模式，大力发展科技服务、知识产权服务等新型业态，推动形成高水平区域成果转化交易服务生态，助推实现技术、产业和资本的高水平循环。</w:t>
      </w:r>
    </w:p>
    <w:p w14:paraId="7DFAF2A1">
      <w:pPr>
        <w:pStyle w:val="16"/>
        <w:widowControl w:val="0"/>
        <w:overflowPunct w:val="0"/>
        <w:spacing w:before="0" w:beforeAutospacing="0" w:after="0" w:afterAutospacing="0" w:line="590" w:lineRule="exact"/>
        <w:ind w:firstLine="640"/>
        <w:jc w:val="both"/>
        <w:rPr>
          <w:rFonts w:ascii="Times New Roman" w:hAnsi="Times New Roman" w:cs="方正仿宋_GBK"/>
          <w:sz w:val="32"/>
          <w:highlight w:val="none"/>
        </w:rPr>
      </w:pPr>
      <w:r>
        <w:rPr>
          <w:rStyle w:val="22"/>
          <w:rFonts w:hint="eastAsia" w:ascii="Times New Roman" w:hAnsi="Times New Roman" w:eastAsia="方正楷体_GBK" w:cs="方正楷体_GBK"/>
          <w:b w:val="0"/>
          <w:bCs w:val="0"/>
          <w:kern w:val="2"/>
          <w:sz w:val="32"/>
          <w:highlight w:val="none"/>
          <w:shd w:val="clear" w:color="auto" w:fill="FFFFFF"/>
        </w:rPr>
        <w:t>激发人文经济新活力。</w:t>
      </w:r>
      <w:r>
        <w:rPr>
          <w:rFonts w:hint="eastAsia" w:ascii="Times New Roman" w:hAnsi="Times New Roman" w:cs="方正仿宋_GBK"/>
          <w:sz w:val="32"/>
          <w:highlight w:val="none"/>
          <w:shd w:val="clear" w:color="auto" w:fill="FFFFFF"/>
        </w:rPr>
        <w:t>锚定国际消费中心城市中心区目标，全力推进德基三期等高端项目建设，深化打造“壮观天下”国际街区，加快启动南京文化艺术中心改造，大力引进国际商务、时尚消费等领域高端品牌和总部机构。充分发挥文旅地标产业作用，以文旅资源IP授权、数字文旅业态培育为关键抓手，集聚一批文旅企业总部，推出更多“现象级”新产品新场景，进一步优化文旅服务供给</w:t>
      </w:r>
      <w:r>
        <w:rPr>
          <w:rFonts w:hint="eastAsia" w:ascii="Times New Roman" w:hAnsi="Times New Roman" w:cs="方正仿宋_GBK"/>
          <w:sz w:val="32"/>
          <w:highlight w:val="none"/>
        </w:rPr>
        <w:t>。不断放大历史文化名城核心区效应，</w:t>
      </w:r>
      <w:r>
        <w:rPr>
          <w:rFonts w:hint="eastAsia" w:ascii="Times New Roman" w:hAnsi="Times New Roman" w:cs="方正仿宋_GBK"/>
          <w:sz w:val="32"/>
          <w:highlight w:val="none"/>
          <w:shd w:val="clear" w:color="auto" w:fill="FFFFFF"/>
        </w:rPr>
        <w:t>高标准完成长江路片区城市更新，推动省美术馆、南京图书馆等文博场馆打开沿街界面，积极引入高品质商业业态和文化演艺项目。常态化组织无人机展演、全息光影秀，持续开展</w:t>
      </w:r>
      <w:r>
        <w:rPr>
          <w:rFonts w:hint="eastAsia" w:ascii="Times New Roman" w:hAnsi="Times New Roman" w:cs="方正仿宋_GBK"/>
          <w:sz w:val="32"/>
          <w:highlight w:val="none"/>
        </w:rPr>
        <w:t>“玄武的100个品牌面孔”宣传，展示玄武良好形象，讲好玄武精彩故事，让玄武的好山好水好人文发挥更高价值。</w:t>
      </w:r>
    </w:p>
    <w:p w14:paraId="26135495">
      <w:pPr>
        <w:pStyle w:val="16"/>
        <w:widowControl w:val="0"/>
        <w:overflowPunct w:val="0"/>
        <w:spacing w:before="0" w:beforeAutospacing="0" w:after="0" w:afterAutospacing="0" w:line="590" w:lineRule="exact"/>
        <w:ind w:firstLine="616"/>
        <w:jc w:val="both"/>
        <w:rPr>
          <w:rFonts w:ascii="Times New Roman" w:hAnsi="Times New Roman" w:cs="方正仿宋_GBK"/>
          <w:spacing w:val="-6"/>
          <w:sz w:val="32"/>
          <w:highlight w:val="none"/>
        </w:rPr>
      </w:pPr>
      <w:r>
        <w:rPr>
          <w:rFonts w:hint="eastAsia" w:ascii="Times New Roman" w:hAnsi="Times New Roman" w:eastAsia="方正黑体_GBK" w:cs="方正黑体_GBK"/>
          <w:spacing w:val="-6"/>
          <w:sz w:val="32"/>
          <w:highlight w:val="none"/>
          <w:shd w:val="clear" w:color="auto" w:fill="FFFFFF"/>
        </w:rPr>
        <w:t>（三）聚焦激活内生动力，全面加快稳健有序的改革开放步伐</w:t>
      </w:r>
    </w:p>
    <w:p w14:paraId="1D01179D">
      <w:pPr>
        <w:pStyle w:val="16"/>
        <w:widowControl w:val="0"/>
        <w:overflowPunct w:val="0"/>
        <w:spacing w:before="0" w:beforeAutospacing="0" w:after="0" w:afterAutospacing="0" w:line="590" w:lineRule="exact"/>
        <w:ind w:firstLine="656"/>
        <w:jc w:val="both"/>
        <w:rPr>
          <w:rFonts w:ascii="Times New Roman" w:hAnsi="Times New Roman" w:cs="方正仿宋_GBK"/>
          <w:spacing w:val="4"/>
          <w:sz w:val="32"/>
          <w:highlight w:val="none"/>
          <w:shd w:val="clear" w:color="auto" w:fill="FFFFFF"/>
        </w:rPr>
      </w:pPr>
      <w:r>
        <w:rPr>
          <w:rFonts w:hint="eastAsia" w:ascii="Times New Roman" w:hAnsi="Times New Roman" w:cs="方正仿宋_GBK"/>
          <w:spacing w:val="4"/>
          <w:sz w:val="32"/>
          <w:highlight w:val="none"/>
          <w:shd w:val="clear" w:color="auto" w:fill="FFFFFF"/>
        </w:rPr>
        <w:t>坚持以改革破难题、以创新增动能、以开放激活力，着力打通制约经济社会发展的堵点卡点，最大限度解放和发展社会生产力。</w:t>
      </w:r>
    </w:p>
    <w:p w14:paraId="38078E90">
      <w:pPr>
        <w:pStyle w:val="16"/>
        <w:widowControl w:val="0"/>
        <w:overflowPunct w:val="0"/>
        <w:spacing w:before="0" w:beforeAutospacing="0" w:after="0" w:afterAutospacing="0" w:line="590" w:lineRule="exact"/>
        <w:ind w:firstLine="640"/>
        <w:jc w:val="both"/>
        <w:rPr>
          <w:rFonts w:ascii="Times New Roman" w:hAnsi="Times New Roman" w:cs="方正仿宋_GBK"/>
          <w:sz w:val="32"/>
          <w:highlight w:val="none"/>
        </w:rPr>
      </w:pPr>
      <w:r>
        <w:rPr>
          <w:rStyle w:val="22"/>
          <w:rFonts w:hint="eastAsia" w:ascii="Times New Roman" w:hAnsi="Times New Roman" w:eastAsia="方正楷体_GBK" w:cs="方正楷体_GBK"/>
          <w:b w:val="0"/>
          <w:bCs w:val="0"/>
          <w:kern w:val="2"/>
          <w:sz w:val="32"/>
          <w:highlight w:val="none"/>
          <w:shd w:val="clear" w:color="auto" w:fill="FFFFFF"/>
        </w:rPr>
        <w:t>以改革塑造竞争优势。</w:t>
      </w:r>
      <w:r>
        <w:rPr>
          <w:rFonts w:hint="eastAsia" w:ascii="Times New Roman" w:hAnsi="Times New Roman" w:cs="方正仿宋_GBK"/>
          <w:sz w:val="32"/>
          <w:highlight w:val="none"/>
        </w:rPr>
        <w:t>积极强化与海南自贸港数字保税区、上海临港新片区联动协作，扎实推进数据要素配置市场化改革，建立健全数据要素确权登记、流通交易、收益分配体系机制，探索推动离岸数据中心等数据跨境基础设施建设，深化拓展电池数字护照、智能汽车数据出海等应用场景，承接数据流通利用基础设施、行业高质量数据集等建设任务，在数据治理、产品开发、要素流通等方面形成一批标志性成果。</w:t>
      </w:r>
      <w:r>
        <w:rPr>
          <w:rFonts w:hint="eastAsia" w:ascii="Times New Roman" w:hAnsi="Times New Roman" w:cs="方正仿宋_GBK"/>
          <w:sz w:val="32"/>
          <w:highlight w:val="none"/>
          <w:shd w:val="clear" w:color="auto" w:fill="FFFFFF"/>
        </w:rPr>
        <w:t>积极融入全国统一大市场，</w:t>
      </w:r>
      <w:r>
        <w:rPr>
          <w:rFonts w:hint="eastAsia" w:ascii="Times New Roman" w:hAnsi="Times New Roman" w:cs="方正仿宋_GBK"/>
          <w:sz w:val="32"/>
          <w:highlight w:val="none"/>
        </w:rPr>
        <w:t>深化“一件事一次办”集成服务，开展规范涉企执法专项行动，完善促进民营经济发展壮大政策举措，推动涉企政策“一站式”发布和免申即享、直达快享，进一步激发各类经营主体发展动力和活力。</w:t>
      </w:r>
    </w:p>
    <w:p w14:paraId="145378D7">
      <w:pPr>
        <w:pStyle w:val="16"/>
        <w:widowControl w:val="0"/>
        <w:overflowPunct w:val="0"/>
        <w:spacing w:before="0" w:beforeAutospacing="0" w:after="0" w:afterAutospacing="0" w:line="590" w:lineRule="exact"/>
        <w:ind w:firstLine="640"/>
        <w:jc w:val="both"/>
        <w:rPr>
          <w:rFonts w:ascii="Times New Roman" w:hAnsi="Times New Roman" w:cs="方正仿宋_GBK"/>
          <w:b/>
          <w:highlight w:val="none"/>
        </w:rPr>
      </w:pPr>
      <w:r>
        <w:rPr>
          <w:rStyle w:val="22"/>
          <w:rFonts w:hint="eastAsia" w:ascii="Times New Roman" w:hAnsi="Times New Roman" w:eastAsia="方正楷体_GBK" w:cs="方正楷体_GBK"/>
          <w:b w:val="0"/>
          <w:bCs w:val="0"/>
          <w:kern w:val="2"/>
          <w:sz w:val="32"/>
          <w:highlight w:val="none"/>
          <w:shd w:val="clear" w:color="auto" w:fill="FFFFFF"/>
        </w:rPr>
        <w:t>以创新厚植发展根基。</w:t>
      </w:r>
      <w:r>
        <w:rPr>
          <w:rFonts w:hint="eastAsia" w:ascii="Times New Roman" w:hAnsi="Times New Roman" w:cs="方正仿宋_GBK"/>
          <w:sz w:val="32"/>
          <w:highlight w:val="none"/>
          <w:shd w:val="clear" w:color="auto" w:fill="FFFFFF"/>
        </w:rPr>
        <w:t>全面</w:t>
      </w:r>
      <w:r>
        <w:rPr>
          <w:rFonts w:ascii="Times New Roman" w:hAnsi="Times New Roman" w:cs="方正仿宋_GBK"/>
          <w:sz w:val="32"/>
          <w:highlight w:val="none"/>
        </w:rPr>
        <w:t>参与紫金山创新带建设，</w:t>
      </w:r>
      <w:r>
        <w:rPr>
          <w:rFonts w:hint="eastAsia" w:ascii="Times New Roman" w:hAnsi="Times New Roman" w:cs="方正仿宋_GBK"/>
          <w:sz w:val="32"/>
          <w:highlight w:val="none"/>
          <w:shd w:val="clear" w:color="auto" w:fill="FFFFFF"/>
        </w:rPr>
        <w:t>全力推进生物育种钟山实验室总部载体建设，高标准抓好南京大学国家大学科技园玄武园区、南京农业大学动物大健康产业园建设，加速推动江苏集萃医工交叉技术研究所创新医疗器械</w:t>
      </w:r>
      <w:r>
        <w:rPr>
          <w:rFonts w:hint="eastAsia" w:ascii="Times New Roman" w:hAnsi="Times New Roman"/>
          <w:sz w:val="32"/>
          <w:highlight w:val="none"/>
        </w:rPr>
        <w:t>领域等</w:t>
      </w:r>
      <w:r>
        <w:rPr>
          <w:rFonts w:hint="eastAsia" w:ascii="Times New Roman" w:hAnsi="Times New Roman" w:cs="方正仿宋_GBK"/>
          <w:sz w:val="32"/>
          <w:highlight w:val="none"/>
          <w:shd w:val="clear" w:color="auto" w:fill="FFFFFF"/>
        </w:rPr>
        <w:t>概念验证中心重大科技成果落地转化。</w:t>
      </w:r>
      <w:r>
        <w:rPr>
          <w:rFonts w:hint="eastAsia" w:ascii="Times New Roman" w:hAnsi="Times New Roman" w:cs="方正仿宋_GBK"/>
          <w:sz w:val="32"/>
          <w:highlight w:val="none"/>
        </w:rPr>
        <w:t>加快珠江路载体盘活进程，促进科技与文商旅深度融合发展，打造数字经济核心产业集聚区。</w:t>
      </w:r>
      <w:r>
        <w:rPr>
          <w:rFonts w:hint="eastAsia" w:ascii="Times New Roman" w:hAnsi="Times New Roman" w:cs="方正仿宋_GBK"/>
          <w:sz w:val="32"/>
          <w:highlight w:val="none"/>
          <w:shd w:val="clear" w:color="auto" w:fill="FFFFFF"/>
        </w:rPr>
        <w:t>持续</w:t>
      </w:r>
      <w:r>
        <w:rPr>
          <w:rFonts w:hint="eastAsia" w:ascii="Times New Roman" w:hAnsi="Times New Roman" w:cs="方正仿宋_GBK"/>
          <w:sz w:val="32"/>
          <w:highlight w:val="none"/>
        </w:rPr>
        <w:t>开展科创森林培育工作，</w:t>
      </w:r>
      <w:r>
        <w:rPr>
          <w:rFonts w:hint="eastAsia" w:ascii="Times New Roman" w:hAnsi="Times New Roman" w:cs="方正仿宋_GBK"/>
          <w:sz w:val="32"/>
          <w:highlight w:val="none"/>
          <w:shd w:val="clear" w:color="auto" w:fill="FFFFFF"/>
        </w:rPr>
        <w:t>重点培养一批具有行业影响力的独角兽、瞪羚和专精特新企业</w:t>
      </w:r>
      <w:r>
        <w:rPr>
          <w:rFonts w:hint="eastAsia" w:ascii="Times New Roman" w:hAnsi="Times New Roman" w:cs="方正仿宋_GBK"/>
          <w:sz w:val="32"/>
          <w:highlight w:val="none"/>
          <w:shd w:val="clear" w:color="auto" w:fill="FFFFFF"/>
        </w:rPr>
        <w:t>，</w:t>
      </w:r>
      <w:r>
        <w:rPr>
          <w:rFonts w:hint="eastAsia" w:ascii="Times New Roman" w:hAnsi="Times New Roman" w:cs="方正仿宋_GBK"/>
          <w:sz w:val="32"/>
          <w:highlight w:val="none"/>
        </w:rPr>
        <w:t>认定高新技术企业150家，</w:t>
      </w:r>
      <w:r>
        <w:rPr>
          <w:rFonts w:hint="eastAsia" w:ascii="Times New Roman" w:hAnsi="Times New Roman" w:cs="方正仿宋_GBK"/>
          <w:sz w:val="32"/>
          <w:highlight w:val="none"/>
        </w:rPr>
        <w:t>技术合同成交额达100</w:t>
      </w:r>
      <w:r>
        <w:rPr>
          <w:rFonts w:hint="eastAsia" w:ascii="Times New Roman" w:hAnsi="Times New Roman"/>
          <w:sz w:val="32"/>
          <w:highlight w:val="none"/>
        </w:rPr>
        <w:t>亿元</w:t>
      </w:r>
      <w:r>
        <w:rPr>
          <w:rFonts w:hint="eastAsia" w:ascii="Times New Roman" w:hAnsi="Times New Roman" w:cs="方正仿宋_GBK"/>
          <w:sz w:val="32"/>
          <w:highlight w:val="none"/>
          <w:shd w:val="clear" w:color="auto" w:fill="FFFFFF"/>
        </w:rPr>
        <w:t>。建立健全分层分类的人才引育体系，推进东南大学—玄武区卓越工程师联合培养基地建设</w:t>
      </w:r>
      <w:r>
        <w:rPr>
          <w:rFonts w:hint="eastAsia" w:ascii="Times New Roman" w:hAnsi="Times New Roman" w:cs="方正仿宋_GBK"/>
          <w:sz w:val="32"/>
          <w:highlight w:val="none"/>
        </w:rPr>
        <w:t>，招引高层次科技人才100名。</w:t>
      </w:r>
    </w:p>
    <w:p w14:paraId="1ACC9948">
      <w:pPr>
        <w:pStyle w:val="16"/>
        <w:widowControl w:val="0"/>
        <w:overflowPunct w:val="0"/>
        <w:spacing w:before="0" w:beforeAutospacing="0" w:after="0" w:afterAutospacing="0" w:line="590" w:lineRule="exact"/>
        <w:ind w:firstLine="656"/>
        <w:jc w:val="both"/>
        <w:rPr>
          <w:rFonts w:ascii="Times New Roman" w:hAnsi="Times New Roman" w:cs="方正仿宋_GBK"/>
          <w:kern w:val="2"/>
          <w:sz w:val="32"/>
          <w:highlight w:val="none"/>
          <w:lang w:bidi="ar"/>
        </w:rPr>
      </w:pPr>
      <w:r>
        <w:rPr>
          <w:rStyle w:val="22"/>
          <w:rFonts w:hint="eastAsia" w:ascii="Times New Roman" w:hAnsi="Times New Roman" w:eastAsia="方正楷体_GBK" w:cs="方正楷体_GBK"/>
          <w:b w:val="0"/>
          <w:bCs w:val="0"/>
          <w:spacing w:val="4"/>
          <w:kern w:val="2"/>
          <w:sz w:val="32"/>
          <w:highlight w:val="none"/>
          <w:shd w:val="clear" w:color="auto" w:fill="FFFFFF"/>
        </w:rPr>
        <w:t>以开放集聚高端要素。</w:t>
      </w:r>
      <w:r>
        <w:rPr>
          <w:rFonts w:hint="eastAsia" w:ascii="Times New Roman" w:hAnsi="Times New Roman" w:cs="方正仿宋_GBK"/>
          <w:spacing w:val="4"/>
          <w:sz w:val="32"/>
          <w:highlight w:val="none"/>
        </w:rPr>
        <w:t>充分发挥中国</w:t>
      </w:r>
      <w:r>
        <w:rPr>
          <w:rFonts w:hint="eastAsia" w:ascii="Times New Roman" w:hAnsi="Times New Roman" w:cs="方正仿宋_GBK"/>
          <w:sz w:val="32"/>
          <w:highlight w:val="none"/>
        </w:rPr>
        <w:t>—</w:t>
      </w:r>
      <w:r>
        <w:rPr>
          <w:rFonts w:hint="eastAsia" w:ascii="Times New Roman" w:hAnsi="Times New Roman" w:cs="方正仿宋_GBK"/>
          <w:spacing w:val="4"/>
          <w:sz w:val="32"/>
          <w:highlight w:val="none"/>
        </w:rPr>
        <w:t>中亚贸易畅通合作平</w:t>
      </w:r>
      <w:r>
        <w:rPr>
          <w:rFonts w:hint="eastAsia" w:ascii="Times New Roman" w:hAnsi="Times New Roman" w:cs="方正仿宋_GBK"/>
          <w:sz w:val="32"/>
          <w:highlight w:val="none"/>
        </w:rPr>
        <w:t>台作用，全面深化与苏豪控股集团战略合作，系统谋划供应链管理、双边贸易、重大展会等事项，</w:t>
      </w:r>
      <w:r>
        <w:rPr>
          <w:rFonts w:hint="eastAsia" w:ascii="Times New Roman" w:hAnsi="Times New Roman" w:cs="Times New Roman"/>
          <w:kern w:val="2"/>
          <w:sz w:val="32"/>
          <w:highlight w:val="none"/>
          <w:lang w:bidi="ar"/>
        </w:rPr>
        <w:t>大力推动金融、海关、商贸等高能级开放政策落地，积极打造国家级海外综合服务平台，</w:t>
      </w:r>
      <w:r>
        <w:rPr>
          <w:rFonts w:ascii="Times New Roman" w:hAnsi="Times New Roman" w:cs="方正仿宋_GBK"/>
          <w:sz w:val="32"/>
          <w:highlight w:val="none"/>
        </w:rPr>
        <w:t>吸引</w:t>
      </w:r>
      <w:r>
        <w:rPr>
          <w:rFonts w:hint="eastAsia" w:ascii="Times New Roman" w:hAnsi="Times New Roman" w:cs="方正仿宋_GBK"/>
          <w:sz w:val="32"/>
          <w:highlight w:val="none"/>
        </w:rPr>
        <w:t>集聚</w:t>
      </w:r>
      <w:r>
        <w:rPr>
          <w:rFonts w:hint="eastAsia" w:ascii="Times New Roman" w:hAnsi="Times New Roman" w:cs="Times New Roman"/>
          <w:sz w:val="32"/>
          <w:highlight w:val="none"/>
        </w:rPr>
        <w:t>一批数字服务贸易领域龙头型企业，</w:t>
      </w:r>
      <w:r>
        <w:rPr>
          <w:rFonts w:hint="eastAsia" w:ascii="Times New Roman" w:hAnsi="Times New Roman" w:cs="方正仿宋_GBK"/>
          <w:sz w:val="32"/>
          <w:highlight w:val="none"/>
        </w:rPr>
        <w:t>支持中亚国家设立贸易代表处或商会、协会代表处，支持苏豪控股集团承办中亚贸易博览会，把平台建设成国家面向中亚方向的开放政策高地、跨境金融通道、数字贸易枢纽和产业生态集聚区，推动玄武建设具有世界影响力的国家数字贸易示范区。深入推进中亚江苏中心、江苏非洲中心等平台建设，与中国—中亚贸易畅通合作平台联动发展，</w:t>
      </w:r>
      <w:r>
        <w:rPr>
          <w:rFonts w:hint="eastAsia" w:ascii="Times New Roman" w:hAnsi="Times New Roman" w:cs="Times New Roman"/>
          <w:sz w:val="32"/>
          <w:highlight w:val="none"/>
        </w:rPr>
        <w:t>更大力度打开链接</w:t>
      </w:r>
      <w:r>
        <w:rPr>
          <w:rFonts w:hint="eastAsia" w:ascii="Times New Roman" w:hAnsi="Times New Roman" w:cs="方正仿宋_GBK"/>
          <w:kern w:val="2"/>
          <w:sz w:val="32"/>
          <w:highlight w:val="none"/>
          <w:lang w:bidi="ar"/>
        </w:rPr>
        <w:t>“一带一路”沿线及</w:t>
      </w:r>
      <w:r>
        <w:rPr>
          <w:rFonts w:ascii="Times New Roman" w:hAnsi="Times New Roman" w:cs="方正仿宋_GBK"/>
          <w:kern w:val="2"/>
          <w:sz w:val="32"/>
          <w:highlight w:val="none"/>
          <w:lang w:bidi="ar"/>
        </w:rPr>
        <w:t>周边国家</w:t>
      </w:r>
      <w:r>
        <w:rPr>
          <w:rFonts w:hint="eastAsia" w:ascii="Times New Roman" w:hAnsi="Times New Roman" w:cs="方正仿宋_GBK"/>
          <w:kern w:val="2"/>
          <w:sz w:val="32"/>
          <w:highlight w:val="none"/>
          <w:lang w:bidi="ar"/>
        </w:rPr>
        <w:t>通道，</w:t>
      </w:r>
      <w:r>
        <w:rPr>
          <w:rFonts w:hint="eastAsia" w:ascii="Times New Roman" w:hAnsi="Times New Roman" w:cs="方正仿宋_GBK"/>
          <w:sz w:val="32"/>
          <w:highlight w:val="none"/>
        </w:rPr>
        <w:t>全力支持苏美达、汇通达等行业龙头企业拓展海外市场，全年组织对外经贸交流活</w:t>
      </w:r>
      <w:r>
        <w:rPr>
          <w:rFonts w:hint="eastAsia" w:ascii="Times New Roman" w:hAnsi="Times New Roman" w:cs="Times New Roman"/>
          <w:sz w:val="32"/>
          <w:highlight w:val="none"/>
        </w:rPr>
        <w:t>动超</w:t>
      </w:r>
      <w:r>
        <w:rPr>
          <w:rFonts w:ascii="Times New Roman" w:hAnsi="Times New Roman" w:cs="Times New Roman"/>
          <w:sz w:val="32"/>
          <w:highlight w:val="none"/>
        </w:rPr>
        <w:t>20</w:t>
      </w:r>
      <w:r>
        <w:rPr>
          <w:rFonts w:hint="eastAsia" w:ascii="Times New Roman" w:hAnsi="Times New Roman" w:cs="Times New Roman"/>
          <w:sz w:val="32"/>
          <w:highlight w:val="none"/>
        </w:rPr>
        <w:t>场。</w:t>
      </w:r>
    </w:p>
    <w:p w14:paraId="2ED16104">
      <w:pPr>
        <w:pStyle w:val="16"/>
        <w:widowControl w:val="0"/>
        <w:overflowPunct w:val="0"/>
        <w:spacing w:before="0" w:beforeAutospacing="0" w:after="0" w:afterAutospacing="0" w:line="590" w:lineRule="exact"/>
        <w:ind w:firstLine="616"/>
        <w:jc w:val="both"/>
        <w:rPr>
          <w:rStyle w:val="22"/>
          <w:rFonts w:ascii="Times New Roman" w:hAnsi="Times New Roman" w:eastAsia="方正黑体_GBK" w:cs="方正黑体_GBK"/>
          <w:b w:val="0"/>
          <w:bCs w:val="0"/>
          <w:spacing w:val="-6"/>
          <w:sz w:val="32"/>
          <w:highlight w:val="none"/>
          <w:shd w:val="clear" w:color="auto" w:fill="FFFFFF"/>
        </w:rPr>
      </w:pPr>
      <w:r>
        <w:rPr>
          <w:rStyle w:val="22"/>
          <w:rFonts w:hint="eastAsia" w:ascii="Times New Roman" w:hAnsi="Times New Roman" w:eastAsia="方正黑体_GBK" w:cs="方正黑体_GBK"/>
          <w:b w:val="0"/>
          <w:bCs w:val="0"/>
          <w:spacing w:val="-6"/>
          <w:sz w:val="32"/>
          <w:highlight w:val="none"/>
          <w:shd w:val="clear" w:color="auto" w:fill="FFFFFF"/>
        </w:rPr>
        <w:t>（四）聚焦提升功能品质，精心构建融合有度的城市发展格局</w:t>
      </w:r>
    </w:p>
    <w:p w14:paraId="7D616DFB">
      <w:pPr>
        <w:pStyle w:val="16"/>
        <w:widowControl w:val="0"/>
        <w:spacing w:before="0" w:beforeAutospacing="0" w:after="0" w:afterAutospacing="0" w:line="590" w:lineRule="exact"/>
        <w:ind w:firstLine="640"/>
        <w:jc w:val="both"/>
        <w:rPr>
          <w:rFonts w:ascii="Times New Roman" w:hAnsi="Times New Roman" w:cs="方正仿宋_GBK"/>
          <w:sz w:val="32"/>
          <w:highlight w:val="none"/>
          <w:shd w:val="clear" w:color="auto" w:fill="FFFFFF"/>
        </w:rPr>
      </w:pPr>
      <w:r>
        <w:rPr>
          <w:rFonts w:hint="eastAsia" w:ascii="Times New Roman" w:hAnsi="Times New Roman" w:cs="方正仿宋_GBK"/>
          <w:sz w:val="32"/>
          <w:highlight w:val="none"/>
          <w:shd w:val="clear" w:color="auto" w:fill="FFFFFF"/>
        </w:rPr>
        <w:t>深入贯彻落实中央和省委、市委城市工作会议精神，突出高质量发展主题和内涵式发展主线，统筹推进高水平建设、高效能治理、高标准保护，打造更富活力、更有品质的中心城区。</w:t>
      </w:r>
    </w:p>
    <w:p w14:paraId="57C633BA">
      <w:pPr>
        <w:pStyle w:val="16"/>
        <w:widowControl w:val="0"/>
        <w:spacing w:before="0" w:beforeAutospacing="0" w:after="0" w:afterAutospacing="0" w:line="590" w:lineRule="exact"/>
        <w:ind w:firstLine="640"/>
        <w:jc w:val="both"/>
        <w:rPr>
          <w:rFonts w:ascii="Times New Roman" w:hAnsi="Times New Roman" w:cs="方正仿宋_GBK"/>
          <w:sz w:val="32"/>
          <w:highlight w:val="none"/>
          <w:shd w:val="clear" w:color="auto" w:fill="FFFFFF"/>
        </w:rPr>
      </w:pPr>
      <w:r>
        <w:rPr>
          <w:rStyle w:val="22"/>
          <w:rFonts w:hint="eastAsia" w:ascii="Times New Roman" w:hAnsi="Times New Roman" w:eastAsia="方正楷体_GBK" w:cs="方正楷体_GBK"/>
          <w:b w:val="0"/>
          <w:bCs w:val="0"/>
          <w:kern w:val="2"/>
          <w:sz w:val="32"/>
          <w:highlight w:val="none"/>
          <w:shd w:val="clear" w:color="auto" w:fill="FFFFFF"/>
        </w:rPr>
        <w:t>系统推进全域有机更新。</w:t>
      </w:r>
      <w:r>
        <w:rPr>
          <w:rFonts w:hint="eastAsia" w:ascii="Times New Roman" w:hAnsi="Times New Roman" w:cs="方正仿宋_GBK"/>
          <w:sz w:val="32"/>
          <w:highlight w:val="none"/>
          <w:shd w:val="clear" w:color="auto" w:fill="FFFFFF"/>
        </w:rPr>
        <w:t>全年安排</w:t>
      </w:r>
      <w:r>
        <w:rPr>
          <w:rFonts w:hint="eastAsia" w:ascii="Times New Roman" w:hAnsi="Times New Roman" w:cs="Times New Roman"/>
          <w:sz w:val="32"/>
          <w:highlight w:val="none"/>
        </w:rPr>
        <w:t>城建项目42个，总投资27.2亿元、年度计划投资10.8亿元，稳步推进</w:t>
      </w:r>
      <w:r>
        <w:rPr>
          <w:rFonts w:ascii="Times New Roman" w:hAnsi="Times New Roman" w:cs="Times New Roman"/>
          <w:sz w:val="32"/>
          <w:highlight w:val="none"/>
        </w:rPr>
        <w:t>13</w:t>
      </w:r>
      <w:r>
        <w:rPr>
          <w:rFonts w:hint="eastAsia" w:ascii="Times New Roman" w:hAnsi="Times New Roman" w:cs="Times New Roman"/>
          <w:sz w:val="32"/>
          <w:highlight w:val="none"/>
        </w:rPr>
        <w:t>个老旧小区改造、</w:t>
      </w:r>
      <w:r>
        <w:rPr>
          <w:rFonts w:ascii="Times New Roman" w:hAnsi="Times New Roman" w:cs="Times New Roman"/>
          <w:snapToGrid w:val="0"/>
          <w:sz w:val="32"/>
          <w:highlight w:val="none"/>
        </w:rPr>
        <w:t>3</w:t>
      </w:r>
      <w:r>
        <w:rPr>
          <w:rFonts w:hint="eastAsia" w:ascii="Times New Roman" w:hAnsi="Times New Roman" w:cs="Times New Roman"/>
          <w:snapToGrid w:val="0"/>
          <w:sz w:val="32"/>
          <w:highlight w:val="none"/>
        </w:rPr>
        <w:t>幢危房消险，</w:t>
      </w:r>
      <w:r>
        <w:rPr>
          <w:rFonts w:hint="eastAsia" w:ascii="Times New Roman" w:hAnsi="Times New Roman" w:cs="Times New Roman"/>
          <w:sz w:val="32"/>
          <w:highlight w:val="none"/>
        </w:rPr>
        <w:t>认真抓好余粮路二期、上乘庵路二期等道路新建续建工作</w:t>
      </w:r>
      <w:r>
        <w:rPr>
          <w:rFonts w:hint="eastAsia" w:ascii="Times New Roman" w:hAnsi="Times New Roman" w:cs="Times New Roman"/>
          <w:snapToGrid w:val="0"/>
          <w:sz w:val="32"/>
          <w:highlight w:val="none"/>
        </w:rPr>
        <w:t>，全面完成</w:t>
      </w:r>
      <w:r>
        <w:rPr>
          <w:rFonts w:hint="eastAsia" w:ascii="Times New Roman" w:hAnsi="Times New Roman"/>
          <w:sz w:val="32"/>
          <w:highlight w:val="none"/>
        </w:rPr>
        <w:t>沙塘园路</w:t>
      </w:r>
      <w:r>
        <w:rPr>
          <w:rFonts w:hint="eastAsia" w:ascii="Times New Roman" w:hAnsi="Times New Roman" w:cs="Times New Roman"/>
          <w:snapToGrid w:val="0"/>
          <w:sz w:val="32"/>
          <w:highlight w:val="none"/>
        </w:rPr>
        <w:t>、</w:t>
      </w:r>
      <w:r>
        <w:rPr>
          <w:rFonts w:hint="eastAsia" w:ascii="Times New Roman" w:hAnsi="Times New Roman"/>
          <w:sz w:val="32"/>
          <w:highlight w:val="none"/>
        </w:rPr>
        <w:t>双井巷路</w:t>
      </w:r>
      <w:r>
        <w:rPr>
          <w:rFonts w:hint="eastAsia" w:ascii="Times New Roman" w:hAnsi="Times New Roman" w:cs="Times New Roman"/>
          <w:snapToGrid w:val="0"/>
          <w:sz w:val="32"/>
          <w:highlight w:val="none"/>
        </w:rPr>
        <w:t>等</w:t>
      </w:r>
      <w:r>
        <w:rPr>
          <w:rFonts w:hint="eastAsia" w:ascii="Times New Roman" w:hAnsi="Times New Roman" w:cs="Times New Roman"/>
          <w:sz w:val="32"/>
          <w:highlight w:val="none"/>
        </w:rPr>
        <w:t>8</w:t>
      </w:r>
      <w:r>
        <w:rPr>
          <w:rFonts w:hint="eastAsia" w:ascii="Times New Roman" w:hAnsi="Times New Roman"/>
          <w:sz w:val="32"/>
          <w:highlight w:val="none"/>
        </w:rPr>
        <w:t>条</w:t>
      </w:r>
      <w:r>
        <w:rPr>
          <w:rFonts w:hint="eastAsia" w:ascii="Times New Roman" w:hAnsi="Times New Roman" w:cs="Times New Roman"/>
          <w:snapToGrid w:val="0"/>
          <w:sz w:val="32"/>
          <w:highlight w:val="none"/>
        </w:rPr>
        <w:t>道路整治，</w:t>
      </w:r>
      <w:r>
        <w:rPr>
          <w:rFonts w:ascii="Times New Roman" w:hAnsi="Times New Roman" w:cs="Times New Roman"/>
          <w:snapToGrid w:val="0"/>
          <w:sz w:val="32"/>
          <w:highlight w:val="none"/>
        </w:rPr>
        <w:t>有序</w:t>
      </w:r>
      <w:r>
        <w:rPr>
          <w:rFonts w:hint="eastAsia" w:ascii="Times New Roman" w:hAnsi="Times New Roman" w:cs="Times New Roman"/>
          <w:snapToGrid w:val="0"/>
          <w:sz w:val="32"/>
          <w:highlight w:val="none"/>
        </w:rPr>
        <w:t>开展</w:t>
      </w:r>
      <w:r>
        <w:rPr>
          <w:rFonts w:ascii="Times New Roman" w:hAnsi="Times New Roman" w:cs="Times New Roman"/>
          <w:snapToGrid w:val="0"/>
          <w:sz w:val="32"/>
          <w:highlight w:val="none"/>
        </w:rPr>
        <w:t>新街口</w:t>
      </w:r>
      <w:r>
        <w:rPr>
          <w:rFonts w:hint="eastAsia" w:ascii="Times New Roman" w:hAnsi="Times New Roman" w:cs="Times New Roman"/>
          <w:snapToGrid w:val="0"/>
          <w:sz w:val="32"/>
          <w:highlight w:val="none"/>
        </w:rPr>
        <w:t>广场</w:t>
      </w:r>
      <w:r>
        <w:rPr>
          <w:rFonts w:ascii="Times New Roman" w:hAnsi="Times New Roman" w:cs="Times New Roman"/>
          <w:snapToGrid w:val="0"/>
          <w:sz w:val="32"/>
          <w:highlight w:val="none"/>
        </w:rPr>
        <w:t>东北</w:t>
      </w:r>
      <w:r>
        <w:rPr>
          <w:rFonts w:hint="eastAsia" w:ascii="Times New Roman" w:hAnsi="Times New Roman" w:cs="Times New Roman"/>
          <w:snapToGrid w:val="0"/>
          <w:sz w:val="32"/>
          <w:highlight w:val="none"/>
        </w:rPr>
        <w:t>角</w:t>
      </w:r>
      <w:r>
        <w:rPr>
          <w:rFonts w:ascii="Times New Roman" w:hAnsi="Times New Roman" w:cs="Times New Roman"/>
          <w:snapToGrid w:val="0"/>
          <w:sz w:val="32"/>
          <w:highlight w:val="none"/>
        </w:rPr>
        <w:t>、</w:t>
      </w:r>
      <w:r>
        <w:rPr>
          <w:rFonts w:hint="eastAsia" w:ascii="Times New Roman" w:hAnsi="Times New Roman" w:cs="Times New Roman"/>
          <w:snapToGrid w:val="0"/>
          <w:sz w:val="32"/>
          <w:highlight w:val="none"/>
        </w:rPr>
        <w:t>汇金大厦广场周边环境提升，</w:t>
      </w:r>
      <w:r>
        <w:rPr>
          <w:rFonts w:hint="eastAsia" w:ascii="Times New Roman" w:hAnsi="Times New Roman" w:cs="方正仿宋_GBK"/>
          <w:sz w:val="32"/>
          <w:highlight w:val="none"/>
          <w:shd w:val="clear" w:color="auto" w:fill="FFFFFF"/>
        </w:rPr>
        <w:t>大力推进</w:t>
      </w:r>
      <w:r>
        <w:rPr>
          <w:rFonts w:hint="eastAsia" w:ascii="Times New Roman" w:hAnsi="Times New Roman" w:cs="Times New Roman"/>
          <w:snapToGrid w:val="0"/>
          <w:sz w:val="32"/>
          <w:highlight w:val="none"/>
        </w:rPr>
        <w:t>长途汽车东站南侧地块、</w:t>
      </w:r>
      <w:r>
        <w:rPr>
          <w:rFonts w:hint="eastAsia" w:ascii="Times New Roman" w:hAnsi="Times New Roman" w:cs="方正仿宋_GBK"/>
          <w:sz w:val="32"/>
          <w:highlight w:val="none"/>
          <w:shd w:val="clear" w:color="auto" w:fill="FFFFFF"/>
        </w:rPr>
        <w:t>森林摩尔街区等低效载体</w:t>
      </w:r>
      <w:r>
        <w:rPr>
          <w:rFonts w:ascii="Times New Roman" w:hAnsi="Times New Roman" w:cs="Times New Roman"/>
          <w:snapToGrid w:val="0"/>
          <w:sz w:val="32"/>
          <w:highlight w:val="none"/>
        </w:rPr>
        <w:t>再开发</w:t>
      </w:r>
      <w:r>
        <w:rPr>
          <w:rFonts w:hint="eastAsia" w:ascii="Times New Roman" w:hAnsi="Times New Roman" w:cs="方正仿宋_GBK"/>
          <w:sz w:val="32"/>
          <w:highlight w:val="none"/>
          <w:shd w:val="clear" w:color="auto" w:fill="FFFFFF"/>
        </w:rPr>
        <w:t>，为产业发展和公共服务拓展新空间。深入开展“一路四环”城市更新，</w:t>
      </w:r>
      <w:r>
        <w:rPr>
          <w:rFonts w:ascii="Times New Roman" w:hAnsi="Times New Roman" w:cs="Times New Roman"/>
          <w:sz w:val="32"/>
          <w:highlight w:val="none"/>
        </w:rPr>
        <w:t>以</w:t>
      </w:r>
      <w:r>
        <w:rPr>
          <w:rFonts w:hint="eastAsia" w:ascii="Times New Roman" w:hAnsi="Times New Roman" w:cs="Times New Roman"/>
          <w:sz w:val="32"/>
          <w:highlight w:val="none"/>
        </w:rPr>
        <w:t>活力中心区创建</w:t>
      </w:r>
      <w:r>
        <w:rPr>
          <w:rFonts w:ascii="Times New Roman" w:hAnsi="Times New Roman" w:cs="Times New Roman"/>
          <w:sz w:val="32"/>
          <w:highlight w:val="none"/>
        </w:rPr>
        <w:t>为抓手</w:t>
      </w:r>
      <w:r>
        <w:rPr>
          <w:rFonts w:hint="eastAsia" w:ascii="Times New Roman" w:hAnsi="Times New Roman" w:cs="方正仿宋_GBK"/>
          <w:sz w:val="32"/>
          <w:highlight w:val="none"/>
          <w:shd w:val="clear" w:color="auto" w:fill="FFFFFF"/>
        </w:rPr>
        <w:t>高标准完成长江路文博街区改造，以蓁巷更新升级为引领推动打造东大创新活力街区，系统谋划实施环紫金山片区整体提升，持续深化环红山森林动物园与环玄武湖片区更新联动，进一步推进城区空间结构优化和品质改善。</w:t>
      </w:r>
    </w:p>
    <w:p w14:paraId="558DC111">
      <w:pPr>
        <w:pStyle w:val="16"/>
        <w:widowControl w:val="0"/>
        <w:spacing w:before="0" w:beforeAutospacing="0" w:after="0" w:afterAutospacing="0" w:line="590" w:lineRule="exact"/>
        <w:ind w:firstLine="640"/>
        <w:jc w:val="both"/>
        <w:rPr>
          <w:rFonts w:ascii="Times New Roman" w:hAnsi="Times New Roman" w:cs="方正仿宋_GBK"/>
          <w:sz w:val="32"/>
          <w:highlight w:val="none"/>
          <w:shd w:val="clear" w:color="auto" w:fill="FFFFFF"/>
        </w:rPr>
      </w:pPr>
      <w:r>
        <w:rPr>
          <w:rStyle w:val="22"/>
          <w:rFonts w:hint="eastAsia" w:ascii="Times New Roman" w:hAnsi="Times New Roman" w:eastAsia="方正楷体_GBK" w:cs="方正楷体_GBK"/>
          <w:b w:val="0"/>
          <w:bCs w:val="0"/>
          <w:kern w:val="2"/>
          <w:sz w:val="32"/>
          <w:highlight w:val="none"/>
          <w:shd w:val="clear" w:color="auto" w:fill="FFFFFF"/>
        </w:rPr>
        <w:t>持续提升精细治理水平。</w:t>
      </w:r>
      <w:r>
        <w:rPr>
          <w:rFonts w:hint="eastAsia" w:ascii="Times New Roman" w:hAnsi="Times New Roman" w:cs="Times New Roman"/>
          <w:snapToGrid w:val="0"/>
          <w:sz w:val="32"/>
          <w:highlight w:val="none"/>
        </w:rPr>
        <w:t>有序启动北安门街沿线片区基础设施更新和环境综合提升</w:t>
      </w:r>
      <w:r>
        <w:rPr>
          <w:rFonts w:ascii="Times New Roman" w:hAnsi="Times New Roman" w:cs="Times New Roman"/>
          <w:snapToGrid w:val="0"/>
          <w:sz w:val="32"/>
          <w:highlight w:val="none"/>
        </w:rPr>
        <w:t>，</w:t>
      </w:r>
      <w:r>
        <w:rPr>
          <w:rFonts w:hint="eastAsia" w:ascii="Times New Roman" w:hAnsi="Times New Roman" w:cs="Times New Roman"/>
          <w:snapToGrid w:val="0"/>
          <w:sz w:val="32"/>
          <w:highlight w:val="none"/>
        </w:rPr>
        <w:t>推动实施第四批街角路侧小微空间改造，</w:t>
      </w:r>
      <w:r>
        <w:rPr>
          <w:rFonts w:hint="eastAsia" w:ascii="Times New Roman" w:hAnsi="Times New Roman"/>
          <w:sz w:val="32"/>
          <w:highlight w:val="none"/>
        </w:rPr>
        <w:t>完成干河沿暗涵及百水河友谊河流域排水防涝综合治理、环紫金山区域老旧片区排水管网改造工程，启动唐家山沟流域剩余片区排水管网改造，</w:t>
      </w:r>
      <w:r>
        <w:rPr>
          <w:rFonts w:hint="eastAsia" w:ascii="Times New Roman" w:hAnsi="Times New Roman" w:cs="Times New Roman"/>
          <w:sz w:val="32"/>
          <w:highlight w:val="none"/>
        </w:rPr>
        <w:t>持续推进城市基础设施提档升级。</w:t>
      </w:r>
      <w:r>
        <w:rPr>
          <w:rFonts w:hint="eastAsia" w:ascii="Times New Roman" w:hAnsi="Times New Roman" w:cs="Times New Roman"/>
          <w:kern w:val="2"/>
          <w:sz w:val="32"/>
          <w:highlight w:val="none"/>
        </w:rPr>
        <w:t>系统推进</w:t>
      </w:r>
      <w:r>
        <w:rPr>
          <w:rFonts w:hint="eastAsia" w:ascii="Times New Roman" w:hAnsi="Times New Roman" w:cs="方正仿宋_GBK"/>
          <w:bCs/>
          <w:sz w:val="32"/>
          <w:highlight w:val="none"/>
        </w:rPr>
        <w:t>非机动车协同管理、</w:t>
      </w:r>
      <w:r>
        <w:rPr>
          <w:rFonts w:hint="eastAsia" w:ascii="Times New Roman" w:hAnsi="Times New Roman" w:cs="方正仿宋_GBK"/>
          <w:sz w:val="32"/>
          <w:highlight w:val="none"/>
        </w:rPr>
        <w:t>占道经营专项整治</w:t>
      </w:r>
      <w:r>
        <w:rPr>
          <w:rFonts w:hint="eastAsia" w:ascii="Times New Roman" w:hAnsi="Times New Roman" w:cs="Times New Roman"/>
          <w:kern w:val="2"/>
          <w:sz w:val="32"/>
          <w:highlight w:val="none"/>
        </w:rPr>
        <w:t>、环卫保洁精细作业</w:t>
      </w:r>
      <w:r>
        <w:rPr>
          <w:rFonts w:hint="eastAsia" w:ascii="Times New Roman" w:hAnsi="Times New Roman" w:cs="方正仿宋_GBK"/>
          <w:sz w:val="32"/>
          <w:highlight w:val="none"/>
        </w:rPr>
        <w:t>，对徐庄路堵点进行微改造，新增共享停车位</w:t>
      </w:r>
      <w:r>
        <w:rPr>
          <w:rFonts w:hint="eastAsia" w:ascii="Times New Roman" w:hAnsi="Times New Roman" w:cs="Times New Roman"/>
          <w:snapToGrid w:val="0"/>
          <w:sz w:val="32"/>
          <w:highlight w:val="none"/>
        </w:rPr>
        <w:t>260</w:t>
      </w:r>
      <w:r>
        <w:rPr>
          <w:rFonts w:hint="eastAsia" w:ascii="Times New Roman" w:hAnsi="Times New Roman" w:cs="方正仿宋_GBK"/>
          <w:sz w:val="32"/>
          <w:highlight w:val="none"/>
        </w:rPr>
        <w:t>个</w:t>
      </w:r>
      <w:r>
        <w:rPr>
          <w:rFonts w:hint="eastAsia" w:ascii="Times New Roman" w:hAnsi="Times New Roman" w:cs="Times New Roman"/>
          <w:kern w:val="2"/>
          <w:sz w:val="32"/>
          <w:highlight w:val="none"/>
        </w:rPr>
        <w:t>，</w:t>
      </w:r>
      <w:r>
        <w:rPr>
          <w:rFonts w:hint="eastAsia" w:ascii="Times New Roman" w:hAnsi="Times New Roman" w:cs="Times New Roman"/>
          <w:sz w:val="32"/>
          <w:highlight w:val="none"/>
        </w:rPr>
        <w:t>进一步</w:t>
      </w:r>
      <w:r>
        <w:rPr>
          <w:rFonts w:ascii="Times New Roman" w:hAnsi="Times New Roman" w:cs="Times New Roman"/>
          <w:kern w:val="2"/>
          <w:sz w:val="32"/>
          <w:highlight w:val="none"/>
        </w:rPr>
        <w:t>缓解重点区域</w:t>
      </w:r>
      <w:r>
        <w:rPr>
          <w:rFonts w:hint="eastAsia" w:ascii="Times New Roman" w:hAnsi="Times New Roman" w:cs="Times New Roman"/>
          <w:kern w:val="2"/>
          <w:sz w:val="32"/>
          <w:highlight w:val="none"/>
        </w:rPr>
        <w:t>通行</w:t>
      </w:r>
      <w:r>
        <w:rPr>
          <w:rFonts w:ascii="Times New Roman" w:hAnsi="Times New Roman" w:cs="Times New Roman"/>
          <w:kern w:val="2"/>
          <w:sz w:val="32"/>
          <w:highlight w:val="none"/>
        </w:rPr>
        <w:t>压力</w:t>
      </w:r>
      <w:r>
        <w:rPr>
          <w:rFonts w:ascii="Times New Roman" w:hAnsi="Times New Roman" w:cs="Times New Roman"/>
          <w:sz w:val="32"/>
          <w:highlight w:val="none"/>
        </w:rPr>
        <w:t>。</w:t>
      </w:r>
      <w:r>
        <w:rPr>
          <w:rFonts w:hint="eastAsia" w:ascii="Times New Roman" w:hAnsi="Times New Roman" w:cs="方正仿宋_GBK"/>
          <w:sz w:val="32"/>
          <w:highlight w:val="none"/>
          <w:shd w:val="clear" w:color="auto" w:fill="FFFFFF"/>
        </w:rPr>
        <w:t>健全完善城市运行“一网统管”平台功能，</w:t>
      </w:r>
      <w:r>
        <w:rPr>
          <w:rFonts w:hint="eastAsia" w:ascii="Times New Roman" w:hAnsi="Times New Roman" w:cs="Times New Roman"/>
          <w:sz w:val="32"/>
          <w:highlight w:val="none"/>
        </w:rPr>
        <w:t>在</w:t>
      </w:r>
      <w:r>
        <w:rPr>
          <w:rFonts w:ascii="Times New Roman" w:hAnsi="Times New Roman" w:cs="Times New Roman"/>
          <w:sz w:val="32"/>
          <w:highlight w:val="none"/>
        </w:rPr>
        <w:t>道路、桥梁</w:t>
      </w:r>
      <w:r>
        <w:rPr>
          <w:rFonts w:hint="eastAsia" w:ascii="Times New Roman" w:hAnsi="Times New Roman" w:cs="Times New Roman"/>
          <w:sz w:val="32"/>
          <w:highlight w:val="none"/>
        </w:rPr>
        <w:t>等关键节点加装</w:t>
      </w:r>
      <w:r>
        <w:rPr>
          <w:rFonts w:ascii="Times New Roman" w:hAnsi="Times New Roman" w:cs="Times New Roman"/>
          <w:sz w:val="32"/>
          <w:highlight w:val="none"/>
        </w:rPr>
        <w:t>智慧感知检测设备</w:t>
      </w:r>
      <w:r>
        <w:rPr>
          <w:rFonts w:hint="eastAsia" w:ascii="Times New Roman" w:hAnsi="Times New Roman" w:cs="Times New Roman"/>
          <w:sz w:val="32"/>
          <w:highlight w:val="none"/>
        </w:rPr>
        <w:t>，</w:t>
      </w:r>
      <w:r>
        <w:rPr>
          <w:rFonts w:ascii="Times New Roman" w:hAnsi="Times New Roman" w:cs="Times New Roman"/>
          <w:sz w:val="32"/>
          <w:highlight w:val="none"/>
        </w:rPr>
        <w:t>推动AI技术在</w:t>
      </w:r>
      <w:r>
        <w:rPr>
          <w:rFonts w:hint="eastAsia" w:ascii="Times New Roman" w:hAnsi="Times New Roman" w:cs="方正仿宋_GBK"/>
          <w:sz w:val="32"/>
          <w:highlight w:val="none"/>
          <w:shd w:val="clear" w:color="auto" w:fill="FFFFFF"/>
        </w:rPr>
        <w:t>城市治理</w:t>
      </w:r>
      <w:r>
        <w:rPr>
          <w:rFonts w:ascii="Times New Roman" w:hAnsi="Times New Roman" w:cs="Times New Roman"/>
          <w:sz w:val="32"/>
          <w:highlight w:val="none"/>
        </w:rPr>
        <w:t>中深度融合应用</w:t>
      </w:r>
      <w:r>
        <w:rPr>
          <w:rFonts w:hint="eastAsia" w:ascii="Times New Roman" w:hAnsi="Times New Roman" w:cs="Times New Roman"/>
          <w:sz w:val="32"/>
          <w:highlight w:val="none"/>
        </w:rPr>
        <w:t>。持续</w:t>
      </w:r>
      <w:r>
        <w:rPr>
          <w:rFonts w:hint="eastAsia" w:ascii="Times New Roman" w:hAnsi="Times New Roman" w:cs="方正仿宋_GBK"/>
          <w:sz w:val="32"/>
          <w:highlight w:val="none"/>
        </w:rPr>
        <w:t>开展</w:t>
      </w:r>
      <w:r>
        <w:rPr>
          <w:rFonts w:ascii="Times New Roman" w:hAnsi="Times New Roman" w:cs="Times New Roman"/>
          <w:sz w:val="32"/>
          <w:highlight w:val="none"/>
        </w:rPr>
        <w:t>物业服务</w:t>
      </w:r>
      <w:r>
        <w:rPr>
          <w:rFonts w:hint="eastAsia" w:ascii="Times New Roman" w:hAnsi="Times New Roman" w:cs="Times New Roman"/>
          <w:sz w:val="32"/>
          <w:highlight w:val="none"/>
        </w:rPr>
        <w:t>质量提升行动</w:t>
      </w:r>
      <w:r>
        <w:rPr>
          <w:rFonts w:hint="eastAsia" w:ascii="Times New Roman" w:hAnsi="Times New Roman" w:cs="Times New Roman"/>
          <w:snapToGrid w:val="0"/>
          <w:sz w:val="32"/>
          <w:highlight w:val="none"/>
        </w:rPr>
        <w:t>，</w:t>
      </w:r>
      <w:r>
        <w:rPr>
          <w:rFonts w:ascii="Times New Roman" w:hAnsi="Times New Roman" w:cs="Times New Roman"/>
          <w:sz w:val="32"/>
          <w:highlight w:val="none"/>
        </w:rPr>
        <w:t>整合</w:t>
      </w:r>
      <w:r>
        <w:rPr>
          <w:rFonts w:hint="eastAsia" w:ascii="Times New Roman" w:hAnsi="Times New Roman" w:cs="Times New Roman"/>
          <w:sz w:val="32"/>
          <w:highlight w:val="none"/>
        </w:rPr>
        <w:t>“</w:t>
      </w:r>
      <w:r>
        <w:rPr>
          <w:rFonts w:ascii="Times New Roman" w:hAnsi="Times New Roman" w:cs="Times New Roman"/>
          <w:sz w:val="32"/>
          <w:highlight w:val="none"/>
        </w:rPr>
        <w:t>百子红</w:t>
      </w:r>
      <w:r>
        <w:rPr>
          <w:rFonts w:hint="eastAsia" w:ascii="Times New Roman" w:hAnsi="Times New Roman" w:cs="Times New Roman"/>
          <w:sz w:val="32"/>
          <w:highlight w:val="none"/>
        </w:rPr>
        <w:t>”</w:t>
      </w:r>
      <w:r>
        <w:rPr>
          <w:rFonts w:ascii="Times New Roman" w:hAnsi="Times New Roman" w:cs="Times New Roman"/>
          <w:sz w:val="32"/>
          <w:highlight w:val="none"/>
        </w:rPr>
        <w:t>党建联盟资源拓展便民新业态</w:t>
      </w:r>
      <w:r>
        <w:rPr>
          <w:rFonts w:hint="eastAsia" w:ascii="Times New Roman" w:hAnsi="Times New Roman" w:cs="Times New Roman"/>
          <w:sz w:val="32"/>
          <w:highlight w:val="none"/>
        </w:rPr>
        <w:t>，</w:t>
      </w:r>
      <w:r>
        <w:rPr>
          <w:rFonts w:hint="eastAsia" w:ascii="Times New Roman" w:hAnsi="Times New Roman" w:cs="Times New Roman"/>
          <w:snapToGrid w:val="0"/>
          <w:sz w:val="32"/>
          <w:highlight w:val="none"/>
        </w:rPr>
        <w:t>推动物业管理更好融入基层治理体系</w:t>
      </w:r>
      <w:r>
        <w:rPr>
          <w:rFonts w:hint="eastAsia" w:ascii="Times New Roman" w:hAnsi="Times New Roman" w:cs="方正仿宋_GBK"/>
          <w:sz w:val="32"/>
          <w:highlight w:val="none"/>
          <w:shd w:val="clear" w:color="auto" w:fill="FFFFFF"/>
        </w:rPr>
        <w:t>。加强市容环境综合治理，深化垃圾分类全流程管理，全面提升大件垃圾、装修垃圾等资源化利用水平。</w:t>
      </w:r>
    </w:p>
    <w:p w14:paraId="15A7311D">
      <w:pPr>
        <w:pStyle w:val="16"/>
        <w:widowControl w:val="0"/>
        <w:spacing w:before="0" w:beforeAutospacing="0" w:after="0" w:afterAutospacing="0" w:line="590" w:lineRule="exact"/>
        <w:ind w:firstLine="640"/>
        <w:jc w:val="both"/>
        <w:rPr>
          <w:rFonts w:ascii="Times New Roman" w:hAnsi="Times New Roman" w:cs="Times New Roman"/>
          <w:kern w:val="2"/>
          <w:sz w:val="32"/>
          <w:highlight w:val="none"/>
        </w:rPr>
      </w:pPr>
      <w:r>
        <w:rPr>
          <w:rStyle w:val="22"/>
          <w:rFonts w:hint="eastAsia" w:ascii="Times New Roman" w:hAnsi="Times New Roman" w:eastAsia="方正楷体_GBK" w:cs="方正楷体_GBK"/>
          <w:b w:val="0"/>
          <w:bCs w:val="0"/>
          <w:kern w:val="2"/>
          <w:sz w:val="32"/>
          <w:highlight w:val="none"/>
          <w:shd w:val="clear" w:color="auto" w:fill="FFFFFF"/>
        </w:rPr>
        <w:t>全面加快绿色转型步伐。</w:t>
      </w:r>
      <w:r>
        <w:rPr>
          <w:rFonts w:hint="eastAsia" w:ascii="Times New Roman" w:hAnsi="Times New Roman" w:cs="Times New Roman"/>
          <w:sz w:val="32"/>
          <w:szCs w:val="36"/>
          <w:highlight w:val="none"/>
        </w:rPr>
        <w:t>持续打</w:t>
      </w:r>
      <w:r>
        <w:rPr>
          <w:rFonts w:hint="eastAsia" w:ascii="Times New Roman" w:hAnsi="Times New Roman"/>
          <w:sz w:val="32"/>
          <w:highlight w:val="none"/>
        </w:rPr>
        <w:t>好蓝天碧水净土保卫战，</w:t>
      </w:r>
      <w:r>
        <w:rPr>
          <w:rFonts w:hint="eastAsia" w:ascii="Times New Roman" w:hAnsi="Times New Roman" w:cs="Times New Roman"/>
          <w:sz w:val="32"/>
          <w:szCs w:val="36"/>
          <w:highlight w:val="none"/>
        </w:rPr>
        <w:t>高标准</w:t>
      </w:r>
      <w:r>
        <w:rPr>
          <w:rFonts w:ascii="Times New Roman" w:hAnsi="Times New Roman" w:cs="Times New Roman"/>
          <w:sz w:val="32"/>
          <w:szCs w:val="36"/>
          <w:highlight w:val="none"/>
        </w:rPr>
        <w:t>完成</w:t>
      </w:r>
      <w:r>
        <w:rPr>
          <w:rFonts w:ascii="Times New Roman" w:hAnsi="Times New Roman" w:cs="Times New Roman"/>
          <w:sz w:val="32"/>
          <w:highlight w:val="none"/>
        </w:rPr>
        <w:t>6</w:t>
      </w:r>
      <w:r>
        <w:rPr>
          <w:rFonts w:hint="eastAsia" w:ascii="Times New Roman" w:hAnsi="Times New Roman" w:cs="Times New Roman"/>
          <w:sz w:val="32"/>
          <w:szCs w:val="36"/>
          <w:highlight w:val="none"/>
        </w:rPr>
        <w:t>个</w:t>
      </w:r>
      <w:r>
        <w:rPr>
          <w:rFonts w:ascii="Times New Roman" w:hAnsi="Times New Roman" w:cs="Times New Roman"/>
          <w:sz w:val="32"/>
          <w:szCs w:val="36"/>
          <w:highlight w:val="none"/>
        </w:rPr>
        <w:t>大气治理工程项目</w:t>
      </w:r>
      <w:r>
        <w:rPr>
          <w:rFonts w:hint="eastAsia" w:ascii="Times New Roman" w:hAnsi="Times New Roman" w:cs="方正仿宋_GBK"/>
          <w:sz w:val="32"/>
          <w:highlight w:val="none"/>
          <w:shd w:val="clear" w:color="auto" w:fill="FFFFFF"/>
        </w:rPr>
        <w:t>，不断深化幸福河湖创建工作，</w:t>
      </w:r>
      <w:r>
        <w:rPr>
          <w:rFonts w:hint="eastAsia" w:ascii="Times New Roman" w:hAnsi="Times New Roman" w:cs="方正仿宋_GBK"/>
          <w:snapToGrid w:val="0"/>
          <w:spacing w:val="4"/>
          <w:sz w:val="32"/>
          <w:highlight w:val="none"/>
        </w:rPr>
        <w:t>深入推进“无废城市”建设</w:t>
      </w:r>
      <w:r>
        <w:rPr>
          <w:rFonts w:hint="eastAsia" w:ascii="Times New Roman" w:hAnsi="Times New Roman" w:cs="Times New Roman"/>
          <w:snapToGrid w:val="0"/>
          <w:spacing w:val="4"/>
          <w:sz w:val="32"/>
          <w:highlight w:val="none"/>
        </w:rPr>
        <w:t>，</w:t>
      </w:r>
      <w:r>
        <w:rPr>
          <w:rFonts w:hint="eastAsia" w:ascii="Times New Roman" w:hAnsi="Times New Roman" w:cs="Times New Roman"/>
          <w:spacing w:val="4"/>
          <w:kern w:val="2"/>
          <w:sz w:val="32"/>
          <w:highlight w:val="none"/>
        </w:rPr>
        <w:t>认真抓好中央和省生态环境保护督察交办问题整改销号。积极推广绿色理念、绿色技术和绿色应</w:t>
      </w:r>
      <w:r>
        <w:rPr>
          <w:rFonts w:hint="eastAsia" w:ascii="Times New Roman" w:hAnsi="Times New Roman" w:cs="Times New Roman"/>
          <w:kern w:val="2"/>
          <w:sz w:val="32"/>
          <w:highlight w:val="none"/>
        </w:rPr>
        <w:t>用，进一步完善电动汽车换电站网络布局，引导更多</w:t>
      </w:r>
      <w:r>
        <w:rPr>
          <w:rFonts w:ascii="Times New Roman" w:hAnsi="Times New Roman" w:cs="Times New Roman"/>
          <w:kern w:val="2"/>
          <w:sz w:val="32"/>
          <w:highlight w:val="none"/>
        </w:rPr>
        <w:t>星级酒店</w:t>
      </w:r>
      <w:r>
        <w:rPr>
          <w:rFonts w:hint="eastAsia" w:ascii="Times New Roman" w:hAnsi="Times New Roman" w:cs="Times New Roman"/>
          <w:kern w:val="2"/>
          <w:sz w:val="32"/>
          <w:highlight w:val="none"/>
        </w:rPr>
        <w:t>加入低碳</w:t>
      </w:r>
      <w:r>
        <w:rPr>
          <w:rFonts w:ascii="Times New Roman" w:hAnsi="Times New Roman" w:cs="Times New Roman"/>
          <w:kern w:val="2"/>
          <w:sz w:val="32"/>
          <w:highlight w:val="none"/>
        </w:rPr>
        <w:t>商旅试点</w:t>
      </w:r>
      <w:r>
        <w:rPr>
          <w:rFonts w:hint="eastAsia" w:ascii="Times New Roman" w:hAnsi="Times New Roman" w:cs="Times New Roman"/>
          <w:kern w:val="2"/>
          <w:sz w:val="32"/>
          <w:highlight w:val="none"/>
        </w:rPr>
        <w:t>，加快培育一批绿色工厂、零碳园区，大力倡导绿色出行等低碳生活新风尚。</w:t>
      </w:r>
      <w:r>
        <w:rPr>
          <w:rFonts w:hint="eastAsia" w:ascii="Times New Roman" w:hAnsi="Times New Roman" w:cs="方正仿宋_GBK"/>
          <w:sz w:val="32"/>
          <w:highlight w:val="none"/>
          <w:shd w:val="clear" w:color="auto" w:fill="FFFFFF"/>
        </w:rPr>
        <w:t>全面强化数碳融合发展，深入</w:t>
      </w:r>
      <w:r>
        <w:rPr>
          <w:rFonts w:hint="eastAsia" w:ascii="Times New Roman" w:hAnsi="Times New Roman" w:cs="Times New Roman"/>
          <w:kern w:val="2"/>
          <w:sz w:val="32"/>
          <w:highlight w:val="none"/>
        </w:rPr>
        <w:t>推进</w:t>
      </w:r>
      <w:r>
        <w:rPr>
          <w:rFonts w:hint="eastAsia" w:ascii="Times New Roman" w:hAnsi="Times New Roman" w:cs="方正仿宋_GBK"/>
          <w:sz w:val="32"/>
          <w:highlight w:val="none"/>
        </w:rPr>
        <w:t>江苏绿色低碳服务业集聚区建设，支持中节能大数据打造“零碳云”平台，深化北京绿色交易所南京绿色公共服务中心建设，推动上海易碳、捷通华声等绿色低碳领军企业落地</w:t>
      </w:r>
      <w:r>
        <w:rPr>
          <w:rFonts w:hint="eastAsia" w:ascii="Times New Roman" w:hAnsi="Times New Roman" w:cs="方正仿宋_GBK"/>
          <w:sz w:val="32"/>
          <w:highlight w:val="none"/>
          <w:shd w:val="clear" w:color="auto" w:fill="FFFFFF"/>
        </w:rPr>
        <w:t>，</w:t>
      </w:r>
      <w:r>
        <w:rPr>
          <w:rFonts w:hint="eastAsia" w:ascii="Times New Roman" w:hAnsi="Times New Roman" w:cs="Times New Roman"/>
          <w:kern w:val="2"/>
          <w:sz w:val="32"/>
          <w:highlight w:val="none"/>
        </w:rPr>
        <w:t>探索</w:t>
      </w:r>
      <w:r>
        <w:rPr>
          <w:rFonts w:hint="eastAsia" w:ascii="Times New Roman" w:hAnsi="Times New Roman" w:cs="方正仿宋_GBK"/>
          <w:sz w:val="32"/>
          <w:highlight w:val="none"/>
          <w:shd w:val="clear" w:color="auto" w:fill="FFFFFF"/>
        </w:rPr>
        <w:t>打造数字生态文明示范区，构建起覆盖碳管理、碳认证、碳交易、碳金融、碳培训的全链条服务生态，让绿色成为玄武最动人的底色和最核心的竞争力。</w:t>
      </w:r>
    </w:p>
    <w:p w14:paraId="1879843A">
      <w:pPr>
        <w:pStyle w:val="16"/>
        <w:widowControl w:val="0"/>
        <w:spacing w:before="0" w:beforeAutospacing="0" w:after="0" w:afterAutospacing="0" w:line="590" w:lineRule="exact"/>
        <w:ind w:firstLine="616"/>
        <w:jc w:val="both"/>
        <w:rPr>
          <w:rFonts w:ascii="Times New Roman" w:hAnsi="Times New Roman" w:cs="方正仿宋_GBK"/>
          <w:spacing w:val="-6"/>
          <w:sz w:val="32"/>
          <w:highlight w:val="none"/>
          <w:shd w:val="clear" w:color="auto" w:fill="FFFFFF"/>
        </w:rPr>
      </w:pPr>
      <w:r>
        <w:rPr>
          <w:rFonts w:hint="eastAsia" w:ascii="Times New Roman" w:hAnsi="Times New Roman" w:eastAsia="方正黑体_GBK" w:cs="方正黑体_GBK"/>
          <w:spacing w:val="-6"/>
          <w:sz w:val="32"/>
          <w:highlight w:val="none"/>
          <w:shd w:val="clear" w:color="auto" w:fill="FFFFFF"/>
        </w:rPr>
        <w:t>（五）聚焦增进民生福祉，倾力绘就幸福有感的美好生活画卷</w:t>
      </w:r>
    </w:p>
    <w:p w14:paraId="026F865E">
      <w:pPr>
        <w:adjustRightInd w:val="0"/>
        <w:ind w:firstLine="640"/>
        <w:rPr>
          <w:rFonts w:ascii="Times New Roman" w:hAnsi="Times New Roman" w:cs="方正仿宋_GBK"/>
          <w:szCs w:val="32"/>
          <w:highlight w:val="none"/>
          <w:shd w:val="clear" w:color="auto" w:fill="FFFFFF"/>
        </w:rPr>
      </w:pPr>
      <w:r>
        <w:rPr>
          <w:rFonts w:hint="eastAsia" w:ascii="Times New Roman" w:hAnsi="Times New Roman" w:cs="方正仿宋_GBK"/>
          <w:szCs w:val="32"/>
          <w:highlight w:val="none"/>
          <w:shd w:val="clear" w:color="auto" w:fill="FFFFFF"/>
        </w:rPr>
        <w:t>坚持在发展中保障和改善民生，谋划推出更多惠民生、暖民心举措，认真解决好群众急难愁盼问题，不断增强群众获得感、幸福感、安全感。</w:t>
      </w:r>
    </w:p>
    <w:p w14:paraId="69F71786">
      <w:pPr>
        <w:adjustRightInd w:val="0"/>
        <w:ind w:firstLine="640"/>
        <w:rPr>
          <w:rFonts w:ascii="Times New Roman" w:hAnsi="Times New Roman"/>
          <w:szCs w:val="32"/>
          <w:highlight w:val="none"/>
        </w:rPr>
      </w:pPr>
      <w:r>
        <w:rPr>
          <w:rStyle w:val="22"/>
          <w:rFonts w:hint="eastAsia" w:ascii="Times New Roman" w:hAnsi="Times New Roman" w:eastAsia="方正楷体_GBK" w:cs="方正楷体_GBK"/>
          <w:b w:val="0"/>
          <w:bCs w:val="0"/>
          <w:szCs w:val="32"/>
          <w:highlight w:val="none"/>
          <w:shd w:val="clear" w:color="auto" w:fill="FFFFFF"/>
        </w:rPr>
        <w:t>构建更加多元共享的保障体系。</w:t>
      </w:r>
      <w:r>
        <w:rPr>
          <w:rFonts w:hint="eastAsia" w:ascii="Times New Roman" w:hAnsi="Times New Roman" w:cs="方正仿宋_GBK"/>
          <w:szCs w:val="32"/>
          <w:highlight w:val="none"/>
          <w:shd w:val="clear" w:color="auto" w:fill="FFFFFF"/>
        </w:rPr>
        <w:t>持续深化“玄武·模数师学院”AI人才实训基地建设，面向产业发展和市场需求精准开展职业技能培训，认真做好高校毕业生、退役军人、就业困难人员等群体就业创业帮扶，健全完善新就业群体“三级服务矩阵”</w:t>
      </w:r>
      <w:r>
        <w:rPr>
          <w:rFonts w:ascii="Times New Roman" w:hAnsi="Times New Roman"/>
          <w:snapToGrid w:val="0"/>
          <w:kern w:val="0"/>
          <w:highlight w:val="none"/>
          <w:vertAlign w:val="superscript"/>
        </w:rPr>
        <w:t>[1</w:t>
      </w:r>
      <w:r>
        <w:rPr>
          <w:rFonts w:hint="eastAsia" w:ascii="Times New Roman" w:hAnsi="Times New Roman"/>
          <w:snapToGrid w:val="0"/>
          <w:kern w:val="0"/>
          <w:highlight w:val="none"/>
          <w:vertAlign w:val="superscript"/>
        </w:rPr>
        <w:t>4</w:t>
      </w:r>
      <w:r>
        <w:rPr>
          <w:rFonts w:ascii="Times New Roman" w:hAnsi="Times New Roman"/>
          <w:snapToGrid w:val="0"/>
          <w:kern w:val="0"/>
          <w:highlight w:val="none"/>
          <w:vertAlign w:val="superscript"/>
        </w:rPr>
        <w:t>]</w:t>
      </w:r>
      <w:r>
        <w:rPr>
          <w:rFonts w:hint="eastAsia" w:ascii="Times New Roman" w:hAnsi="Times New Roman" w:cs="方正仿宋_GBK"/>
          <w:szCs w:val="32"/>
          <w:highlight w:val="none"/>
          <w:shd w:val="clear" w:color="auto" w:fill="FFFFFF"/>
        </w:rPr>
        <w:t>，全年开展各类招聘100场，城镇新增就业1.2万人。加强重点老年人、残疾人等困难群体关爱帮扶，</w:t>
      </w:r>
      <w:r>
        <w:rPr>
          <w:rFonts w:hint="eastAsia" w:ascii="Times New Roman" w:hAnsi="Times New Roman" w:cs="方正仿宋_GBK"/>
          <w:kern w:val="0"/>
          <w:szCs w:val="32"/>
          <w:highlight w:val="none"/>
        </w:rPr>
        <w:t>及时足额发放各类补助补贴，切实保障困难群众基本生活。</w:t>
      </w:r>
      <w:r>
        <w:rPr>
          <w:rFonts w:hint="eastAsia" w:ascii="Times New Roman" w:hAnsi="Times New Roman"/>
          <w:szCs w:val="32"/>
          <w:highlight w:val="none"/>
        </w:rPr>
        <w:t>加快推动综合型养老服务中心提档</w:t>
      </w:r>
      <w:r>
        <w:rPr>
          <w:rFonts w:hint="eastAsia" w:ascii="Times New Roman" w:hAnsi="Times New Roman"/>
          <w:spacing w:val="4"/>
          <w:szCs w:val="32"/>
          <w:highlight w:val="none"/>
        </w:rPr>
        <w:t>升级，</w:t>
      </w:r>
      <w:r>
        <w:rPr>
          <w:rFonts w:hint="eastAsia" w:ascii="Times New Roman" w:hAnsi="Times New Roman" w:cs="方正仿宋_GBK"/>
          <w:spacing w:val="4"/>
          <w:szCs w:val="32"/>
          <w:highlight w:val="none"/>
          <w:shd w:val="clear" w:color="auto" w:fill="FFFFFF"/>
        </w:rPr>
        <w:t>健全完善居家社区机构相协调、医养康养相结合的养老服务体系，大力发展银发经济，新增养老床位</w:t>
      </w:r>
      <w:r>
        <w:rPr>
          <w:rFonts w:hint="eastAsia" w:ascii="Times New Roman" w:hAnsi="Times New Roman"/>
          <w:spacing w:val="4"/>
          <w:highlight w:val="none"/>
        </w:rPr>
        <w:t>60</w:t>
      </w:r>
      <w:r>
        <w:rPr>
          <w:rFonts w:hint="eastAsia" w:ascii="Times New Roman" w:hAnsi="Times New Roman" w:cs="方正仿宋_GBK"/>
          <w:spacing w:val="4"/>
          <w:szCs w:val="32"/>
          <w:highlight w:val="none"/>
          <w:shd w:val="clear" w:color="auto" w:fill="FFFFFF"/>
        </w:rPr>
        <w:t>张。</w:t>
      </w:r>
      <w:r>
        <w:rPr>
          <w:rFonts w:hint="eastAsia" w:ascii="Times New Roman" w:hAnsi="Times New Roman"/>
          <w:spacing w:val="4"/>
          <w:szCs w:val="32"/>
          <w:highlight w:val="none"/>
        </w:rPr>
        <w:t>认真做好《社</w:t>
      </w:r>
      <w:r>
        <w:rPr>
          <w:rFonts w:hint="eastAsia" w:ascii="Times New Roman" w:hAnsi="Times New Roman"/>
          <w:szCs w:val="32"/>
          <w:highlight w:val="none"/>
        </w:rPr>
        <w:t>会力量参与困境儿童服务工作指南》宣贯工作，</w:t>
      </w:r>
      <w:r>
        <w:rPr>
          <w:rFonts w:ascii="Times New Roman" w:hAnsi="Times New Roman"/>
          <w:szCs w:val="32"/>
          <w:highlight w:val="none"/>
        </w:rPr>
        <w:t>全面提升</w:t>
      </w:r>
      <w:r>
        <w:rPr>
          <w:rFonts w:hint="eastAsia" w:ascii="Times New Roman" w:hAnsi="Times New Roman"/>
          <w:szCs w:val="32"/>
          <w:highlight w:val="none"/>
        </w:rPr>
        <w:t>“三类</w:t>
      </w:r>
      <w:r>
        <w:rPr>
          <w:rFonts w:ascii="Times New Roman" w:hAnsi="Times New Roman"/>
          <w:szCs w:val="32"/>
          <w:highlight w:val="none"/>
        </w:rPr>
        <w:t>儿童</w:t>
      </w:r>
      <w:r>
        <w:rPr>
          <w:rFonts w:hint="eastAsia" w:ascii="Times New Roman" w:hAnsi="Times New Roman"/>
          <w:szCs w:val="32"/>
          <w:highlight w:val="none"/>
        </w:rPr>
        <w:t>”</w:t>
      </w:r>
      <w:r>
        <w:rPr>
          <w:rFonts w:ascii="Times New Roman" w:hAnsi="Times New Roman"/>
          <w:snapToGrid w:val="0"/>
          <w:kern w:val="0"/>
          <w:highlight w:val="none"/>
          <w:vertAlign w:val="superscript"/>
        </w:rPr>
        <w:t>[1</w:t>
      </w:r>
      <w:r>
        <w:rPr>
          <w:rFonts w:hint="eastAsia" w:ascii="Times New Roman" w:hAnsi="Times New Roman"/>
          <w:snapToGrid w:val="0"/>
          <w:kern w:val="0"/>
          <w:highlight w:val="none"/>
          <w:vertAlign w:val="superscript"/>
        </w:rPr>
        <w:t>5</w:t>
      </w:r>
      <w:r>
        <w:rPr>
          <w:rFonts w:ascii="Times New Roman" w:hAnsi="Times New Roman"/>
          <w:snapToGrid w:val="0"/>
          <w:kern w:val="0"/>
          <w:highlight w:val="none"/>
          <w:vertAlign w:val="superscript"/>
        </w:rPr>
        <w:t>]</w:t>
      </w:r>
      <w:r>
        <w:rPr>
          <w:rFonts w:ascii="Times New Roman" w:hAnsi="Times New Roman"/>
          <w:szCs w:val="32"/>
          <w:highlight w:val="none"/>
        </w:rPr>
        <w:t>关爱保护水平。</w:t>
      </w:r>
    </w:p>
    <w:p w14:paraId="5ECEA4CE">
      <w:pPr>
        <w:adjustRightInd w:val="0"/>
        <w:ind w:firstLine="640"/>
        <w:rPr>
          <w:rFonts w:ascii="Times New Roman" w:hAnsi="Times New Roman"/>
          <w:szCs w:val="32"/>
          <w:highlight w:val="none"/>
        </w:rPr>
      </w:pPr>
      <w:r>
        <w:rPr>
          <w:rStyle w:val="22"/>
          <w:rFonts w:hint="eastAsia" w:ascii="Times New Roman" w:hAnsi="Times New Roman" w:eastAsia="方正楷体_GBK" w:cs="方正楷体_GBK"/>
          <w:b w:val="0"/>
          <w:bCs w:val="0"/>
          <w:szCs w:val="32"/>
          <w:highlight w:val="none"/>
          <w:shd w:val="clear" w:color="auto" w:fill="FFFFFF"/>
        </w:rPr>
        <w:t>提供更加优质均衡的公共服务。</w:t>
      </w:r>
      <w:r>
        <w:rPr>
          <w:rFonts w:hint="eastAsia" w:ascii="Times New Roman" w:hAnsi="Times New Roman" w:cs="方正仿宋_GBK"/>
          <w:szCs w:val="32"/>
          <w:highlight w:val="none"/>
          <w:shd w:val="clear" w:color="auto" w:fill="FFFFFF"/>
        </w:rPr>
        <w:t>深入推进现代化教育强区建设，加快实施南师附小教学楼加固、人民中学体育馆改造等项目，</w:t>
      </w:r>
      <w:r>
        <w:rPr>
          <w:rFonts w:hint="eastAsia" w:ascii="Times New Roman" w:hAnsi="Times New Roman"/>
          <w:bCs/>
          <w:kern w:val="0"/>
          <w:szCs w:val="32"/>
          <w:highlight w:val="none"/>
        </w:rPr>
        <w:t>持续优化教育资源布局</w:t>
      </w:r>
      <w:r>
        <w:rPr>
          <w:rFonts w:hint="eastAsia" w:ascii="Times New Roman" w:hAnsi="Times New Roman" w:cs="方正仿宋_GBK"/>
          <w:szCs w:val="32"/>
          <w:highlight w:val="none"/>
          <w:shd w:val="clear" w:color="auto" w:fill="FFFFFF"/>
        </w:rPr>
        <w:t>。</w:t>
      </w:r>
      <w:r>
        <w:rPr>
          <w:rFonts w:hint="eastAsia" w:ascii="Times New Roman" w:hAnsi="Times New Roman"/>
          <w:szCs w:val="32"/>
          <w:highlight w:val="none"/>
        </w:rPr>
        <w:t>扎实推进</w:t>
      </w:r>
      <w:r>
        <w:rPr>
          <w:rFonts w:ascii="Times New Roman" w:hAnsi="Times New Roman"/>
          <w:szCs w:val="32"/>
          <w:highlight w:val="none"/>
        </w:rPr>
        <w:t>整合型医疗卫生服务体系</w:t>
      </w:r>
      <w:r>
        <w:rPr>
          <w:rFonts w:hint="eastAsia" w:ascii="Times New Roman" w:hAnsi="Times New Roman"/>
          <w:szCs w:val="32"/>
          <w:highlight w:val="none"/>
        </w:rPr>
        <w:t>、</w:t>
      </w:r>
      <w:r>
        <w:rPr>
          <w:rFonts w:ascii="Times New Roman" w:hAnsi="Times New Roman"/>
          <w:szCs w:val="32"/>
          <w:highlight w:val="none"/>
        </w:rPr>
        <w:t>中医药传承创新发展示范等试点任务</w:t>
      </w:r>
      <w:r>
        <w:rPr>
          <w:rFonts w:hint="eastAsia" w:ascii="Times New Roman" w:hAnsi="Times New Roman" w:cs="方正仿宋_GBK"/>
          <w:szCs w:val="32"/>
          <w:highlight w:val="none"/>
        </w:rPr>
        <w:t>，</w:t>
      </w:r>
      <w:r>
        <w:rPr>
          <w:rFonts w:hint="eastAsia" w:ascii="Times New Roman" w:hAnsi="Times New Roman"/>
          <w:szCs w:val="32"/>
          <w:highlight w:val="none"/>
        </w:rPr>
        <w:t>高标准完成红山社区卫生服务中心改造升级</w:t>
      </w:r>
      <w:r>
        <w:rPr>
          <w:rFonts w:ascii="Times New Roman" w:hAnsi="Times New Roman"/>
          <w:szCs w:val="32"/>
          <w:highlight w:val="none"/>
        </w:rPr>
        <w:t>。</w:t>
      </w:r>
      <w:r>
        <w:rPr>
          <w:rFonts w:hint="eastAsia" w:ascii="Times New Roman" w:hAnsi="Times New Roman"/>
          <w:kern w:val="0"/>
          <w:szCs w:val="32"/>
          <w:highlight w:val="none"/>
          <w:lang w:bidi="ar"/>
        </w:rPr>
        <w:t>深化“</w:t>
      </w:r>
      <w:r>
        <w:rPr>
          <w:rFonts w:ascii="Times New Roman" w:hAnsi="Times New Roman"/>
          <w:kern w:val="0"/>
          <w:szCs w:val="32"/>
          <w:highlight w:val="none"/>
          <w:lang w:bidi="ar"/>
        </w:rPr>
        <w:t>人民城市融创实验室</w:t>
      </w:r>
      <w:r>
        <w:rPr>
          <w:rFonts w:hint="eastAsia" w:ascii="Times New Roman" w:hAnsi="Times New Roman"/>
          <w:kern w:val="0"/>
          <w:szCs w:val="32"/>
          <w:highlight w:val="none"/>
          <w:lang w:bidi="ar"/>
        </w:rPr>
        <w:t>”建设</w:t>
      </w:r>
      <w:r>
        <w:rPr>
          <w:rFonts w:ascii="Times New Roman" w:hAnsi="Times New Roman"/>
          <w:kern w:val="0"/>
          <w:szCs w:val="32"/>
          <w:highlight w:val="none"/>
          <w:lang w:bidi="ar"/>
        </w:rPr>
        <w:t>，</w:t>
      </w:r>
      <w:r>
        <w:rPr>
          <w:rFonts w:hint="eastAsia" w:ascii="Times New Roman" w:hAnsi="Times New Roman"/>
          <w:kern w:val="0"/>
          <w:szCs w:val="32"/>
          <w:highlight w:val="none"/>
          <w:lang w:bidi="ar"/>
        </w:rPr>
        <w:t>进一步扩大老年助餐、便民充电等服务覆盖面，持续拓展住宅小区“十有岗亭”</w:t>
      </w:r>
      <w:r>
        <w:rPr>
          <w:rFonts w:ascii="Times New Roman" w:hAnsi="Times New Roman"/>
          <w:snapToGrid w:val="0"/>
          <w:kern w:val="0"/>
          <w:highlight w:val="none"/>
          <w:vertAlign w:val="superscript"/>
        </w:rPr>
        <w:t>[1</w:t>
      </w:r>
      <w:r>
        <w:rPr>
          <w:rFonts w:hint="eastAsia" w:ascii="Times New Roman" w:hAnsi="Times New Roman"/>
          <w:snapToGrid w:val="0"/>
          <w:kern w:val="0"/>
          <w:highlight w:val="none"/>
          <w:vertAlign w:val="superscript"/>
        </w:rPr>
        <w:t>6</w:t>
      </w:r>
      <w:r>
        <w:rPr>
          <w:rFonts w:ascii="Times New Roman" w:hAnsi="Times New Roman"/>
          <w:snapToGrid w:val="0"/>
          <w:kern w:val="0"/>
          <w:highlight w:val="none"/>
          <w:vertAlign w:val="superscript"/>
        </w:rPr>
        <w:t>]</w:t>
      </w:r>
      <w:r>
        <w:rPr>
          <w:rFonts w:hint="eastAsia" w:ascii="Times New Roman" w:hAnsi="Times New Roman"/>
          <w:kern w:val="0"/>
          <w:szCs w:val="32"/>
          <w:highlight w:val="none"/>
          <w:lang w:bidi="ar"/>
        </w:rPr>
        <w:t>建设，有效</w:t>
      </w:r>
      <w:r>
        <w:rPr>
          <w:rFonts w:ascii="Times New Roman" w:hAnsi="Times New Roman"/>
          <w:kern w:val="0"/>
          <w:szCs w:val="32"/>
          <w:highlight w:val="none"/>
          <w:lang w:bidi="ar"/>
        </w:rPr>
        <w:t>破解助老托幼、</w:t>
      </w:r>
      <w:r>
        <w:rPr>
          <w:rFonts w:hint="eastAsia" w:ascii="Times New Roman" w:hAnsi="Times New Roman"/>
          <w:kern w:val="0"/>
          <w:szCs w:val="32"/>
          <w:highlight w:val="none"/>
          <w:lang w:bidi="ar"/>
        </w:rPr>
        <w:t>物业</w:t>
      </w:r>
      <w:r>
        <w:rPr>
          <w:rFonts w:ascii="Times New Roman" w:hAnsi="Times New Roman"/>
          <w:kern w:val="0"/>
          <w:szCs w:val="32"/>
          <w:highlight w:val="none"/>
          <w:lang w:bidi="ar"/>
        </w:rPr>
        <w:t>管理等</w:t>
      </w:r>
      <w:r>
        <w:rPr>
          <w:rFonts w:hint="eastAsia" w:ascii="Times New Roman" w:hAnsi="Times New Roman"/>
          <w:kern w:val="0"/>
          <w:szCs w:val="32"/>
          <w:highlight w:val="none"/>
          <w:lang w:bidi="ar"/>
        </w:rPr>
        <w:t>民生“关键</w:t>
      </w:r>
      <w:r>
        <w:rPr>
          <w:rFonts w:ascii="Times New Roman" w:hAnsi="Times New Roman"/>
          <w:kern w:val="0"/>
          <w:szCs w:val="32"/>
          <w:highlight w:val="none"/>
          <w:lang w:bidi="ar"/>
        </w:rPr>
        <w:t>小事</w:t>
      </w:r>
      <w:r>
        <w:rPr>
          <w:rFonts w:hint="eastAsia" w:ascii="Times New Roman" w:hAnsi="Times New Roman"/>
          <w:kern w:val="0"/>
          <w:szCs w:val="32"/>
          <w:highlight w:val="none"/>
          <w:lang w:bidi="ar"/>
        </w:rPr>
        <w:t>”</w:t>
      </w:r>
      <w:r>
        <w:rPr>
          <w:rFonts w:ascii="Times New Roman" w:hAnsi="Times New Roman"/>
          <w:kern w:val="0"/>
          <w:szCs w:val="32"/>
          <w:highlight w:val="none"/>
          <w:lang w:bidi="ar"/>
        </w:rPr>
        <w:t>。</w:t>
      </w:r>
      <w:r>
        <w:rPr>
          <w:rFonts w:hint="eastAsia" w:ascii="Times New Roman" w:hAnsi="Times New Roman"/>
          <w:kern w:val="0"/>
          <w:szCs w:val="32"/>
          <w:highlight w:val="none"/>
          <w:lang w:bidi="ar"/>
        </w:rPr>
        <w:t>深入</w:t>
      </w:r>
      <w:r>
        <w:rPr>
          <w:rFonts w:hint="eastAsia" w:ascii="Times New Roman" w:hAnsi="Times New Roman" w:cs="方正仿宋_GBK"/>
          <w:szCs w:val="32"/>
          <w:highlight w:val="none"/>
          <w:shd w:val="clear" w:color="auto" w:fill="FFFFFF"/>
        </w:rPr>
        <w:t>实施文化惠民工程，策划开展一批群众喜闻乐见的文化活动，新建改造一批全民健身场地设施，高质量打造“15分钟社区生活圈”。深化双拥共建工作，推进区军休老年大学建设。</w:t>
      </w:r>
      <w:r>
        <w:rPr>
          <w:rFonts w:hint="eastAsia" w:ascii="Times New Roman" w:hAnsi="Times New Roman"/>
          <w:szCs w:val="32"/>
          <w:highlight w:val="none"/>
        </w:rPr>
        <w:t>更加注重投资于人，全面启动青年发展型城区建设，逐步完善宜业宜居、关心关爱、交流交往等配套服务体系，持续放大活力地标、顶流IP的品牌效应，不断提升青年在玄武的归属感与幸福感，切实让青年人才“引得进、留得住、过得好、干得成”。</w:t>
      </w:r>
    </w:p>
    <w:p w14:paraId="6B976E90">
      <w:pPr>
        <w:adjustRightInd w:val="0"/>
        <w:ind w:firstLine="640"/>
        <w:rPr>
          <w:rFonts w:ascii="Times New Roman" w:hAnsi="Times New Roman" w:cs="方正仿宋_GBK"/>
          <w:szCs w:val="32"/>
          <w:highlight w:val="none"/>
          <w:shd w:val="clear" w:color="auto" w:fill="FFFFFF"/>
        </w:rPr>
      </w:pPr>
      <w:r>
        <w:rPr>
          <w:rStyle w:val="22"/>
          <w:rFonts w:hint="eastAsia" w:ascii="Times New Roman" w:hAnsi="Times New Roman" w:eastAsia="方正楷体_GBK" w:cs="方正楷体_GBK"/>
          <w:b w:val="0"/>
          <w:bCs w:val="0"/>
          <w:szCs w:val="32"/>
          <w:highlight w:val="none"/>
          <w:shd w:val="clear" w:color="auto" w:fill="FFFFFF"/>
        </w:rPr>
        <w:t>营造更加安全稳定的社会环境。</w:t>
      </w:r>
      <w:r>
        <w:rPr>
          <w:rFonts w:hint="eastAsia" w:ascii="Times New Roman" w:hAnsi="Times New Roman" w:cs="方正仿宋_GBK"/>
          <w:szCs w:val="32"/>
          <w:highlight w:val="none"/>
          <w:shd w:val="clear" w:color="auto" w:fill="FFFFFF"/>
        </w:rPr>
        <w:t>深入推进韧性城市建设，充分发挥</w:t>
      </w:r>
      <w:r>
        <w:rPr>
          <w:rFonts w:hint="eastAsia" w:ascii="Times New Roman" w:hAnsi="Times New Roman"/>
          <w:szCs w:val="32"/>
          <w:highlight w:val="none"/>
        </w:rPr>
        <w:t>城市运行“一网统管”平台作用，</w:t>
      </w:r>
      <w:r>
        <w:rPr>
          <w:rFonts w:ascii="Times New Roman" w:hAnsi="Times New Roman" w:cs="方正仿宋_GBK"/>
          <w:szCs w:val="32"/>
          <w:highlight w:val="none"/>
          <w:shd w:val="clear" w:color="auto" w:fill="FFFFFF"/>
        </w:rPr>
        <w:t>健全</w:t>
      </w:r>
      <w:r>
        <w:rPr>
          <w:rFonts w:hint="eastAsia" w:ascii="Times New Roman" w:hAnsi="Times New Roman" w:cs="方正仿宋_GBK"/>
          <w:szCs w:val="32"/>
          <w:highlight w:val="none"/>
          <w:shd w:val="clear" w:color="auto" w:fill="FFFFFF"/>
        </w:rPr>
        <w:t>完善</w:t>
      </w:r>
      <w:r>
        <w:rPr>
          <w:rFonts w:ascii="Times New Roman" w:hAnsi="Times New Roman" w:cs="方正仿宋_GBK"/>
          <w:szCs w:val="32"/>
          <w:highlight w:val="none"/>
          <w:shd w:val="clear" w:color="auto" w:fill="FFFFFF"/>
        </w:rPr>
        <w:t>大安全、大应急框架下的应急管理体制和应急指挥机制，</w:t>
      </w:r>
      <w:r>
        <w:rPr>
          <w:rFonts w:hint="eastAsia" w:ascii="Times New Roman" w:hAnsi="Times New Roman"/>
          <w:szCs w:val="32"/>
          <w:highlight w:val="none"/>
        </w:rPr>
        <w:t>提高防灾减灾救灾和突发公共事件处置保障能力。</w:t>
      </w:r>
      <w:r>
        <w:rPr>
          <w:rFonts w:hint="eastAsia" w:ascii="Times New Roman" w:hAnsi="Times New Roman" w:cs="方正仿宋_GBK"/>
          <w:szCs w:val="32"/>
          <w:highlight w:val="none"/>
          <w:shd w:val="clear" w:color="auto" w:fill="FFFFFF"/>
        </w:rPr>
        <w:t>持续深化安全生产治本攻坚行动，</w:t>
      </w:r>
      <w:r>
        <w:rPr>
          <w:rFonts w:hint="eastAsia" w:ascii="Times New Roman" w:hAnsi="Times New Roman" w:cs="方正仿宋_GBK"/>
          <w:spacing w:val="4"/>
          <w:szCs w:val="32"/>
          <w:highlight w:val="none"/>
          <w:shd w:val="clear" w:color="auto" w:fill="FFFFFF"/>
        </w:rPr>
        <w:t>紧盯建筑施工、文化旅游等关键领域排查整治风险隐患，全面</w:t>
      </w:r>
      <w:r>
        <w:rPr>
          <w:rFonts w:hint="eastAsia" w:ascii="Times New Roman" w:hAnsi="Times New Roman" w:cs="方正仿宋_GBK"/>
          <w:szCs w:val="32"/>
          <w:highlight w:val="none"/>
          <w:shd w:val="clear" w:color="auto" w:fill="FFFFFF"/>
        </w:rPr>
        <w:t>推进高层建筑、“三合一”场所等消防设施改造升级，持续开</w:t>
      </w:r>
      <w:r>
        <w:rPr>
          <w:rFonts w:hint="eastAsia" w:ascii="Times New Roman" w:hAnsi="Times New Roman" w:cs="方正仿宋_GBK"/>
          <w:spacing w:val="4"/>
          <w:szCs w:val="32"/>
          <w:highlight w:val="none"/>
          <w:shd w:val="clear" w:color="auto" w:fill="FFFFFF"/>
        </w:rPr>
        <w:t>展餐</w:t>
      </w:r>
      <w:r>
        <w:rPr>
          <w:rFonts w:hint="eastAsia" w:ascii="Times New Roman" w:hAnsi="Times New Roman" w:cs="方正仿宋_GBK"/>
          <w:szCs w:val="32"/>
          <w:highlight w:val="none"/>
          <w:shd w:val="clear" w:color="auto" w:fill="FFFFFF"/>
        </w:rPr>
        <w:t>饮等用气场所燃气安全整治，加强“三品一特”</w:t>
      </w:r>
      <w:r>
        <w:rPr>
          <w:rFonts w:ascii="Times New Roman" w:hAnsi="Times New Roman"/>
          <w:snapToGrid w:val="0"/>
          <w:kern w:val="0"/>
          <w:highlight w:val="none"/>
          <w:vertAlign w:val="superscript"/>
        </w:rPr>
        <w:t>[1</w:t>
      </w:r>
      <w:r>
        <w:rPr>
          <w:rFonts w:hint="eastAsia" w:ascii="Times New Roman" w:hAnsi="Times New Roman"/>
          <w:snapToGrid w:val="0"/>
          <w:kern w:val="0"/>
          <w:highlight w:val="none"/>
          <w:vertAlign w:val="superscript"/>
        </w:rPr>
        <w:t>7</w:t>
      </w:r>
      <w:r>
        <w:rPr>
          <w:rFonts w:ascii="Times New Roman" w:hAnsi="Times New Roman"/>
          <w:snapToGrid w:val="0"/>
          <w:kern w:val="0"/>
          <w:highlight w:val="none"/>
          <w:vertAlign w:val="superscript"/>
        </w:rPr>
        <w:t>]</w:t>
      </w:r>
      <w:r>
        <w:rPr>
          <w:rFonts w:hint="eastAsia" w:ascii="Times New Roman" w:hAnsi="Times New Roman" w:cs="方正仿宋_GBK"/>
          <w:szCs w:val="32"/>
          <w:highlight w:val="none"/>
          <w:shd w:val="clear" w:color="auto" w:fill="FFFFFF"/>
        </w:rPr>
        <w:t>全链条安全监管，坚决防范遏制重特大事故发生。认真落实中央全面依法治国工作会议精神，坚持和发展新时代“枫桥经验”，</w:t>
      </w:r>
      <w:r>
        <w:rPr>
          <w:rFonts w:ascii="Times New Roman" w:hAnsi="Times New Roman" w:cs="方正仿宋_GBK"/>
          <w:szCs w:val="32"/>
          <w:highlight w:val="none"/>
          <w:shd w:val="clear" w:color="auto" w:fill="FFFFFF"/>
        </w:rPr>
        <w:t>加强12345热线和信访相关数据分析运用，</w:t>
      </w:r>
      <w:r>
        <w:rPr>
          <w:rFonts w:hint="eastAsia" w:ascii="Times New Roman" w:hAnsi="Times New Roman" w:cs="方正仿宋_GBK"/>
          <w:szCs w:val="32"/>
          <w:highlight w:val="none"/>
          <w:shd w:val="clear" w:color="auto" w:fill="FFFFFF"/>
        </w:rPr>
        <w:t>推动矛盾纠纷源头预防、前端调解，提高初信初访一次性化解率。常态化开展金融、房地产等重点领域风险监测预警，平稳有序推动债务风险防范化解，坚决守住不发生系统性风险底线。</w:t>
      </w:r>
    </w:p>
    <w:p w14:paraId="075171FF">
      <w:pPr>
        <w:adjustRightInd w:val="0"/>
        <w:ind w:firstLine="640"/>
        <w:rPr>
          <w:rFonts w:ascii="Times New Roman" w:hAnsi="Times New Roman" w:cs="方正仿宋_GBK"/>
          <w:szCs w:val="32"/>
          <w:highlight w:val="none"/>
          <w:shd w:val="clear" w:color="auto" w:fill="FFFFFF"/>
        </w:rPr>
      </w:pPr>
      <w:r>
        <w:rPr>
          <w:rFonts w:ascii="Times New Roman" w:hAnsi="Times New Roman" w:cs="方正仿宋_GBK"/>
          <w:szCs w:val="32"/>
          <w:highlight w:val="none"/>
          <w:shd w:val="clear" w:color="auto" w:fill="FFFFFF"/>
        </w:rPr>
        <w:t>各位代表！</w:t>
      </w:r>
      <w:r>
        <w:rPr>
          <w:rFonts w:hint="eastAsia" w:ascii="Times New Roman" w:hAnsi="Times New Roman" w:cs="方正仿宋_GBK"/>
          <w:szCs w:val="32"/>
          <w:highlight w:val="none"/>
          <w:shd w:val="clear" w:color="auto" w:fill="FFFFFF"/>
        </w:rPr>
        <w:t>政之所兴，在顺民心</w:t>
      </w:r>
      <w:r>
        <w:rPr>
          <w:rFonts w:ascii="Times New Roman" w:hAnsi="Times New Roman" w:cs="方正仿宋_GBK"/>
          <w:szCs w:val="32"/>
          <w:highlight w:val="none"/>
          <w:shd w:val="clear" w:color="auto" w:fill="FFFFFF"/>
        </w:rPr>
        <w:t>。前期，我们在广泛征求意见、充分研究论证的基础上，梳理形成12</w:t>
      </w:r>
      <w:r>
        <w:rPr>
          <w:rFonts w:hint="eastAsia" w:ascii="Times New Roman" w:hAnsi="Times New Roman" w:cs="方正仿宋_GBK"/>
          <w:szCs w:val="32"/>
          <w:highlight w:val="none"/>
          <w:shd w:val="clear" w:color="auto" w:fill="FFFFFF"/>
        </w:rPr>
        <w:t>类</w:t>
      </w:r>
      <w:r>
        <w:rPr>
          <w:rFonts w:ascii="Times New Roman" w:hAnsi="Times New Roman" w:cs="方正仿宋_GBK"/>
          <w:szCs w:val="32"/>
          <w:highlight w:val="none"/>
          <w:shd w:val="clear" w:color="auto" w:fill="FFFFFF"/>
        </w:rPr>
        <w:t>民生实事候选项目，提请大会审议票决。项目确定后，我们将</w:t>
      </w:r>
      <w:r>
        <w:rPr>
          <w:rFonts w:hint="eastAsia" w:ascii="Times New Roman" w:hAnsi="Times New Roman" w:cs="方正仿宋_GBK"/>
          <w:szCs w:val="32"/>
          <w:highlight w:val="none"/>
          <w:shd w:val="clear" w:color="auto" w:fill="FFFFFF"/>
        </w:rPr>
        <w:t>精心组织</w:t>
      </w:r>
      <w:r>
        <w:rPr>
          <w:rFonts w:ascii="Times New Roman" w:hAnsi="Times New Roman" w:cs="方正仿宋_GBK"/>
          <w:szCs w:val="32"/>
          <w:highlight w:val="none"/>
          <w:shd w:val="clear" w:color="auto" w:fill="FFFFFF"/>
        </w:rPr>
        <w:t>实施</w:t>
      </w:r>
      <w:r>
        <w:rPr>
          <w:rFonts w:hint="eastAsia" w:ascii="Times New Roman" w:hAnsi="Times New Roman" w:cs="方正仿宋_GBK"/>
          <w:szCs w:val="32"/>
          <w:highlight w:val="none"/>
          <w:shd w:val="clear" w:color="auto" w:fill="FFFFFF"/>
        </w:rPr>
        <w:t>、强化检查督导</w:t>
      </w:r>
      <w:r>
        <w:rPr>
          <w:rFonts w:ascii="Times New Roman" w:hAnsi="Times New Roman" w:cs="方正仿宋_GBK"/>
          <w:szCs w:val="32"/>
          <w:highlight w:val="none"/>
          <w:shd w:val="clear" w:color="auto" w:fill="FFFFFF"/>
        </w:rPr>
        <w:t>，</w:t>
      </w:r>
      <w:r>
        <w:rPr>
          <w:rFonts w:hint="eastAsia" w:ascii="Times New Roman" w:hAnsi="Times New Roman" w:cs="方正仿宋_GBK"/>
          <w:szCs w:val="32"/>
          <w:highlight w:val="none"/>
          <w:shd w:val="clear" w:color="auto" w:fill="FFFFFF"/>
        </w:rPr>
        <w:t>真正把实事办好、好事办实。</w:t>
      </w:r>
    </w:p>
    <w:p w14:paraId="2E9F778F">
      <w:pPr>
        <w:pStyle w:val="16"/>
        <w:widowControl w:val="0"/>
        <w:overflowPunct w:val="0"/>
        <w:spacing w:before="0" w:beforeAutospacing="0" w:after="0" w:afterAutospacing="0" w:line="590" w:lineRule="exact"/>
        <w:ind w:firstLine="640"/>
        <w:jc w:val="both"/>
        <w:rPr>
          <w:rFonts w:ascii="Times New Roman" w:hAnsi="Times New Roman" w:cs="方正仿宋_GBK"/>
          <w:sz w:val="32"/>
          <w:highlight w:val="none"/>
          <w:shd w:val="clear" w:color="auto" w:fill="FFFFFF"/>
        </w:rPr>
      </w:pPr>
      <w:r>
        <w:rPr>
          <w:rFonts w:hint="eastAsia" w:ascii="Times New Roman" w:hAnsi="Times New Roman" w:cs="方正仿宋_GBK"/>
          <w:sz w:val="32"/>
          <w:highlight w:val="none"/>
          <w:shd w:val="clear" w:color="auto" w:fill="FFFFFF"/>
        </w:rPr>
        <w:t>一个人民满意的政府，必定是顺应时代、富于创新、务求实效、清正廉洁的政府。面对新形势新任务新要求，我们将以永远在路上的执着和刀刃向内的勇气，全面加强政府自身建设，让实干、实绩、实效成为政府工作的鲜明底色。坚持用习近平新时代中国特色社会主义思想凝心铸魂，始终在思想上政治上行动上同以习近平同志为核心的党中央保持高度一致，不折不扣将党中央决策部署落到实处。深入践行习近平法治思想，将政府工作全面纳入法治轨道，自觉用法治思维和法治方式推动工作、解决问题，高质量办理人大代表建议和政协委员提案，主动接受各方监督，</w:t>
      </w:r>
      <w:r>
        <w:rPr>
          <w:rFonts w:hint="eastAsia" w:ascii="Times New Roman" w:hAnsi="Times New Roman" w:cs="方正仿宋_GBK"/>
          <w:spacing w:val="-6"/>
          <w:sz w:val="32"/>
          <w:highlight w:val="none"/>
          <w:shd w:val="clear" w:color="auto" w:fill="FFFFFF"/>
        </w:rPr>
        <w:t>让权力在阳光下运行。严格履行全面从严治党主体责任，常态长</w:t>
      </w:r>
      <w:r>
        <w:rPr>
          <w:rFonts w:hint="eastAsia" w:ascii="Times New Roman" w:hAnsi="Times New Roman" w:cs="方正仿宋_GBK"/>
          <w:sz w:val="32"/>
          <w:highlight w:val="none"/>
          <w:shd w:val="clear" w:color="auto" w:fill="FFFFFF"/>
        </w:rPr>
        <w:t>效</w:t>
      </w:r>
      <w:r>
        <w:rPr>
          <w:rFonts w:hint="eastAsia" w:ascii="Times New Roman" w:hAnsi="Times New Roman" w:cs="方正仿宋_GBK"/>
          <w:spacing w:val="4"/>
          <w:sz w:val="32"/>
          <w:highlight w:val="none"/>
          <w:shd w:val="clear" w:color="auto" w:fill="FFFFFF"/>
        </w:rPr>
        <w:t>落实中央八项规定及其实施细则精神，牢固树立正确政绩观，大</w:t>
      </w:r>
      <w:r>
        <w:rPr>
          <w:rFonts w:hint="eastAsia" w:ascii="Times New Roman" w:hAnsi="Times New Roman" w:cs="方正仿宋_GBK"/>
          <w:sz w:val="32"/>
          <w:highlight w:val="none"/>
          <w:shd w:val="clear" w:color="auto" w:fill="FFFFFF"/>
        </w:rPr>
        <w:t>力弘扬求真务实、真抓实干的优良作风，着力打造风清气正的良好政治生态。</w:t>
      </w:r>
    </w:p>
    <w:p w14:paraId="34FE167C">
      <w:pPr>
        <w:ind w:firstLine="656"/>
        <w:rPr>
          <w:rFonts w:ascii="Times New Roman" w:hAnsi="Times New Roman" w:cs="方正仿宋_GBK"/>
          <w:spacing w:val="4"/>
          <w:szCs w:val="32"/>
          <w:highlight w:val="none"/>
          <w:shd w:val="clear" w:color="auto" w:fill="FFFFFF"/>
        </w:rPr>
      </w:pPr>
      <w:r>
        <w:rPr>
          <w:rFonts w:hint="eastAsia" w:ascii="Times New Roman" w:hAnsi="Times New Roman" w:cs="方正仿宋_GBK"/>
          <w:spacing w:val="4"/>
          <w:szCs w:val="32"/>
          <w:highlight w:val="none"/>
          <w:shd w:val="clear" w:color="auto" w:fill="FFFFFF"/>
        </w:rPr>
        <w:t>各位代表！蓝图已经绘就，奋斗正当其时。让我们更加紧密地团结在以习近平同志为核心的党中央周围，在市委、市政府和区委的坚强领导下，</w:t>
      </w:r>
      <w:r>
        <w:rPr>
          <w:rFonts w:hint="eastAsia" w:ascii="Times New Roman" w:hAnsi="Times New Roman"/>
          <w:spacing w:val="4"/>
          <w:highlight w:val="none"/>
        </w:rPr>
        <w:t>抢抓机遇、实干担当，接续奋斗、勇毅前行，</w:t>
      </w:r>
      <w:r>
        <w:rPr>
          <w:rFonts w:hint="eastAsia" w:ascii="Times New Roman" w:hAnsi="Times New Roman" w:cs="方正仿宋_GBK"/>
          <w:spacing w:val="4"/>
          <w:szCs w:val="32"/>
          <w:highlight w:val="none"/>
          <w:shd w:val="clear" w:color="auto" w:fill="FFFFFF"/>
        </w:rPr>
        <w:t>奋力打造国际化活力中心城区，全力开创“十五五”发展新局面，以奋进的姿态交出不负时代、不负人民、不负使命的优异答卷！</w:t>
      </w:r>
    </w:p>
    <w:p w14:paraId="5E9B335F">
      <w:pPr>
        <w:ind w:firstLine="640"/>
        <w:rPr>
          <w:rFonts w:ascii="Times New Roman" w:hAnsi="Times New Roman" w:cs="方正仿宋_GBK"/>
          <w:szCs w:val="32"/>
          <w:highlight w:val="none"/>
          <w:shd w:val="clear" w:color="auto" w:fill="FFFFFF"/>
        </w:rPr>
      </w:pPr>
      <w:r>
        <w:rPr>
          <w:rFonts w:hint="eastAsia" w:ascii="Times New Roman" w:hAnsi="Times New Roman" w:cs="方正仿宋_GBK"/>
          <w:szCs w:val="32"/>
          <w:highlight w:val="none"/>
          <w:shd w:val="clear" w:color="auto" w:fill="FFFFFF"/>
        </w:rPr>
        <w:br w:type="page"/>
      </w:r>
    </w:p>
    <w:p w14:paraId="0D6C258B">
      <w:pPr>
        <w:ind w:firstLine="0" w:firstLineChars="0"/>
        <w:rPr>
          <w:rFonts w:ascii="Times New Roman" w:hAnsi="Times New Roman" w:eastAsia="方正黑体_GBK"/>
          <w:bCs/>
          <w:highlight w:val="none"/>
        </w:rPr>
      </w:pPr>
      <w:r>
        <w:rPr>
          <w:rFonts w:hint="eastAsia" w:ascii="Times New Roman" w:hAnsi="Times New Roman" w:eastAsia="方正黑体_GBK"/>
          <w:bCs/>
          <w:highlight w:val="none"/>
        </w:rPr>
        <w:t>附件</w:t>
      </w:r>
      <w:r>
        <w:rPr>
          <w:rFonts w:ascii="Times New Roman" w:hAnsi="Times New Roman" w:eastAsia="方正黑体_GBK"/>
          <w:bCs/>
          <w:highlight w:val="none"/>
        </w:rPr>
        <w:t>1</w:t>
      </w:r>
    </w:p>
    <w:p w14:paraId="59E356E2">
      <w:pPr>
        <w:spacing w:line="500" w:lineRule="exact"/>
        <w:ind w:firstLine="880"/>
        <w:rPr>
          <w:rFonts w:ascii="Times New Roman" w:hAnsi="Times New Roman" w:eastAsia="方正小标宋_GBK"/>
          <w:bCs/>
          <w:sz w:val="44"/>
          <w:szCs w:val="44"/>
          <w:highlight w:val="none"/>
        </w:rPr>
      </w:pPr>
    </w:p>
    <w:p w14:paraId="63E4A538">
      <w:pPr>
        <w:pStyle w:val="27"/>
        <w:rPr>
          <w:rFonts w:ascii="Times New Roman" w:hAnsi="Times New Roman"/>
          <w:highlight w:val="none"/>
        </w:rPr>
      </w:pPr>
      <w:r>
        <w:rPr>
          <w:rFonts w:ascii="Times New Roman" w:hAnsi="Times New Roman"/>
          <w:highlight w:val="none"/>
        </w:rPr>
        <w:t>202</w:t>
      </w:r>
      <w:r>
        <w:rPr>
          <w:rFonts w:hint="eastAsia" w:ascii="Times New Roman" w:hAnsi="Times New Roman"/>
          <w:highlight w:val="none"/>
        </w:rPr>
        <w:t>5年玄武区民生实事完成情况</w:t>
      </w:r>
    </w:p>
    <w:p w14:paraId="49242A8B">
      <w:pPr>
        <w:spacing w:line="500" w:lineRule="exact"/>
        <w:ind w:firstLine="880"/>
        <w:rPr>
          <w:rFonts w:ascii="Times New Roman" w:hAnsi="Times New Roman" w:eastAsia="方正小标宋_GBK"/>
          <w:bCs/>
          <w:sz w:val="44"/>
          <w:szCs w:val="44"/>
          <w:highlight w:val="none"/>
        </w:rPr>
      </w:pPr>
    </w:p>
    <w:p w14:paraId="088CE946">
      <w:pPr>
        <w:ind w:firstLine="640"/>
        <w:rPr>
          <w:rFonts w:ascii="Times New Roman" w:hAnsi="Times New Roman"/>
          <w:bCs/>
          <w:szCs w:val="32"/>
          <w:highlight w:val="none"/>
        </w:rPr>
      </w:pPr>
      <w:r>
        <w:rPr>
          <w:rFonts w:ascii="Times New Roman" w:hAnsi="Times New Roman"/>
          <w:bCs/>
          <w:szCs w:val="32"/>
          <w:highlight w:val="none"/>
        </w:rPr>
        <w:t>1.</w:t>
      </w:r>
      <w:r>
        <w:rPr>
          <w:rFonts w:ascii="Times New Roman" w:hAnsi="Times New Roman" w:eastAsia="方正楷体_GBK"/>
          <w:bCs/>
          <w:szCs w:val="32"/>
          <w:highlight w:val="none"/>
        </w:rPr>
        <w:t xml:space="preserve"> 提升学生身心健康水平。</w:t>
      </w:r>
      <w:r>
        <w:rPr>
          <w:rFonts w:hint="eastAsia" w:ascii="Times New Roman" w:hAnsi="Times New Roman"/>
          <w:bCs/>
          <w:szCs w:val="32"/>
          <w:highlight w:val="none"/>
        </w:rPr>
        <w:t>完成</w:t>
      </w:r>
      <w:r>
        <w:rPr>
          <w:rFonts w:ascii="Times New Roman" w:hAnsi="Times New Roman"/>
          <w:bCs/>
          <w:szCs w:val="32"/>
          <w:highlight w:val="none"/>
        </w:rPr>
        <w:t>南理工附中等4所学校运动场地改造</w:t>
      </w:r>
      <w:r>
        <w:rPr>
          <w:rFonts w:hint="eastAsia" w:ascii="Times New Roman" w:hAnsi="Times New Roman"/>
          <w:bCs/>
          <w:szCs w:val="32"/>
          <w:highlight w:val="none"/>
        </w:rPr>
        <w:t>，</w:t>
      </w:r>
      <w:r>
        <w:rPr>
          <w:rFonts w:ascii="Times New Roman" w:hAnsi="Times New Roman"/>
          <w:bCs/>
          <w:szCs w:val="32"/>
          <w:highlight w:val="none"/>
        </w:rPr>
        <w:t>全区小学实现</w:t>
      </w:r>
      <w:r>
        <w:rPr>
          <w:rFonts w:hint="eastAsia" w:ascii="Times New Roman" w:hAnsi="Times New Roman" w:cs="方正仿宋_GBK"/>
          <w:bCs/>
          <w:szCs w:val="32"/>
          <w:highlight w:val="none"/>
        </w:rPr>
        <w:t>“每天一节体育课”全</w:t>
      </w:r>
      <w:r>
        <w:rPr>
          <w:rFonts w:ascii="Times New Roman" w:hAnsi="Times New Roman"/>
          <w:bCs/>
          <w:szCs w:val="32"/>
          <w:highlight w:val="none"/>
        </w:rPr>
        <w:t>覆盖。开展各类心理健康服务活动614场，</w:t>
      </w:r>
      <w:r>
        <w:rPr>
          <w:rFonts w:hint="eastAsia" w:ascii="Times New Roman" w:hAnsi="Times New Roman"/>
          <w:bCs/>
          <w:szCs w:val="32"/>
          <w:highlight w:val="none"/>
        </w:rPr>
        <w:t>不断提升</w:t>
      </w:r>
      <w:r>
        <w:rPr>
          <w:rFonts w:ascii="Times New Roman" w:hAnsi="Times New Roman"/>
          <w:bCs/>
          <w:szCs w:val="32"/>
          <w:highlight w:val="none"/>
        </w:rPr>
        <w:t>学生、教师、家长心理健康素养</w:t>
      </w:r>
      <w:r>
        <w:rPr>
          <w:rFonts w:hint="eastAsia" w:ascii="Times New Roman" w:hAnsi="Times New Roman"/>
          <w:bCs/>
          <w:szCs w:val="32"/>
          <w:highlight w:val="none"/>
        </w:rPr>
        <w:t>。选取</w:t>
      </w:r>
      <w:r>
        <w:rPr>
          <w:rFonts w:ascii="Times New Roman" w:hAnsi="Times New Roman"/>
          <w:bCs/>
          <w:szCs w:val="32"/>
          <w:highlight w:val="none"/>
        </w:rPr>
        <w:t>南师附小仙鹤门分校等9所学校，完成学生视力监测、脊柱筛查、常见病和健康影响因素监测。</w:t>
      </w:r>
    </w:p>
    <w:p w14:paraId="6B2AE160">
      <w:pPr>
        <w:ind w:firstLine="627" w:firstLineChars="196"/>
        <w:rPr>
          <w:rFonts w:ascii="Times New Roman" w:hAnsi="Times New Roman"/>
          <w:bCs/>
          <w:szCs w:val="32"/>
          <w:highlight w:val="none"/>
        </w:rPr>
      </w:pPr>
      <w:r>
        <w:rPr>
          <w:rFonts w:ascii="Times New Roman" w:hAnsi="Times New Roman" w:eastAsia="方正楷体_GBK"/>
          <w:bCs/>
          <w:szCs w:val="32"/>
          <w:highlight w:val="none"/>
        </w:rPr>
        <w:t>2. 提高就业服务能力</w:t>
      </w:r>
      <w:r>
        <w:rPr>
          <w:rFonts w:ascii="Times New Roman" w:hAnsi="Times New Roman"/>
          <w:szCs w:val="32"/>
          <w:highlight w:val="none"/>
        </w:rPr>
        <w:t>。</w:t>
      </w:r>
      <w:r>
        <w:rPr>
          <w:rFonts w:ascii="Times New Roman" w:hAnsi="Times New Roman"/>
          <w:bCs/>
          <w:szCs w:val="32"/>
          <w:highlight w:val="none"/>
        </w:rPr>
        <w:t>组织线上线下招聘活动116场次，提供就业岗位1.6万个次</w:t>
      </w:r>
      <w:r>
        <w:rPr>
          <w:rFonts w:hint="eastAsia" w:ascii="Times New Roman" w:hAnsi="Times New Roman"/>
          <w:bCs/>
          <w:szCs w:val="32"/>
          <w:highlight w:val="none"/>
        </w:rPr>
        <w:t>。</w:t>
      </w:r>
      <w:r>
        <w:rPr>
          <w:rFonts w:ascii="Times New Roman" w:hAnsi="Times New Roman"/>
          <w:bCs/>
          <w:szCs w:val="32"/>
          <w:highlight w:val="none"/>
        </w:rPr>
        <w:t>完成残疾人就业培训116人次</w:t>
      </w:r>
      <w:r>
        <w:rPr>
          <w:rFonts w:hint="eastAsia" w:ascii="Times New Roman" w:hAnsi="Times New Roman"/>
          <w:bCs/>
          <w:szCs w:val="32"/>
          <w:highlight w:val="none"/>
        </w:rPr>
        <w:t>，帮助</w:t>
      </w:r>
      <w:r>
        <w:rPr>
          <w:rFonts w:ascii="Times New Roman" w:hAnsi="Times New Roman"/>
          <w:bCs/>
          <w:szCs w:val="32"/>
          <w:highlight w:val="none"/>
        </w:rPr>
        <w:t>就业困难人员</w:t>
      </w:r>
      <w:r>
        <w:rPr>
          <w:rFonts w:hint="eastAsia" w:ascii="Times New Roman" w:hAnsi="Times New Roman"/>
          <w:bCs/>
          <w:szCs w:val="32"/>
          <w:highlight w:val="none"/>
        </w:rPr>
        <w:t>实现</w:t>
      </w:r>
      <w:r>
        <w:rPr>
          <w:rFonts w:ascii="Times New Roman" w:hAnsi="Times New Roman"/>
          <w:bCs/>
          <w:szCs w:val="32"/>
          <w:highlight w:val="none"/>
        </w:rPr>
        <w:t>就业600人。为来宁求职的高校应届毕业生和青年人才</w:t>
      </w:r>
      <w:r>
        <w:rPr>
          <w:rFonts w:hint="eastAsia" w:ascii="Times New Roman" w:hAnsi="Times New Roman"/>
          <w:bCs/>
          <w:szCs w:val="32"/>
          <w:highlight w:val="none"/>
        </w:rPr>
        <w:t>，</w:t>
      </w:r>
      <w:r>
        <w:rPr>
          <w:rFonts w:ascii="Times New Roman" w:hAnsi="Times New Roman"/>
          <w:bCs/>
          <w:szCs w:val="32"/>
          <w:highlight w:val="none"/>
        </w:rPr>
        <w:t>提供</w:t>
      </w:r>
      <w:r>
        <w:rPr>
          <w:rFonts w:hint="eastAsia" w:ascii="Times New Roman" w:hAnsi="Times New Roman" w:cs="方正仿宋_GBK"/>
          <w:bCs/>
          <w:szCs w:val="32"/>
          <w:highlight w:val="none"/>
        </w:rPr>
        <w:t>“宁青驿站”</w:t>
      </w:r>
      <w:r>
        <w:rPr>
          <w:rFonts w:ascii="Times New Roman" w:hAnsi="Times New Roman"/>
          <w:bCs/>
          <w:szCs w:val="32"/>
          <w:highlight w:val="none"/>
        </w:rPr>
        <w:t>免费过渡性住宿5000余天。</w:t>
      </w:r>
    </w:p>
    <w:p w14:paraId="6C4EAC2B">
      <w:pPr>
        <w:ind w:firstLine="627" w:firstLineChars="196"/>
        <w:rPr>
          <w:rFonts w:ascii="Times New Roman" w:hAnsi="Times New Roman"/>
          <w:szCs w:val="32"/>
          <w:highlight w:val="none"/>
        </w:rPr>
      </w:pPr>
      <w:r>
        <w:rPr>
          <w:rFonts w:ascii="Times New Roman" w:hAnsi="Times New Roman"/>
          <w:szCs w:val="32"/>
          <w:highlight w:val="none"/>
        </w:rPr>
        <w:t>3.</w:t>
      </w:r>
      <w:r>
        <w:rPr>
          <w:rFonts w:hint="eastAsia" w:ascii="Times New Roman" w:hAnsi="Times New Roman"/>
          <w:szCs w:val="32"/>
          <w:highlight w:val="none"/>
        </w:rPr>
        <w:t xml:space="preserve"> </w:t>
      </w:r>
      <w:r>
        <w:rPr>
          <w:rFonts w:ascii="Times New Roman" w:hAnsi="Times New Roman" w:eastAsia="方正楷体_GBK"/>
          <w:bCs/>
          <w:szCs w:val="32"/>
          <w:highlight w:val="none"/>
        </w:rPr>
        <w:t>开展贴心为老服务</w:t>
      </w:r>
      <w:r>
        <w:rPr>
          <w:rFonts w:ascii="Times New Roman" w:hAnsi="Times New Roman"/>
          <w:szCs w:val="32"/>
          <w:highlight w:val="none"/>
        </w:rPr>
        <w:t>。</w:t>
      </w:r>
      <w:r>
        <w:rPr>
          <w:rFonts w:ascii="Times New Roman" w:hAnsi="Times New Roman"/>
          <w:bCs/>
          <w:szCs w:val="32"/>
          <w:highlight w:val="none"/>
        </w:rPr>
        <w:t>通过社区网格员、养老服务组织、志愿者等方式联动探访约42万人次，实现重点特殊困难老人探访全覆盖。</w:t>
      </w:r>
      <w:r>
        <w:rPr>
          <w:rFonts w:ascii="Times New Roman" w:hAnsi="Times New Roman"/>
          <w:kern w:val="0"/>
          <w:szCs w:val="32"/>
          <w:highlight w:val="none"/>
        </w:rPr>
        <w:t>完成失能老年人家庭成员一对一上门照护指导120户。完成红山街道北苑社区乐食银发助餐点建设并投入运营。组织3.5万</w:t>
      </w:r>
      <w:r>
        <w:rPr>
          <w:rFonts w:hint="eastAsia" w:ascii="Times New Roman" w:hAnsi="Times New Roman"/>
          <w:kern w:val="0"/>
          <w:szCs w:val="32"/>
          <w:highlight w:val="none"/>
        </w:rPr>
        <w:t>余</w:t>
      </w:r>
      <w:r>
        <w:rPr>
          <w:rFonts w:ascii="Times New Roman" w:hAnsi="Times New Roman"/>
          <w:kern w:val="0"/>
          <w:szCs w:val="32"/>
          <w:highlight w:val="none"/>
        </w:rPr>
        <w:t>名企业退休人员参加免费健康体检。</w:t>
      </w:r>
    </w:p>
    <w:p w14:paraId="41EDB52E">
      <w:pPr>
        <w:ind w:firstLine="640"/>
        <w:rPr>
          <w:rFonts w:ascii="Times New Roman" w:hAnsi="Times New Roman"/>
          <w:bCs/>
          <w:szCs w:val="32"/>
          <w:highlight w:val="none"/>
        </w:rPr>
      </w:pPr>
      <w:r>
        <w:rPr>
          <w:rFonts w:ascii="Times New Roman" w:hAnsi="Times New Roman" w:eastAsia="方正楷体_GBK"/>
          <w:bCs/>
          <w:szCs w:val="32"/>
          <w:highlight w:val="none"/>
        </w:rPr>
        <w:t>4. 优化医疗健康服务。</w:t>
      </w:r>
      <w:r>
        <w:rPr>
          <w:rFonts w:ascii="Times New Roman" w:hAnsi="Times New Roman"/>
          <w:bCs/>
          <w:szCs w:val="32"/>
          <w:highlight w:val="none"/>
        </w:rPr>
        <w:t>建成中医家庭医生工作室5个、养老机构中医工作室5个。联合东部战区总医院</w:t>
      </w:r>
      <w:r>
        <w:rPr>
          <w:rFonts w:hint="eastAsia" w:ascii="Times New Roman" w:hAnsi="Times New Roman" w:cs="方正仿宋_GBK"/>
          <w:bCs/>
          <w:szCs w:val="32"/>
          <w:highlight w:val="none"/>
        </w:rPr>
        <w:t>共建</w:t>
      </w:r>
      <w:r>
        <w:rPr>
          <w:rFonts w:ascii="Times New Roman" w:hAnsi="Times New Roman"/>
          <w:bCs/>
          <w:szCs w:val="32"/>
          <w:highlight w:val="none"/>
        </w:rPr>
        <w:t>军民融合式急救站点，完成院前急救任务2875单。开展各类应急救护培训380余场次，累计培训46714人次。为181名精神障碍患者提供居家康复和日间照料服务。</w:t>
      </w:r>
    </w:p>
    <w:p w14:paraId="04EF9740">
      <w:pPr>
        <w:ind w:firstLine="640"/>
        <w:rPr>
          <w:rFonts w:ascii="Times New Roman" w:hAnsi="Times New Roman"/>
          <w:szCs w:val="32"/>
          <w:highlight w:val="none"/>
        </w:rPr>
      </w:pPr>
      <w:r>
        <w:rPr>
          <w:rFonts w:ascii="Times New Roman" w:hAnsi="Times New Roman" w:eastAsia="方正楷体_GBK"/>
          <w:bCs/>
          <w:szCs w:val="32"/>
          <w:highlight w:val="none"/>
        </w:rPr>
        <w:t>5.</w:t>
      </w:r>
      <w:r>
        <w:rPr>
          <w:rFonts w:hint="eastAsia" w:ascii="Times New Roman" w:hAnsi="Times New Roman" w:eastAsia="方正楷体_GBK"/>
          <w:bCs/>
          <w:szCs w:val="32"/>
          <w:highlight w:val="none"/>
        </w:rPr>
        <w:t xml:space="preserve"> </w:t>
      </w:r>
      <w:r>
        <w:rPr>
          <w:rFonts w:ascii="Times New Roman" w:hAnsi="Times New Roman" w:eastAsia="方正楷体_GBK"/>
          <w:bCs/>
          <w:szCs w:val="32"/>
          <w:highlight w:val="none"/>
        </w:rPr>
        <w:t>提升群众居住环境。</w:t>
      </w:r>
      <w:r>
        <w:rPr>
          <w:rFonts w:ascii="Times New Roman" w:hAnsi="Times New Roman"/>
          <w:szCs w:val="32"/>
          <w:highlight w:val="none"/>
        </w:rPr>
        <w:t>完成22个老旧小区165栋房屋改造，建筑面积</w:t>
      </w:r>
      <w:r>
        <w:rPr>
          <w:rFonts w:hint="eastAsia" w:ascii="Times New Roman" w:hAnsi="Times New Roman"/>
          <w:szCs w:val="32"/>
          <w:highlight w:val="none"/>
        </w:rPr>
        <w:t>达</w:t>
      </w:r>
      <w:r>
        <w:rPr>
          <w:rFonts w:ascii="Times New Roman" w:hAnsi="Times New Roman"/>
          <w:szCs w:val="32"/>
          <w:highlight w:val="none"/>
        </w:rPr>
        <w:t>35.</w:t>
      </w:r>
      <w:r>
        <w:rPr>
          <w:rFonts w:hint="eastAsia" w:ascii="Times New Roman" w:hAnsi="Times New Roman"/>
          <w:szCs w:val="32"/>
          <w:highlight w:val="none"/>
        </w:rPr>
        <w:t>7</w:t>
      </w:r>
      <w:r>
        <w:rPr>
          <w:rFonts w:ascii="Times New Roman" w:hAnsi="Times New Roman"/>
          <w:szCs w:val="32"/>
          <w:highlight w:val="none"/>
        </w:rPr>
        <w:t>万平方米。围绕消防安全、物业服务履约等方面开展</w:t>
      </w:r>
      <w:r>
        <w:rPr>
          <w:rFonts w:hint="eastAsia" w:ascii="Times New Roman" w:hAnsi="Times New Roman"/>
          <w:szCs w:val="32"/>
          <w:highlight w:val="none"/>
        </w:rPr>
        <w:t>专业</w:t>
      </w:r>
      <w:r>
        <w:rPr>
          <w:rFonts w:ascii="Times New Roman" w:hAnsi="Times New Roman"/>
          <w:szCs w:val="32"/>
          <w:highlight w:val="none"/>
        </w:rPr>
        <w:t>培训10次，参训1000余人次；</w:t>
      </w:r>
      <w:r>
        <w:rPr>
          <w:rFonts w:hint="eastAsia" w:ascii="Times New Roman" w:hAnsi="Times New Roman"/>
          <w:szCs w:val="32"/>
          <w:highlight w:val="none"/>
        </w:rPr>
        <w:t>建成投用</w:t>
      </w:r>
      <w:r>
        <w:rPr>
          <w:rFonts w:ascii="Times New Roman" w:hAnsi="Times New Roman"/>
          <w:szCs w:val="32"/>
          <w:highlight w:val="none"/>
        </w:rPr>
        <w:t>国企物业一体化数字平台，实现报修任务的</w:t>
      </w:r>
      <w:r>
        <w:rPr>
          <w:rFonts w:hint="eastAsia" w:ascii="Times New Roman" w:hAnsi="Times New Roman"/>
          <w:szCs w:val="32"/>
          <w:highlight w:val="none"/>
        </w:rPr>
        <w:t>自动</w:t>
      </w:r>
      <w:r>
        <w:rPr>
          <w:rFonts w:ascii="Times New Roman" w:hAnsi="Times New Roman"/>
          <w:szCs w:val="32"/>
          <w:highlight w:val="none"/>
        </w:rPr>
        <w:t>派单、跟踪处理与闭环管理。完成22个片区雨污水管网清疏修缮</w:t>
      </w:r>
      <w:r>
        <w:rPr>
          <w:rFonts w:hint="eastAsia" w:ascii="Times New Roman" w:hAnsi="Times New Roman"/>
          <w:szCs w:val="32"/>
          <w:highlight w:val="none"/>
        </w:rPr>
        <w:t>，对</w:t>
      </w:r>
      <w:r>
        <w:rPr>
          <w:rFonts w:ascii="Times New Roman" w:hAnsi="Times New Roman"/>
          <w:szCs w:val="32"/>
          <w:highlight w:val="none"/>
        </w:rPr>
        <w:t>18个小区排水设施</w:t>
      </w:r>
      <w:r>
        <w:rPr>
          <w:rFonts w:hint="eastAsia" w:ascii="Times New Roman" w:hAnsi="Times New Roman"/>
          <w:szCs w:val="32"/>
          <w:highlight w:val="none"/>
        </w:rPr>
        <w:t>实现</w:t>
      </w:r>
      <w:r>
        <w:rPr>
          <w:rFonts w:ascii="Times New Roman" w:hAnsi="Times New Roman"/>
          <w:szCs w:val="32"/>
          <w:highlight w:val="none"/>
        </w:rPr>
        <w:t>常态化管养。</w:t>
      </w:r>
    </w:p>
    <w:p w14:paraId="7A4E80B4">
      <w:pPr>
        <w:ind w:firstLine="640"/>
        <w:rPr>
          <w:rFonts w:ascii="Times New Roman" w:hAnsi="Times New Roman"/>
          <w:szCs w:val="32"/>
          <w:highlight w:val="none"/>
        </w:rPr>
      </w:pPr>
      <w:r>
        <w:rPr>
          <w:rFonts w:ascii="Times New Roman" w:hAnsi="Times New Roman" w:eastAsia="方正楷体_GBK"/>
          <w:bCs/>
          <w:szCs w:val="32"/>
          <w:highlight w:val="none"/>
        </w:rPr>
        <w:t>6.</w:t>
      </w:r>
      <w:r>
        <w:rPr>
          <w:rFonts w:hint="eastAsia" w:ascii="Times New Roman" w:hAnsi="Times New Roman" w:eastAsia="方正楷体_GBK"/>
          <w:bCs/>
          <w:szCs w:val="32"/>
          <w:highlight w:val="none"/>
        </w:rPr>
        <w:t xml:space="preserve"> </w:t>
      </w:r>
      <w:r>
        <w:rPr>
          <w:rFonts w:ascii="Times New Roman" w:hAnsi="Times New Roman" w:eastAsia="方正楷体_GBK"/>
          <w:bCs/>
          <w:szCs w:val="32"/>
          <w:highlight w:val="none"/>
        </w:rPr>
        <w:t>方便群众交通出行。</w:t>
      </w:r>
      <w:r>
        <w:rPr>
          <w:rFonts w:ascii="Times New Roman" w:hAnsi="Times New Roman"/>
          <w:szCs w:val="32"/>
          <w:highlight w:val="none"/>
        </w:rPr>
        <w:t>完成华新路</w:t>
      </w:r>
      <w:r>
        <w:rPr>
          <w:rFonts w:hint="eastAsia" w:ascii="Times New Roman" w:hAnsi="Times New Roman"/>
          <w:szCs w:val="32"/>
          <w:highlight w:val="none"/>
        </w:rPr>
        <w:t>部分</w:t>
      </w:r>
      <w:r>
        <w:rPr>
          <w:rFonts w:ascii="Times New Roman" w:hAnsi="Times New Roman"/>
          <w:szCs w:val="32"/>
          <w:highlight w:val="none"/>
        </w:rPr>
        <w:t>路段道路拓宽</w:t>
      </w:r>
      <w:r>
        <w:rPr>
          <w:rFonts w:hint="eastAsia" w:ascii="Times New Roman" w:hAnsi="Times New Roman"/>
          <w:szCs w:val="32"/>
          <w:highlight w:val="none"/>
        </w:rPr>
        <w:t>和</w:t>
      </w:r>
      <w:r>
        <w:rPr>
          <w:rFonts w:ascii="Times New Roman" w:hAnsi="Times New Roman"/>
          <w:szCs w:val="32"/>
          <w:highlight w:val="none"/>
        </w:rPr>
        <w:t>雨污水管道修复</w:t>
      </w:r>
      <w:r>
        <w:rPr>
          <w:rFonts w:hint="eastAsia" w:ascii="Times New Roman" w:hAnsi="Times New Roman"/>
          <w:szCs w:val="32"/>
          <w:highlight w:val="none"/>
        </w:rPr>
        <w:t>，在</w:t>
      </w:r>
      <w:r>
        <w:rPr>
          <w:rFonts w:ascii="Times New Roman" w:hAnsi="Times New Roman"/>
          <w:szCs w:val="32"/>
          <w:highlight w:val="none"/>
        </w:rPr>
        <w:t>全线新增路灯</w:t>
      </w:r>
      <w:r>
        <w:rPr>
          <w:rFonts w:hint="eastAsia" w:ascii="Times New Roman" w:hAnsi="Times New Roman"/>
          <w:szCs w:val="32"/>
          <w:highlight w:val="none"/>
        </w:rPr>
        <w:t>并</w:t>
      </w:r>
      <w:r>
        <w:rPr>
          <w:rFonts w:ascii="Times New Roman" w:hAnsi="Times New Roman"/>
          <w:szCs w:val="32"/>
          <w:highlight w:val="none"/>
        </w:rPr>
        <w:t>完善标线标牌。完成华跃路西延道路建设</w:t>
      </w:r>
      <w:r>
        <w:rPr>
          <w:rFonts w:hint="eastAsia" w:ascii="Times New Roman" w:hAnsi="Times New Roman"/>
          <w:szCs w:val="32"/>
          <w:highlight w:val="none"/>
        </w:rPr>
        <w:t>。对</w:t>
      </w:r>
      <w:r>
        <w:rPr>
          <w:rFonts w:ascii="Times New Roman" w:hAnsi="Times New Roman"/>
          <w:szCs w:val="32"/>
          <w:highlight w:val="none"/>
        </w:rPr>
        <w:t>墨香路等5条道路排水</w:t>
      </w:r>
      <w:r>
        <w:rPr>
          <w:rFonts w:hint="eastAsia" w:ascii="Times New Roman" w:hAnsi="Times New Roman"/>
          <w:szCs w:val="32"/>
          <w:highlight w:val="none"/>
        </w:rPr>
        <w:t>系统进行</w:t>
      </w:r>
      <w:r>
        <w:rPr>
          <w:rFonts w:ascii="Times New Roman" w:hAnsi="Times New Roman"/>
          <w:szCs w:val="32"/>
          <w:highlight w:val="none"/>
        </w:rPr>
        <w:t>整治，更换红山路雨水泵站雨水泵，</w:t>
      </w:r>
      <w:r>
        <w:rPr>
          <w:rFonts w:hint="eastAsia" w:ascii="Times New Roman" w:hAnsi="Times New Roman"/>
          <w:szCs w:val="32"/>
          <w:highlight w:val="none"/>
        </w:rPr>
        <w:t>在</w:t>
      </w:r>
      <w:r>
        <w:rPr>
          <w:rFonts w:ascii="Times New Roman" w:hAnsi="Times New Roman"/>
          <w:szCs w:val="32"/>
          <w:highlight w:val="none"/>
        </w:rPr>
        <w:t>部分路段新建污水管道。</w:t>
      </w:r>
      <w:r>
        <w:rPr>
          <w:rFonts w:hint="eastAsia" w:ascii="Times New Roman" w:hAnsi="Times New Roman"/>
          <w:szCs w:val="32"/>
          <w:highlight w:val="none"/>
        </w:rPr>
        <w:t>完成全区道路</w:t>
      </w:r>
      <w:r>
        <w:rPr>
          <w:rFonts w:ascii="Times New Roman" w:hAnsi="Times New Roman"/>
          <w:szCs w:val="32"/>
          <w:highlight w:val="none"/>
        </w:rPr>
        <w:t>信号灯专项提升（第二批）</w:t>
      </w:r>
      <w:r>
        <w:rPr>
          <w:rFonts w:hint="eastAsia" w:ascii="Times New Roman" w:hAnsi="Times New Roman"/>
          <w:szCs w:val="32"/>
          <w:highlight w:val="none"/>
        </w:rPr>
        <w:t>，对</w:t>
      </w:r>
      <w:r>
        <w:rPr>
          <w:rFonts w:ascii="Times New Roman" w:hAnsi="Times New Roman"/>
          <w:szCs w:val="32"/>
          <w:highlight w:val="none"/>
        </w:rPr>
        <w:t>红山南路、北苑东路等</w:t>
      </w:r>
      <w:r>
        <w:rPr>
          <w:rFonts w:hint="eastAsia" w:ascii="Times New Roman" w:hAnsi="Times New Roman"/>
          <w:szCs w:val="32"/>
          <w:highlight w:val="none"/>
        </w:rPr>
        <w:t>道路</w:t>
      </w:r>
      <w:r>
        <w:rPr>
          <w:rFonts w:ascii="Times New Roman" w:hAnsi="Times New Roman"/>
          <w:szCs w:val="32"/>
          <w:highlight w:val="none"/>
        </w:rPr>
        <w:t>交通安全设施</w:t>
      </w:r>
      <w:r>
        <w:rPr>
          <w:rFonts w:hint="eastAsia" w:ascii="Times New Roman" w:hAnsi="Times New Roman"/>
          <w:szCs w:val="32"/>
          <w:highlight w:val="none"/>
        </w:rPr>
        <w:t>进行改造升级</w:t>
      </w:r>
      <w:r>
        <w:rPr>
          <w:rFonts w:ascii="Times New Roman" w:hAnsi="Times New Roman"/>
          <w:szCs w:val="32"/>
          <w:highlight w:val="none"/>
        </w:rPr>
        <w:t>。</w:t>
      </w:r>
    </w:p>
    <w:p w14:paraId="69A25F2E">
      <w:pPr>
        <w:ind w:firstLine="640"/>
        <w:rPr>
          <w:rFonts w:ascii="Times New Roman" w:hAnsi="Times New Roman"/>
          <w:szCs w:val="32"/>
          <w:highlight w:val="none"/>
        </w:rPr>
      </w:pPr>
      <w:r>
        <w:rPr>
          <w:rFonts w:ascii="Times New Roman" w:hAnsi="Times New Roman" w:eastAsia="方正楷体_GBK"/>
          <w:bCs/>
          <w:szCs w:val="32"/>
          <w:highlight w:val="none"/>
        </w:rPr>
        <w:t>7.</w:t>
      </w:r>
      <w:r>
        <w:rPr>
          <w:rFonts w:hint="eastAsia" w:ascii="Times New Roman" w:hAnsi="Times New Roman" w:eastAsia="方正楷体_GBK"/>
          <w:bCs/>
          <w:szCs w:val="32"/>
          <w:highlight w:val="none"/>
        </w:rPr>
        <w:t xml:space="preserve"> </w:t>
      </w:r>
      <w:r>
        <w:rPr>
          <w:rFonts w:ascii="Times New Roman" w:hAnsi="Times New Roman" w:eastAsia="方正楷体_GBK"/>
          <w:bCs/>
          <w:szCs w:val="32"/>
          <w:highlight w:val="none"/>
        </w:rPr>
        <w:t>关爱困境妇女、青少年成长</w:t>
      </w:r>
      <w:r>
        <w:rPr>
          <w:rFonts w:ascii="Times New Roman" w:hAnsi="Times New Roman"/>
          <w:bCs/>
          <w:szCs w:val="32"/>
          <w:highlight w:val="none"/>
        </w:rPr>
        <w:t>。</w:t>
      </w:r>
      <w:r>
        <w:rPr>
          <w:rFonts w:ascii="Times New Roman" w:hAnsi="Times New Roman"/>
          <w:szCs w:val="32"/>
          <w:highlight w:val="none"/>
        </w:rPr>
        <w:t>建成并实体化运营</w:t>
      </w:r>
      <w:r>
        <w:rPr>
          <w:rFonts w:hint="eastAsia" w:ascii="Times New Roman" w:hAnsi="Times New Roman"/>
          <w:szCs w:val="32"/>
          <w:highlight w:val="none"/>
        </w:rPr>
        <w:t>“</w:t>
      </w:r>
      <w:r>
        <w:rPr>
          <w:rFonts w:ascii="Times New Roman" w:hAnsi="Times New Roman"/>
          <w:szCs w:val="32"/>
          <w:highlight w:val="none"/>
        </w:rPr>
        <w:t>微光汇聚工作室</w:t>
      </w:r>
      <w:r>
        <w:rPr>
          <w:rFonts w:hint="eastAsia" w:ascii="Times New Roman" w:hAnsi="Times New Roman"/>
          <w:szCs w:val="32"/>
          <w:highlight w:val="none"/>
        </w:rPr>
        <w:t>”，</w:t>
      </w:r>
      <w:r>
        <w:rPr>
          <w:rFonts w:ascii="Times New Roman" w:hAnsi="Times New Roman"/>
          <w:szCs w:val="32"/>
          <w:highlight w:val="none"/>
        </w:rPr>
        <w:t>为324户生活困难家庭提供妇女儿童个性化关爱服务。新建</w:t>
      </w:r>
      <w:r>
        <w:rPr>
          <w:rFonts w:hint="eastAsia" w:ascii="Times New Roman" w:hAnsi="Times New Roman" w:cs="方正仿宋_GBK"/>
          <w:szCs w:val="32"/>
          <w:highlight w:val="none"/>
        </w:rPr>
        <w:t>“梦想小屋”</w:t>
      </w:r>
      <w:r>
        <w:rPr>
          <w:rFonts w:ascii="Times New Roman" w:hAnsi="Times New Roman"/>
          <w:szCs w:val="32"/>
          <w:highlight w:val="none"/>
        </w:rPr>
        <w:t>14间，举办</w:t>
      </w:r>
      <w:r>
        <w:rPr>
          <w:rFonts w:hint="eastAsia" w:ascii="Times New Roman" w:hAnsi="Times New Roman" w:cs="方正仿宋_GBK"/>
          <w:szCs w:val="32"/>
          <w:highlight w:val="none"/>
        </w:rPr>
        <w:t>“爱心暑托班”</w:t>
      </w:r>
      <w:r>
        <w:rPr>
          <w:rFonts w:ascii="Times New Roman" w:hAnsi="Times New Roman"/>
          <w:szCs w:val="32"/>
          <w:highlight w:val="none"/>
        </w:rPr>
        <w:t>14个</w:t>
      </w:r>
      <w:r>
        <w:rPr>
          <w:rFonts w:hint="eastAsia" w:ascii="Times New Roman" w:hAnsi="Times New Roman"/>
          <w:szCs w:val="32"/>
          <w:highlight w:val="none"/>
        </w:rPr>
        <w:t>、</w:t>
      </w:r>
      <w:r>
        <w:rPr>
          <w:rFonts w:ascii="Times New Roman" w:hAnsi="Times New Roman"/>
          <w:szCs w:val="32"/>
          <w:highlight w:val="none"/>
        </w:rPr>
        <w:t>服务家庭377户。为符合条件的210名0</w:t>
      </w:r>
      <w:r>
        <w:rPr>
          <w:rFonts w:hint="eastAsia" w:ascii="Times New Roman" w:hAnsi="Times New Roman"/>
          <w:szCs w:val="32"/>
          <w:highlight w:val="none"/>
        </w:rPr>
        <w:t>—</w:t>
      </w:r>
      <w:r>
        <w:rPr>
          <w:rFonts w:ascii="Times New Roman" w:hAnsi="Times New Roman"/>
          <w:szCs w:val="32"/>
          <w:highlight w:val="none"/>
        </w:rPr>
        <w:t>17周岁残疾儿童提供基本康复服务救助。</w:t>
      </w:r>
    </w:p>
    <w:p w14:paraId="669C65B7">
      <w:pPr>
        <w:ind w:firstLine="640"/>
        <w:rPr>
          <w:rFonts w:ascii="Times New Roman" w:hAnsi="Times New Roman"/>
          <w:szCs w:val="32"/>
          <w:highlight w:val="none"/>
        </w:rPr>
      </w:pPr>
      <w:r>
        <w:rPr>
          <w:rFonts w:ascii="Times New Roman" w:hAnsi="Times New Roman"/>
          <w:bCs/>
          <w:szCs w:val="32"/>
          <w:highlight w:val="none"/>
        </w:rPr>
        <w:t xml:space="preserve">8. </w:t>
      </w:r>
      <w:r>
        <w:rPr>
          <w:rFonts w:ascii="Times New Roman" w:hAnsi="Times New Roman" w:eastAsia="方正楷体_GBK"/>
          <w:bCs/>
          <w:szCs w:val="32"/>
          <w:highlight w:val="none"/>
        </w:rPr>
        <w:t>提升城市安全韧性</w:t>
      </w:r>
      <w:r>
        <w:rPr>
          <w:rFonts w:ascii="Times New Roman" w:hAnsi="Times New Roman"/>
          <w:bCs/>
          <w:szCs w:val="32"/>
          <w:highlight w:val="none"/>
        </w:rPr>
        <w:t>。</w:t>
      </w:r>
      <w:r>
        <w:rPr>
          <w:rFonts w:ascii="Times New Roman" w:hAnsi="Times New Roman"/>
          <w:szCs w:val="32"/>
          <w:highlight w:val="none"/>
        </w:rPr>
        <w:t>完成食品安全监督抽检2425批次</w:t>
      </w:r>
      <w:r>
        <w:rPr>
          <w:rFonts w:hint="eastAsia" w:ascii="Times New Roman" w:hAnsi="Times New Roman"/>
          <w:szCs w:val="32"/>
          <w:highlight w:val="none"/>
        </w:rPr>
        <w:t>、</w:t>
      </w:r>
      <w:r>
        <w:rPr>
          <w:rFonts w:ascii="Times New Roman" w:hAnsi="Times New Roman"/>
          <w:szCs w:val="32"/>
          <w:highlight w:val="none"/>
        </w:rPr>
        <w:t>农副产品快检14.9万批次，食用（地产）农产品监督抽检问题</w:t>
      </w:r>
      <w:r>
        <w:rPr>
          <w:rFonts w:hint="eastAsia" w:ascii="Times New Roman" w:hAnsi="Times New Roman"/>
          <w:szCs w:val="32"/>
          <w:highlight w:val="none"/>
        </w:rPr>
        <w:t>后</w:t>
      </w:r>
      <w:r>
        <w:rPr>
          <w:rFonts w:ascii="Times New Roman" w:hAnsi="Times New Roman"/>
          <w:szCs w:val="32"/>
          <w:highlight w:val="none"/>
        </w:rPr>
        <w:t>处置率达100%。安装独立式感烟火灾探测器600只、简易喷淋221套。开展基层防灾减灾和应急救护等培训演练20场，覆盖全区1483家重点小型场所单位。完成樱铁村、月苑三村等小区树木修剪270株。</w:t>
      </w:r>
    </w:p>
    <w:p w14:paraId="5A5FFF52">
      <w:pPr>
        <w:ind w:firstLine="640"/>
        <w:rPr>
          <w:rFonts w:ascii="Times New Roman" w:hAnsi="Times New Roman"/>
          <w:szCs w:val="32"/>
          <w:highlight w:val="none"/>
        </w:rPr>
      </w:pPr>
      <w:r>
        <w:rPr>
          <w:rFonts w:ascii="Times New Roman" w:hAnsi="Times New Roman" w:eastAsia="方正楷体_GBK"/>
          <w:bCs/>
          <w:szCs w:val="32"/>
          <w:highlight w:val="none"/>
        </w:rPr>
        <w:t>9.</w:t>
      </w:r>
      <w:r>
        <w:rPr>
          <w:rFonts w:hint="eastAsia" w:ascii="Times New Roman" w:hAnsi="Times New Roman" w:eastAsia="方正楷体_GBK"/>
          <w:bCs/>
          <w:szCs w:val="32"/>
          <w:highlight w:val="none"/>
        </w:rPr>
        <w:t xml:space="preserve"> </w:t>
      </w:r>
      <w:r>
        <w:rPr>
          <w:rFonts w:ascii="Times New Roman" w:hAnsi="Times New Roman" w:eastAsia="方正楷体_GBK"/>
          <w:bCs/>
          <w:szCs w:val="32"/>
          <w:highlight w:val="none"/>
        </w:rPr>
        <w:t>改善城市公共环境。</w:t>
      </w:r>
      <w:r>
        <w:rPr>
          <w:rFonts w:ascii="Times New Roman" w:hAnsi="Times New Roman"/>
          <w:szCs w:val="32"/>
          <w:highlight w:val="none"/>
        </w:rPr>
        <w:t>完成凯瑟琳广场等人流活动聚集区域10座公厕适老适幼化改造。对四牌楼</w:t>
      </w:r>
      <w:r>
        <w:rPr>
          <w:rFonts w:hint="eastAsia" w:ascii="Times New Roman" w:hAnsi="Times New Roman"/>
          <w:szCs w:val="32"/>
          <w:highlight w:val="none"/>
        </w:rPr>
        <w:t>垃圾</w:t>
      </w:r>
      <w:r>
        <w:rPr>
          <w:rFonts w:ascii="Times New Roman" w:hAnsi="Times New Roman"/>
          <w:szCs w:val="32"/>
          <w:highlight w:val="none"/>
        </w:rPr>
        <w:t>转运站实施改造，增加除臭装置和回转场地。</w:t>
      </w:r>
    </w:p>
    <w:p w14:paraId="37986E95">
      <w:pPr>
        <w:ind w:firstLine="627" w:firstLineChars="196"/>
        <w:rPr>
          <w:rFonts w:ascii="Times New Roman" w:hAnsi="Times New Roman"/>
          <w:szCs w:val="32"/>
          <w:highlight w:val="none"/>
        </w:rPr>
      </w:pPr>
      <w:r>
        <w:rPr>
          <w:rFonts w:ascii="Times New Roman" w:hAnsi="Times New Roman" w:eastAsia="方正楷体_GBK"/>
          <w:bCs/>
          <w:szCs w:val="32"/>
          <w:highlight w:val="none"/>
        </w:rPr>
        <w:t>10.</w:t>
      </w:r>
      <w:r>
        <w:rPr>
          <w:rFonts w:hint="eastAsia" w:ascii="Times New Roman" w:hAnsi="Times New Roman" w:eastAsia="方正楷体_GBK"/>
          <w:bCs/>
          <w:szCs w:val="32"/>
          <w:highlight w:val="none"/>
        </w:rPr>
        <w:t xml:space="preserve"> </w:t>
      </w:r>
      <w:r>
        <w:rPr>
          <w:rFonts w:ascii="Times New Roman" w:hAnsi="Times New Roman" w:eastAsia="方正楷体_GBK"/>
          <w:bCs/>
          <w:szCs w:val="32"/>
          <w:highlight w:val="none"/>
        </w:rPr>
        <w:t>推进惠民便民服务</w:t>
      </w:r>
      <w:r>
        <w:rPr>
          <w:rFonts w:ascii="Times New Roman" w:hAnsi="Times New Roman"/>
          <w:bCs/>
          <w:szCs w:val="32"/>
          <w:highlight w:val="none"/>
        </w:rPr>
        <w:t>。</w:t>
      </w:r>
      <w:r>
        <w:rPr>
          <w:rFonts w:hint="eastAsia" w:ascii="Times New Roman" w:hAnsi="Times New Roman"/>
          <w:szCs w:val="32"/>
          <w:highlight w:val="none"/>
        </w:rPr>
        <w:t>针对</w:t>
      </w:r>
      <w:r>
        <w:rPr>
          <w:rFonts w:ascii="Times New Roman" w:hAnsi="Times New Roman"/>
          <w:szCs w:val="32"/>
          <w:highlight w:val="none"/>
        </w:rPr>
        <w:t>老旧小区居民关心的</w:t>
      </w:r>
      <w:r>
        <w:rPr>
          <w:rFonts w:hint="eastAsia" w:ascii="Times New Roman" w:hAnsi="Times New Roman" w:cs="方正仿宋_GBK"/>
          <w:szCs w:val="32"/>
          <w:highlight w:val="none"/>
        </w:rPr>
        <w:t>急难愁盼问题，推出</w:t>
      </w:r>
      <w:r>
        <w:rPr>
          <w:rFonts w:ascii="Times New Roman" w:hAnsi="Times New Roman"/>
          <w:szCs w:val="32"/>
          <w:highlight w:val="none"/>
        </w:rPr>
        <w:t>红色物业</w:t>
      </w:r>
      <w:r>
        <w:rPr>
          <w:rFonts w:hint="eastAsia" w:ascii="Times New Roman" w:hAnsi="Times New Roman"/>
          <w:szCs w:val="32"/>
          <w:highlight w:val="none"/>
        </w:rPr>
        <w:t>为民办</w:t>
      </w:r>
      <w:r>
        <w:rPr>
          <w:rFonts w:ascii="Times New Roman" w:hAnsi="Times New Roman"/>
          <w:szCs w:val="32"/>
          <w:highlight w:val="none"/>
        </w:rPr>
        <w:t>实事清单；新增樱驼花园、钟秀嘉园2个百子红友好</w:t>
      </w:r>
      <w:r>
        <w:rPr>
          <w:rFonts w:hint="eastAsia" w:ascii="Times New Roman" w:hAnsi="Times New Roman"/>
          <w:szCs w:val="32"/>
          <w:highlight w:val="none"/>
        </w:rPr>
        <w:t>“</w:t>
      </w:r>
      <w:r>
        <w:rPr>
          <w:rFonts w:ascii="Times New Roman" w:hAnsi="Times New Roman"/>
          <w:szCs w:val="32"/>
          <w:highlight w:val="none"/>
        </w:rPr>
        <w:t>睦宁里</w:t>
      </w:r>
      <w:r>
        <w:rPr>
          <w:rFonts w:hint="eastAsia" w:ascii="Times New Roman" w:hAnsi="Times New Roman"/>
          <w:szCs w:val="32"/>
          <w:highlight w:val="none"/>
        </w:rPr>
        <w:t>”</w:t>
      </w:r>
      <w:r>
        <w:rPr>
          <w:rFonts w:ascii="Times New Roman" w:hAnsi="Times New Roman"/>
          <w:szCs w:val="32"/>
          <w:highlight w:val="none"/>
        </w:rPr>
        <w:t>，提供收寄快递和驿站服务。新开设富贵山店、锁金店</w:t>
      </w:r>
      <w:r>
        <w:rPr>
          <w:rFonts w:hint="eastAsia" w:ascii="Times New Roman" w:hAnsi="Times New Roman"/>
          <w:szCs w:val="32"/>
          <w:highlight w:val="none"/>
        </w:rPr>
        <w:t>等</w:t>
      </w:r>
      <w:r>
        <w:rPr>
          <w:rFonts w:ascii="Times New Roman" w:hAnsi="Times New Roman"/>
          <w:szCs w:val="32"/>
          <w:highlight w:val="none"/>
        </w:rPr>
        <w:t>4家百子红社区食堂门店，服务</w:t>
      </w:r>
      <w:r>
        <w:rPr>
          <w:rFonts w:hint="eastAsia" w:ascii="Times New Roman" w:hAnsi="Times New Roman"/>
          <w:szCs w:val="32"/>
          <w:highlight w:val="none"/>
        </w:rPr>
        <w:t>区域</w:t>
      </w:r>
      <w:r>
        <w:rPr>
          <w:rFonts w:ascii="Times New Roman" w:hAnsi="Times New Roman"/>
          <w:szCs w:val="32"/>
          <w:highlight w:val="none"/>
        </w:rPr>
        <w:t>覆盖26个小区，</w:t>
      </w:r>
      <w:r>
        <w:rPr>
          <w:rFonts w:hint="eastAsia" w:ascii="Times New Roman" w:hAnsi="Times New Roman"/>
          <w:szCs w:val="32"/>
          <w:highlight w:val="none"/>
        </w:rPr>
        <w:t>累计</w:t>
      </w:r>
      <w:r>
        <w:rPr>
          <w:rFonts w:ascii="Times New Roman" w:hAnsi="Times New Roman"/>
          <w:szCs w:val="32"/>
          <w:highlight w:val="none"/>
        </w:rPr>
        <w:t>供餐10万余人次。</w:t>
      </w:r>
    </w:p>
    <w:p w14:paraId="7314328B">
      <w:pPr>
        <w:ind w:firstLine="640"/>
        <w:rPr>
          <w:rFonts w:ascii="Times New Roman" w:hAnsi="Times New Roman"/>
          <w:highlight w:val="none"/>
        </w:rPr>
      </w:pPr>
    </w:p>
    <w:p w14:paraId="582E6C7A">
      <w:pPr>
        <w:ind w:firstLine="640"/>
        <w:rPr>
          <w:rFonts w:ascii="Times New Roman" w:hAnsi="Times New Roman"/>
          <w:highlight w:val="none"/>
        </w:rPr>
      </w:pPr>
    </w:p>
    <w:p w14:paraId="4F78E1C2">
      <w:pPr>
        <w:ind w:firstLine="640"/>
        <w:rPr>
          <w:rFonts w:ascii="Times New Roman" w:hAnsi="Times New Roman" w:cs="方正仿宋_GBK"/>
          <w:szCs w:val="32"/>
          <w:highlight w:val="none"/>
          <w:shd w:val="clear" w:color="auto" w:fill="FFFFFF"/>
        </w:rPr>
      </w:pPr>
      <w:r>
        <w:rPr>
          <w:rFonts w:hint="eastAsia" w:ascii="Times New Roman" w:hAnsi="Times New Roman" w:cs="方正仿宋_GBK"/>
          <w:szCs w:val="32"/>
          <w:highlight w:val="none"/>
          <w:shd w:val="clear" w:color="auto" w:fill="FFFFFF"/>
        </w:rPr>
        <w:br w:type="page"/>
      </w:r>
    </w:p>
    <w:p w14:paraId="1DE2351F">
      <w:pPr>
        <w:ind w:firstLine="0" w:firstLineChars="0"/>
        <w:rPr>
          <w:rFonts w:ascii="Times New Roman" w:hAnsi="Times New Roman" w:eastAsia="方正黑体_GBK"/>
          <w:bCs/>
          <w:highlight w:val="none"/>
        </w:rPr>
      </w:pPr>
      <w:r>
        <w:rPr>
          <w:rFonts w:hint="eastAsia" w:ascii="Times New Roman" w:hAnsi="Times New Roman" w:eastAsia="方正黑体_GBK"/>
          <w:bCs/>
          <w:highlight w:val="none"/>
        </w:rPr>
        <w:t>附件2</w:t>
      </w:r>
    </w:p>
    <w:p w14:paraId="5AC0EF41">
      <w:pPr>
        <w:spacing w:line="500" w:lineRule="exact"/>
        <w:ind w:firstLine="880"/>
        <w:rPr>
          <w:rFonts w:ascii="Times New Roman" w:hAnsi="Times New Roman" w:eastAsia="方正小标宋_GBK"/>
          <w:bCs/>
          <w:sz w:val="44"/>
          <w:szCs w:val="44"/>
          <w:highlight w:val="none"/>
        </w:rPr>
      </w:pPr>
    </w:p>
    <w:p w14:paraId="2450DE4B">
      <w:pPr>
        <w:pStyle w:val="27"/>
        <w:rPr>
          <w:rFonts w:ascii="Times New Roman" w:hAnsi="Times New Roman"/>
          <w:highlight w:val="none"/>
        </w:rPr>
      </w:pPr>
      <w:r>
        <w:rPr>
          <w:rFonts w:ascii="Times New Roman" w:hAnsi="Times New Roman"/>
          <w:highlight w:val="none"/>
        </w:rPr>
        <w:t>202</w:t>
      </w:r>
      <w:r>
        <w:rPr>
          <w:rFonts w:hint="eastAsia" w:ascii="Times New Roman" w:hAnsi="Times New Roman"/>
          <w:highlight w:val="none"/>
        </w:rPr>
        <w:t>6年玄武区民生实事候选项目</w:t>
      </w:r>
    </w:p>
    <w:p w14:paraId="4CB7E187">
      <w:pPr>
        <w:spacing w:line="500" w:lineRule="exact"/>
        <w:ind w:firstLine="880"/>
        <w:rPr>
          <w:rFonts w:ascii="Times New Roman" w:hAnsi="Times New Roman" w:eastAsia="方正小标宋_GBK"/>
          <w:bCs/>
          <w:sz w:val="44"/>
          <w:szCs w:val="44"/>
          <w:highlight w:val="none"/>
        </w:rPr>
      </w:pPr>
    </w:p>
    <w:p w14:paraId="7F22502C">
      <w:pPr>
        <w:ind w:firstLine="640"/>
        <w:rPr>
          <w:rFonts w:ascii="Times New Roman" w:hAnsi="Times New Roman"/>
          <w:szCs w:val="32"/>
          <w:highlight w:val="none"/>
        </w:rPr>
      </w:pPr>
      <w:r>
        <w:rPr>
          <w:rFonts w:ascii="Times New Roman" w:hAnsi="Times New Roman" w:eastAsia="方正楷体_GBK"/>
          <w:bCs/>
          <w:highlight w:val="none"/>
        </w:rPr>
        <w:t>1.</w:t>
      </w:r>
      <w:r>
        <w:rPr>
          <w:rFonts w:hint="eastAsia" w:ascii="Times New Roman" w:hAnsi="Times New Roman" w:eastAsia="方正楷体_GBK"/>
          <w:bCs/>
          <w:highlight w:val="none"/>
        </w:rPr>
        <w:t xml:space="preserve"> </w:t>
      </w:r>
      <w:r>
        <w:rPr>
          <w:rFonts w:ascii="Times New Roman" w:hAnsi="Times New Roman" w:eastAsia="方正楷体_GBK"/>
          <w:bCs/>
          <w:highlight w:val="none"/>
        </w:rPr>
        <w:t>提升基础教育质量。</w:t>
      </w:r>
      <w:r>
        <w:rPr>
          <w:rFonts w:ascii="Times New Roman" w:hAnsi="Times New Roman"/>
          <w:szCs w:val="32"/>
          <w:highlight w:val="none"/>
        </w:rPr>
        <w:t>全面推动课堂教学方式深度变革，基本完成全区41所中小学</w:t>
      </w:r>
      <w:r>
        <w:rPr>
          <w:rFonts w:hint="eastAsia" w:ascii="Times New Roman" w:hAnsi="Times New Roman" w:cs="方正仿宋_GBK"/>
          <w:szCs w:val="32"/>
          <w:highlight w:val="none"/>
        </w:rPr>
        <w:t>“常态好课”教学</w:t>
      </w:r>
      <w:r>
        <w:rPr>
          <w:rFonts w:ascii="Times New Roman" w:hAnsi="Times New Roman"/>
          <w:szCs w:val="32"/>
          <w:highlight w:val="none"/>
        </w:rPr>
        <w:t>评比，完成8所典型学</w:t>
      </w:r>
      <w:r>
        <w:rPr>
          <w:rFonts w:hint="eastAsia" w:ascii="Times New Roman" w:hAnsi="Times New Roman" w:cs="方正仿宋_GBK"/>
          <w:szCs w:val="32"/>
          <w:highlight w:val="none"/>
        </w:rPr>
        <w:t>校“常态好课”</w:t>
      </w:r>
      <w:r>
        <w:rPr>
          <w:rFonts w:ascii="Times New Roman" w:hAnsi="Times New Roman"/>
          <w:szCs w:val="32"/>
          <w:highlight w:val="none"/>
        </w:rPr>
        <w:t>主题展示活动，形成AI赋能教学场景的典型案例500个，系统构建数据驱动</w:t>
      </w:r>
      <w:r>
        <w:rPr>
          <w:rFonts w:hint="eastAsia" w:ascii="Times New Roman" w:hAnsi="Times New Roman" w:cs="方正仿宋_GBK"/>
          <w:szCs w:val="32"/>
          <w:highlight w:val="none"/>
        </w:rPr>
        <w:t>的“教—学—评”闭</w:t>
      </w:r>
      <w:r>
        <w:rPr>
          <w:rFonts w:ascii="Times New Roman" w:hAnsi="Times New Roman"/>
          <w:szCs w:val="32"/>
          <w:highlight w:val="none"/>
        </w:rPr>
        <w:t>环。（责任单位：区教育局）</w:t>
      </w:r>
    </w:p>
    <w:p w14:paraId="27CBBB21">
      <w:pPr>
        <w:ind w:firstLine="640"/>
        <w:rPr>
          <w:rFonts w:ascii="Times New Roman" w:hAnsi="Times New Roman"/>
          <w:szCs w:val="32"/>
          <w:highlight w:val="none"/>
        </w:rPr>
      </w:pPr>
      <w:r>
        <w:rPr>
          <w:rFonts w:hint="eastAsia" w:ascii="Times New Roman" w:hAnsi="Times New Roman" w:eastAsia="方正楷体_GBK"/>
          <w:bCs/>
          <w:highlight w:val="none"/>
        </w:rPr>
        <w:t xml:space="preserve">2. </w:t>
      </w:r>
      <w:r>
        <w:rPr>
          <w:rFonts w:ascii="Times New Roman" w:hAnsi="Times New Roman" w:eastAsia="方正楷体_GBK"/>
          <w:bCs/>
          <w:highlight w:val="none"/>
        </w:rPr>
        <w:t>提高养老服务能力。</w:t>
      </w:r>
      <w:r>
        <w:rPr>
          <w:rFonts w:ascii="Times New Roman" w:hAnsi="Times New Roman"/>
          <w:szCs w:val="32"/>
          <w:highlight w:val="none"/>
        </w:rPr>
        <w:t>新建1家养老机构，加强养老服务设施建设，推进医养康养融合发展，为辖区老年人提供多元养老服务；培训养老从业人员不少于100人，提升从业人员技能；为65岁以上老年人群免费提供肺炎疫苗接种，降低肺炎感染风险。（责任单位：区民政局、区卫健委）</w:t>
      </w:r>
    </w:p>
    <w:p w14:paraId="0583C950">
      <w:pPr>
        <w:ind w:firstLine="640"/>
        <w:rPr>
          <w:rFonts w:ascii="Times New Roman" w:hAnsi="Times New Roman"/>
          <w:szCs w:val="32"/>
          <w:highlight w:val="none"/>
        </w:rPr>
      </w:pPr>
      <w:r>
        <w:rPr>
          <w:rFonts w:hint="eastAsia" w:ascii="Times New Roman" w:hAnsi="Times New Roman" w:eastAsia="方正楷体_GBK"/>
          <w:bCs/>
          <w:highlight w:val="none"/>
        </w:rPr>
        <w:t>3. 加大</w:t>
      </w:r>
      <w:r>
        <w:rPr>
          <w:rFonts w:ascii="Times New Roman" w:hAnsi="Times New Roman" w:eastAsia="方正楷体_GBK"/>
          <w:bCs/>
          <w:highlight w:val="none"/>
        </w:rPr>
        <w:t>就业创业</w:t>
      </w:r>
      <w:r>
        <w:rPr>
          <w:rFonts w:hint="eastAsia" w:ascii="Times New Roman" w:hAnsi="Times New Roman" w:eastAsia="方正楷体_GBK"/>
          <w:bCs/>
          <w:highlight w:val="none"/>
        </w:rPr>
        <w:t>帮扶</w:t>
      </w:r>
      <w:r>
        <w:rPr>
          <w:rFonts w:ascii="Times New Roman" w:hAnsi="Times New Roman" w:eastAsia="方正楷体_GBK"/>
          <w:bCs/>
          <w:highlight w:val="none"/>
        </w:rPr>
        <w:t>。</w:t>
      </w:r>
      <w:r>
        <w:rPr>
          <w:rFonts w:ascii="Times New Roman" w:hAnsi="Times New Roman"/>
          <w:szCs w:val="32"/>
          <w:highlight w:val="none"/>
        </w:rPr>
        <w:t>为来宁求职的高校应届毕业生和青年人才提</w:t>
      </w:r>
      <w:r>
        <w:rPr>
          <w:rFonts w:hint="eastAsia" w:ascii="Times New Roman" w:hAnsi="Times New Roman" w:cs="方正仿宋_GBK"/>
          <w:szCs w:val="32"/>
          <w:highlight w:val="none"/>
        </w:rPr>
        <w:t>供“宁青驿站”免</w:t>
      </w:r>
      <w:r>
        <w:rPr>
          <w:rFonts w:ascii="Times New Roman" w:hAnsi="Times New Roman"/>
          <w:szCs w:val="32"/>
          <w:highlight w:val="none"/>
        </w:rPr>
        <w:t>费过渡性住宿，累计不少于8000天；开展</w:t>
      </w:r>
      <w:r>
        <w:rPr>
          <w:rFonts w:hint="eastAsia" w:ascii="Times New Roman" w:hAnsi="Times New Roman"/>
          <w:szCs w:val="32"/>
          <w:highlight w:val="none"/>
        </w:rPr>
        <w:t>各类</w:t>
      </w:r>
      <w:r>
        <w:rPr>
          <w:rFonts w:ascii="Times New Roman" w:hAnsi="Times New Roman"/>
          <w:szCs w:val="32"/>
          <w:highlight w:val="none"/>
        </w:rPr>
        <w:t>招聘</w:t>
      </w:r>
      <w:r>
        <w:rPr>
          <w:rFonts w:hint="eastAsia" w:ascii="Times New Roman" w:hAnsi="Times New Roman"/>
          <w:szCs w:val="32"/>
          <w:highlight w:val="none"/>
        </w:rPr>
        <w:t>活动100</w:t>
      </w:r>
      <w:r>
        <w:rPr>
          <w:rFonts w:ascii="Times New Roman" w:hAnsi="Times New Roman"/>
          <w:szCs w:val="32"/>
          <w:highlight w:val="none"/>
        </w:rPr>
        <w:t>场次，帮助1700名就业困难人员、登记失业青年实现就业</w:t>
      </w:r>
      <w:r>
        <w:rPr>
          <w:rFonts w:hint="eastAsia" w:ascii="Times New Roman" w:hAnsi="Times New Roman"/>
          <w:szCs w:val="32"/>
          <w:highlight w:val="none"/>
        </w:rPr>
        <w:t>，</w:t>
      </w:r>
      <w:r>
        <w:rPr>
          <w:rFonts w:ascii="Times New Roman" w:hAnsi="Times New Roman"/>
          <w:szCs w:val="32"/>
          <w:highlight w:val="none"/>
        </w:rPr>
        <w:t>支持不少于240名青年成功自主创业；开展职业技能培训不少于2200人次，组织超380名青年参加就业见习。（责任单位：团区委、区人社局）</w:t>
      </w:r>
    </w:p>
    <w:p w14:paraId="44F9BDB3">
      <w:pPr>
        <w:ind w:firstLine="640"/>
        <w:rPr>
          <w:rFonts w:ascii="Times New Roman" w:hAnsi="Times New Roman"/>
          <w:szCs w:val="32"/>
          <w:highlight w:val="none"/>
        </w:rPr>
      </w:pPr>
      <w:r>
        <w:rPr>
          <w:rFonts w:hint="eastAsia" w:ascii="Times New Roman" w:hAnsi="Times New Roman" w:eastAsia="方正楷体_GBK"/>
          <w:bCs/>
          <w:highlight w:val="none"/>
        </w:rPr>
        <w:t xml:space="preserve">4. </w:t>
      </w:r>
      <w:r>
        <w:rPr>
          <w:rFonts w:ascii="Times New Roman" w:hAnsi="Times New Roman" w:eastAsia="方正楷体_GBK"/>
          <w:bCs/>
          <w:highlight w:val="none"/>
        </w:rPr>
        <w:t>完善健康服务体系。</w:t>
      </w:r>
      <w:r>
        <w:rPr>
          <w:rFonts w:ascii="Times New Roman" w:hAnsi="Times New Roman"/>
          <w:szCs w:val="32"/>
          <w:highlight w:val="none"/>
        </w:rPr>
        <w:t>建设符合信创要求的区卫生健康数据中心，进一步提升基层医疗服务信息化水平；建设慢病筛防中心1个，增设精神科门诊1个；持续推进精神障碍社区康复站点规范化建设，康复对象社区服务需求得到100%回应。（责任单位：区卫健委、区民政局）</w:t>
      </w:r>
    </w:p>
    <w:p w14:paraId="2E3544A2">
      <w:pPr>
        <w:ind w:firstLine="640"/>
        <w:rPr>
          <w:rFonts w:ascii="Times New Roman" w:hAnsi="Times New Roman"/>
          <w:szCs w:val="32"/>
          <w:highlight w:val="none"/>
        </w:rPr>
      </w:pPr>
      <w:r>
        <w:rPr>
          <w:rFonts w:ascii="Times New Roman" w:hAnsi="Times New Roman" w:eastAsia="方正楷体_GBK"/>
          <w:szCs w:val="32"/>
          <w:highlight w:val="none"/>
        </w:rPr>
        <w:t>5.</w:t>
      </w:r>
      <w:r>
        <w:rPr>
          <w:rFonts w:ascii="Times New Roman" w:hAnsi="Times New Roman" w:eastAsia="方正楷体_GBK"/>
          <w:b/>
          <w:bCs/>
          <w:szCs w:val="32"/>
          <w:highlight w:val="none"/>
        </w:rPr>
        <w:t xml:space="preserve"> </w:t>
      </w:r>
      <w:r>
        <w:rPr>
          <w:rFonts w:ascii="Times New Roman" w:hAnsi="Times New Roman" w:eastAsia="方正楷体_GBK"/>
          <w:bCs/>
          <w:highlight w:val="none"/>
        </w:rPr>
        <w:t>关注青少年成长。</w:t>
      </w:r>
      <w:r>
        <w:rPr>
          <w:rFonts w:hint="eastAsia" w:ascii="Times New Roman" w:hAnsi="Times New Roman" w:cs="方正仿宋_GBK"/>
          <w:szCs w:val="32"/>
          <w:highlight w:val="none"/>
        </w:rPr>
        <w:t>加强理想信念教育，新增大中小学思想教育一体化建设联盟学校</w:t>
      </w:r>
      <w:r>
        <w:rPr>
          <w:rFonts w:ascii="Times New Roman" w:hAnsi="Times New Roman"/>
          <w:szCs w:val="32"/>
          <w:highlight w:val="none"/>
        </w:rPr>
        <w:t>5所</w:t>
      </w:r>
      <w:r>
        <w:rPr>
          <w:rFonts w:hint="eastAsia" w:ascii="Times New Roman" w:hAnsi="Times New Roman" w:cs="方正仿宋_GBK"/>
          <w:szCs w:val="32"/>
          <w:highlight w:val="none"/>
        </w:rPr>
        <w:t>；</w:t>
      </w:r>
      <w:r>
        <w:rPr>
          <w:rFonts w:ascii="Times New Roman" w:hAnsi="Times New Roman"/>
          <w:szCs w:val="32"/>
          <w:highlight w:val="none"/>
        </w:rPr>
        <w:t>开展心理健康教育活动不少于200场次</w:t>
      </w:r>
      <w:r>
        <w:rPr>
          <w:rFonts w:hint="eastAsia" w:ascii="Times New Roman" w:hAnsi="Times New Roman"/>
          <w:szCs w:val="32"/>
          <w:highlight w:val="none"/>
        </w:rPr>
        <w:t>，</w:t>
      </w:r>
      <w:r>
        <w:rPr>
          <w:rFonts w:ascii="Times New Roman" w:hAnsi="Times New Roman"/>
          <w:szCs w:val="32"/>
          <w:highlight w:val="none"/>
        </w:rPr>
        <w:t>组织陶老师工作站玄武分站服务师生、家长不少于200人次；创建4所全国校园足球特色学校，提升学生身体素质；为2000名适龄儿童开展口腔健康检查与窝沟封闭服务。（责任单位：区教育局、区卫健委）</w:t>
      </w:r>
    </w:p>
    <w:p w14:paraId="46AD7A6F">
      <w:pPr>
        <w:ind w:firstLine="640"/>
        <w:rPr>
          <w:rFonts w:ascii="Times New Roman" w:hAnsi="Times New Roman"/>
          <w:szCs w:val="32"/>
          <w:highlight w:val="none"/>
        </w:rPr>
      </w:pPr>
      <w:r>
        <w:rPr>
          <w:rFonts w:hint="eastAsia" w:ascii="Times New Roman" w:hAnsi="Times New Roman" w:eastAsia="方正楷体_GBK"/>
          <w:szCs w:val="32"/>
          <w:highlight w:val="none"/>
        </w:rPr>
        <w:t>6.</w:t>
      </w:r>
      <w:r>
        <w:rPr>
          <w:rFonts w:ascii="Times New Roman" w:hAnsi="Times New Roman" w:eastAsia="方正楷体_GBK"/>
          <w:szCs w:val="32"/>
          <w:highlight w:val="none"/>
        </w:rPr>
        <w:t xml:space="preserve"> </w:t>
      </w:r>
      <w:r>
        <w:rPr>
          <w:rFonts w:ascii="Times New Roman" w:hAnsi="Times New Roman" w:eastAsia="方正楷体_GBK"/>
          <w:bCs/>
          <w:highlight w:val="none"/>
        </w:rPr>
        <w:t>关爱特殊群体。</w:t>
      </w:r>
      <w:r>
        <w:rPr>
          <w:rFonts w:ascii="Times New Roman" w:hAnsi="Times New Roman"/>
          <w:szCs w:val="32"/>
          <w:highlight w:val="none"/>
        </w:rPr>
        <w:t>针对辖区困境青少年新</w:t>
      </w:r>
      <w:r>
        <w:rPr>
          <w:rFonts w:hint="eastAsia" w:ascii="Times New Roman" w:hAnsi="Times New Roman" w:cs="方正仿宋_GBK"/>
          <w:szCs w:val="32"/>
          <w:highlight w:val="none"/>
        </w:rPr>
        <w:t>建“梦想小屋”</w:t>
      </w:r>
      <w:r>
        <w:rPr>
          <w:rFonts w:ascii="Times New Roman" w:hAnsi="Times New Roman"/>
          <w:szCs w:val="32"/>
          <w:highlight w:val="none"/>
        </w:rPr>
        <w:t>不少于5间，面向新就业群体子女等举</w:t>
      </w:r>
      <w:r>
        <w:rPr>
          <w:rFonts w:hint="eastAsia" w:ascii="Times New Roman" w:hAnsi="Times New Roman" w:cs="方正仿宋_GBK"/>
          <w:szCs w:val="32"/>
          <w:highlight w:val="none"/>
        </w:rPr>
        <w:t>办“爱心暑托班”不少</w:t>
      </w:r>
      <w:r>
        <w:rPr>
          <w:rFonts w:ascii="Times New Roman" w:hAnsi="Times New Roman"/>
          <w:szCs w:val="32"/>
          <w:highlight w:val="none"/>
        </w:rPr>
        <w:t>于10个；建设不少于3个</w:t>
      </w:r>
      <w:r>
        <w:rPr>
          <w:rFonts w:hint="eastAsia" w:ascii="Times New Roman" w:hAnsi="Times New Roman" w:cs="方正仿宋_GBK"/>
          <w:szCs w:val="32"/>
          <w:highlight w:val="none"/>
        </w:rPr>
        <w:t>“微光汇聚工作室”，开</w:t>
      </w:r>
      <w:r>
        <w:rPr>
          <w:rFonts w:ascii="Times New Roman" w:hAnsi="Times New Roman"/>
          <w:szCs w:val="32"/>
          <w:highlight w:val="none"/>
        </w:rPr>
        <w:t>展关爱帮扶不少于200人次；改造提升综合性残疾人之家1个；为90名孤独症儿童提供基本康复服务。（责任单位：团区委、区妇联、区残联）</w:t>
      </w:r>
    </w:p>
    <w:p w14:paraId="01D4493E">
      <w:pPr>
        <w:ind w:firstLine="643"/>
        <w:rPr>
          <w:rFonts w:ascii="Times New Roman" w:hAnsi="Times New Roman"/>
          <w:szCs w:val="32"/>
          <w:highlight w:val="none"/>
        </w:rPr>
      </w:pPr>
      <w:r>
        <w:rPr>
          <w:rFonts w:ascii="Times New Roman" w:hAnsi="Times New Roman" w:eastAsia="方正楷体_GBK"/>
          <w:b/>
          <w:bCs/>
          <w:szCs w:val="32"/>
          <w:highlight w:val="none"/>
        </w:rPr>
        <w:t>7</w:t>
      </w:r>
      <w:r>
        <w:rPr>
          <w:rFonts w:ascii="Times New Roman" w:hAnsi="Times New Roman" w:eastAsia="方正楷体_GBK"/>
          <w:bCs/>
          <w:highlight w:val="none"/>
        </w:rPr>
        <w:t>.</w:t>
      </w:r>
      <w:r>
        <w:rPr>
          <w:rFonts w:hint="eastAsia" w:ascii="Times New Roman" w:hAnsi="Times New Roman" w:eastAsia="方正楷体_GBK"/>
          <w:bCs/>
          <w:highlight w:val="none"/>
        </w:rPr>
        <w:t xml:space="preserve"> </w:t>
      </w:r>
      <w:r>
        <w:rPr>
          <w:rFonts w:ascii="Times New Roman" w:hAnsi="Times New Roman" w:eastAsia="方正楷体_GBK"/>
          <w:bCs/>
          <w:highlight w:val="none"/>
        </w:rPr>
        <w:t>改善群众</w:t>
      </w:r>
      <w:r>
        <w:rPr>
          <w:rFonts w:hint="eastAsia" w:ascii="Times New Roman" w:hAnsi="Times New Roman" w:eastAsia="方正楷体_GBK"/>
          <w:bCs/>
          <w:highlight w:val="none"/>
        </w:rPr>
        <w:t>居住</w:t>
      </w:r>
      <w:r>
        <w:rPr>
          <w:rFonts w:ascii="Times New Roman" w:hAnsi="Times New Roman" w:eastAsia="方正楷体_GBK"/>
          <w:bCs/>
          <w:highlight w:val="none"/>
        </w:rPr>
        <w:t>环境。</w:t>
      </w:r>
      <w:r>
        <w:rPr>
          <w:rFonts w:ascii="Times New Roman" w:hAnsi="Times New Roman"/>
          <w:szCs w:val="32"/>
          <w:highlight w:val="none"/>
        </w:rPr>
        <w:t>完成上乘庵道路二期建设；对龙宫路等未纳入市政管养道路进行绿化，对街角路侧小微空间进行改造；开展13个老旧小区105栋房屋改造，建筑面积约28.6万平方米，涉及居民4175户；实施15座公厕适老适幼化改造。（责任单位：区建设局、区房产局、区城管局）</w:t>
      </w:r>
    </w:p>
    <w:p w14:paraId="621C2EFB">
      <w:pPr>
        <w:ind w:firstLine="640"/>
        <w:rPr>
          <w:rFonts w:ascii="Times New Roman" w:hAnsi="Times New Roman"/>
          <w:szCs w:val="32"/>
          <w:highlight w:val="none"/>
        </w:rPr>
      </w:pPr>
      <w:r>
        <w:rPr>
          <w:rFonts w:ascii="Times New Roman" w:hAnsi="Times New Roman" w:eastAsia="方正楷体_GBK"/>
          <w:bCs/>
          <w:highlight w:val="none"/>
        </w:rPr>
        <w:t>8.</w:t>
      </w:r>
      <w:r>
        <w:rPr>
          <w:rFonts w:hint="eastAsia" w:ascii="Times New Roman" w:hAnsi="Times New Roman" w:eastAsia="方正楷体_GBK"/>
          <w:bCs/>
          <w:highlight w:val="none"/>
        </w:rPr>
        <w:t xml:space="preserve"> </w:t>
      </w:r>
      <w:r>
        <w:rPr>
          <w:rFonts w:ascii="Times New Roman" w:hAnsi="Times New Roman" w:eastAsia="方正楷体_GBK"/>
          <w:bCs/>
          <w:highlight w:val="none"/>
        </w:rPr>
        <w:t>加强公共安全保障。</w:t>
      </w:r>
      <w:r>
        <w:rPr>
          <w:rFonts w:hint="eastAsia" w:ascii="Times New Roman" w:hAnsi="Times New Roman"/>
          <w:szCs w:val="32"/>
          <w:highlight w:val="none"/>
        </w:rPr>
        <w:t>持续开展电梯</w:t>
      </w:r>
      <w:r>
        <w:rPr>
          <w:rFonts w:hint="eastAsia" w:ascii="Times New Roman" w:hAnsi="Times New Roman" w:cs="方正仿宋_GBK"/>
          <w:szCs w:val="32"/>
          <w:highlight w:val="none"/>
        </w:rPr>
        <w:t>安全评估，有序推进老旧住宅电梯更新；</w:t>
      </w:r>
      <w:r>
        <w:rPr>
          <w:rFonts w:ascii="Times New Roman" w:hAnsi="Times New Roman"/>
          <w:szCs w:val="32"/>
          <w:highlight w:val="none"/>
        </w:rPr>
        <w:t>完成食品</w:t>
      </w:r>
      <w:r>
        <w:rPr>
          <w:rFonts w:hint="eastAsia" w:ascii="Times New Roman" w:hAnsi="Times New Roman"/>
          <w:szCs w:val="32"/>
          <w:highlight w:val="none"/>
        </w:rPr>
        <w:t>安全</w:t>
      </w:r>
      <w:r>
        <w:rPr>
          <w:rFonts w:ascii="Times New Roman" w:hAnsi="Times New Roman"/>
          <w:szCs w:val="32"/>
          <w:highlight w:val="none"/>
        </w:rPr>
        <w:t>监督抽检2400批次，开展农副产品快检13万批次，食用（地产）农产品监督抽检问题后处置率达100%</w:t>
      </w:r>
      <w:r>
        <w:rPr>
          <w:rFonts w:hint="eastAsia" w:ascii="Times New Roman" w:hAnsi="Times New Roman"/>
          <w:szCs w:val="32"/>
          <w:highlight w:val="none"/>
        </w:rPr>
        <w:t>；</w:t>
      </w:r>
      <w:r>
        <w:rPr>
          <w:rFonts w:ascii="Times New Roman" w:hAnsi="Times New Roman"/>
          <w:szCs w:val="32"/>
          <w:highlight w:val="none"/>
        </w:rPr>
        <w:t>新建住宅小区消防快速处置队20个，实现物业服务企业消防安全培训全覆盖。（责任单位：区市场监管局、</w:t>
      </w:r>
      <w:r>
        <w:rPr>
          <w:rFonts w:hint="eastAsia" w:ascii="Times New Roman" w:hAnsi="Times New Roman"/>
          <w:szCs w:val="32"/>
          <w:highlight w:val="none"/>
        </w:rPr>
        <w:t>区</w:t>
      </w:r>
      <w:r>
        <w:rPr>
          <w:rFonts w:ascii="Times New Roman" w:hAnsi="Times New Roman"/>
          <w:szCs w:val="32"/>
          <w:highlight w:val="none"/>
        </w:rPr>
        <w:t>消防救援局）</w:t>
      </w:r>
    </w:p>
    <w:p w14:paraId="15B620BB">
      <w:pPr>
        <w:ind w:firstLine="640"/>
        <w:rPr>
          <w:rFonts w:ascii="Times New Roman" w:hAnsi="Times New Roman"/>
          <w:szCs w:val="32"/>
          <w:highlight w:val="none"/>
        </w:rPr>
      </w:pPr>
      <w:r>
        <w:rPr>
          <w:rFonts w:ascii="Times New Roman" w:hAnsi="Times New Roman" w:eastAsia="方正楷体_GBK"/>
          <w:bCs/>
          <w:highlight w:val="none"/>
        </w:rPr>
        <w:t>9. 优化应急救护体系</w:t>
      </w:r>
      <w:r>
        <w:rPr>
          <w:rFonts w:ascii="Times New Roman" w:hAnsi="Times New Roman" w:eastAsia="方正楷体_GBK"/>
          <w:b/>
          <w:bCs/>
          <w:szCs w:val="32"/>
          <w:highlight w:val="none"/>
        </w:rPr>
        <w:t>。</w:t>
      </w:r>
      <w:r>
        <w:rPr>
          <w:rFonts w:ascii="Times New Roman" w:hAnsi="Times New Roman"/>
          <w:szCs w:val="32"/>
          <w:highlight w:val="none"/>
        </w:rPr>
        <w:t>在红山消防救援站建设119</w:t>
      </w:r>
      <w:r>
        <w:rPr>
          <w:rFonts w:hint="eastAsia" w:ascii="Times New Roman" w:hAnsi="Times New Roman"/>
          <w:szCs w:val="32"/>
          <w:highlight w:val="none"/>
        </w:rPr>
        <w:t>—</w:t>
      </w:r>
      <w:r>
        <w:rPr>
          <w:rFonts w:ascii="Times New Roman" w:hAnsi="Times New Roman"/>
          <w:szCs w:val="32"/>
          <w:highlight w:val="none"/>
        </w:rPr>
        <w:t>120联动急救站点，完成急救转运2000单</w:t>
      </w:r>
      <w:r>
        <w:rPr>
          <w:rFonts w:hint="eastAsia" w:ascii="Times New Roman" w:hAnsi="Times New Roman"/>
          <w:szCs w:val="32"/>
          <w:highlight w:val="none"/>
        </w:rPr>
        <w:t>；</w:t>
      </w:r>
      <w:r>
        <w:rPr>
          <w:rFonts w:ascii="Times New Roman" w:hAnsi="Times New Roman"/>
          <w:szCs w:val="32"/>
          <w:highlight w:val="none"/>
        </w:rPr>
        <w:t>开展救护员、CPR+AED持证使用等多层次培训，人数不少于2万人次</w:t>
      </w:r>
      <w:r>
        <w:rPr>
          <w:rFonts w:hint="eastAsia" w:ascii="Times New Roman" w:hAnsi="Times New Roman"/>
          <w:szCs w:val="32"/>
          <w:highlight w:val="none"/>
        </w:rPr>
        <w:t>；加强重点区域、重点场所AED（自动体外除颤器）配置，新增AED50台。</w:t>
      </w:r>
      <w:r>
        <w:rPr>
          <w:rFonts w:ascii="Times New Roman" w:hAnsi="Times New Roman"/>
          <w:szCs w:val="32"/>
          <w:highlight w:val="none"/>
        </w:rPr>
        <w:t>（责任单位：区卫健委、区红十字会）</w:t>
      </w:r>
    </w:p>
    <w:p w14:paraId="598F049D">
      <w:pPr>
        <w:ind w:firstLine="640"/>
        <w:rPr>
          <w:rFonts w:ascii="Times New Roman" w:hAnsi="Times New Roman"/>
          <w:szCs w:val="32"/>
          <w:highlight w:val="none"/>
        </w:rPr>
      </w:pPr>
      <w:r>
        <w:rPr>
          <w:rFonts w:ascii="Times New Roman" w:hAnsi="Times New Roman" w:eastAsia="方正楷体_GBK"/>
          <w:bCs/>
          <w:highlight w:val="none"/>
        </w:rPr>
        <w:t>10. 开展文化体育活动。</w:t>
      </w:r>
      <w:r>
        <w:rPr>
          <w:rFonts w:ascii="Times New Roman" w:hAnsi="Times New Roman"/>
          <w:szCs w:val="32"/>
          <w:highlight w:val="none"/>
        </w:rPr>
        <w:t>举办第30届</w:t>
      </w:r>
      <w:r>
        <w:rPr>
          <w:rFonts w:hint="eastAsia" w:ascii="Times New Roman" w:hAnsi="Times New Roman" w:cs="方正仿宋_GBK"/>
          <w:szCs w:val="32"/>
          <w:highlight w:val="none"/>
        </w:rPr>
        <w:t>“玄武之春”</w:t>
      </w:r>
      <w:r>
        <w:rPr>
          <w:rFonts w:ascii="Times New Roman" w:hAnsi="Times New Roman"/>
          <w:szCs w:val="32"/>
          <w:highlight w:val="none"/>
        </w:rPr>
        <w:t>、第23届长江路文化艺术行等群众文化活动，为全区居民提供公益文化演出40场；举办2026年玄武区城市运动定向赛，举办足球、乒乓球等单项区级联赛3</w:t>
      </w:r>
      <w:r>
        <w:rPr>
          <w:rFonts w:hint="eastAsia" w:ascii="Times New Roman" w:hAnsi="Times New Roman"/>
          <w:szCs w:val="32"/>
          <w:highlight w:val="none"/>
        </w:rPr>
        <w:t>—</w:t>
      </w:r>
      <w:r>
        <w:rPr>
          <w:rFonts w:ascii="Times New Roman" w:hAnsi="Times New Roman"/>
          <w:szCs w:val="32"/>
          <w:highlight w:val="none"/>
        </w:rPr>
        <w:t>5个；新改建全民健身工程点20个，开展各类全民健身活动200场次以上；组织国民体质监测2000人次。（责任单位：区文旅局）</w:t>
      </w:r>
    </w:p>
    <w:p w14:paraId="00466295">
      <w:pPr>
        <w:ind w:firstLine="640"/>
        <w:rPr>
          <w:rFonts w:ascii="Times New Roman" w:hAnsi="Times New Roman"/>
          <w:szCs w:val="32"/>
          <w:highlight w:val="none"/>
        </w:rPr>
      </w:pPr>
      <w:r>
        <w:rPr>
          <w:rFonts w:hint="eastAsia" w:ascii="Times New Roman" w:hAnsi="Times New Roman" w:eastAsia="方正楷体_GBK"/>
          <w:bCs/>
          <w:highlight w:val="none"/>
        </w:rPr>
        <w:t xml:space="preserve">11. </w:t>
      </w:r>
      <w:r>
        <w:rPr>
          <w:rFonts w:ascii="Times New Roman" w:hAnsi="Times New Roman" w:eastAsia="方正楷体_GBK"/>
          <w:bCs/>
          <w:highlight w:val="none"/>
        </w:rPr>
        <w:t>提供</w:t>
      </w:r>
      <w:r>
        <w:rPr>
          <w:rFonts w:hint="eastAsia" w:ascii="Times New Roman" w:hAnsi="Times New Roman" w:eastAsia="方正楷体_GBK"/>
          <w:bCs/>
          <w:highlight w:val="none"/>
        </w:rPr>
        <w:t>便捷为</w:t>
      </w:r>
      <w:r>
        <w:rPr>
          <w:rFonts w:ascii="Times New Roman" w:hAnsi="Times New Roman" w:eastAsia="方正楷体_GBK"/>
          <w:bCs/>
          <w:highlight w:val="none"/>
        </w:rPr>
        <w:t>民服务。</w:t>
      </w:r>
      <w:r>
        <w:rPr>
          <w:rFonts w:ascii="Times New Roman" w:hAnsi="Times New Roman"/>
          <w:szCs w:val="32"/>
          <w:highlight w:val="none"/>
        </w:rPr>
        <w:t>完成3处智慧洗车点提档升级，</w:t>
      </w:r>
      <w:r>
        <w:rPr>
          <w:rFonts w:hint="eastAsia" w:ascii="Times New Roman" w:hAnsi="Times New Roman"/>
          <w:szCs w:val="32"/>
          <w:highlight w:val="none"/>
        </w:rPr>
        <w:t>为居</w:t>
      </w:r>
      <w:r>
        <w:rPr>
          <w:rFonts w:ascii="Times New Roman" w:hAnsi="Times New Roman"/>
          <w:szCs w:val="32"/>
          <w:highlight w:val="none"/>
        </w:rPr>
        <w:t>民群众提供更加便捷的洗车服务；推广使用</w:t>
      </w:r>
      <w:r>
        <w:rPr>
          <w:rFonts w:hint="eastAsia" w:ascii="Times New Roman" w:hAnsi="Times New Roman" w:cs="方正仿宋_GBK"/>
          <w:szCs w:val="32"/>
          <w:highlight w:val="none"/>
        </w:rPr>
        <w:t>“宁装修”垃</w:t>
      </w:r>
      <w:r>
        <w:rPr>
          <w:rFonts w:ascii="Times New Roman" w:hAnsi="Times New Roman"/>
          <w:szCs w:val="32"/>
          <w:highlight w:val="none"/>
        </w:rPr>
        <w:t>圾清运微信小程序，更好满足居民清运装修垃圾需求。（责任单位：区城管局）</w:t>
      </w:r>
    </w:p>
    <w:p w14:paraId="4088CB9A">
      <w:pPr>
        <w:ind w:firstLine="640"/>
        <w:rPr>
          <w:rFonts w:ascii="Times New Roman" w:hAnsi="Times New Roman"/>
          <w:szCs w:val="32"/>
          <w:highlight w:val="none"/>
        </w:rPr>
      </w:pPr>
      <w:r>
        <w:rPr>
          <w:rFonts w:hint="eastAsia" w:ascii="Times New Roman" w:hAnsi="Times New Roman" w:eastAsia="方正楷体_GBK"/>
          <w:bCs/>
          <w:highlight w:val="none"/>
        </w:rPr>
        <w:t>12. 提升法律服务水平。</w:t>
      </w:r>
      <w:r>
        <w:rPr>
          <w:rFonts w:hint="eastAsia" w:ascii="Times New Roman" w:hAnsi="Times New Roman"/>
          <w:szCs w:val="32"/>
          <w:highlight w:val="none"/>
        </w:rPr>
        <w:t>深入开展法律援助工作站点覆盖提升工程，对残联、妇联等已建成法律援助工作站进行标准化升级，积极打通法律援助服务</w:t>
      </w:r>
      <w:r>
        <w:rPr>
          <w:rFonts w:hint="eastAsia" w:ascii="Times New Roman" w:hAnsi="Times New Roman" w:cs="方正仿宋_GBK"/>
          <w:szCs w:val="32"/>
          <w:highlight w:val="none"/>
        </w:rPr>
        <w:t>“最后一公里”。</w:t>
      </w:r>
      <w:r>
        <w:rPr>
          <w:rFonts w:ascii="Times New Roman" w:hAnsi="Times New Roman"/>
          <w:szCs w:val="32"/>
          <w:highlight w:val="none"/>
        </w:rPr>
        <w:t>（责任单位：区司法局</w:t>
      </w:r>
      <w:r>
        <w:rPr>
          <w:rFonts w:hint="eastAsia" w:ascii="Times New Roman" w:hAnsi="Times New Roman"/>
          <w:szCs w:val="32"/>
          <w:highlight w:val="none"/>
        </w:rPr>
        <w:t>）</w:t>
      </w:r>
    </w:p>
    <w:p w14:paraId="5C02E2EA">
      <w:pPr>
        <w:ind w:firstLine="640"/>
        <w:rPr>
          <w:rFonts w:ascii="Times New Roman" w:hAnsi="Times New Roman" w:cs="方正仿宋_GBK"/>
          <w:szCs w:val="32"/>
          <w:highlight w:val="none"/>
          <w:shd w:val="clear" w:color="auto" w:fill="FFFFFF"/>
        </w:rPr>
      </w:pPr>
      <w:r>
        <w:rPr>
          <w:rFonts w:hint="eastAsia" w:ascii="Times New Roman" w:hAnsi="Times New Roman" w:cs="方正仿宋_GBK"/>
          <w:szCs w:val="32"/>
          <w:highlight w:val="none"/>
          <w:shd w:val="clear" w:color="auto" w:fill="FFFFFF"/>
        </w:rPr>
        <w:br w:type="page"/>
      </w:r>
    </w:p>
    <w:p w14:paraId="622DACAB">
      <w:pPr>
        <w:ind w:firstLine="0" w:firstLineChars="0"/>
        <w:rPr>
          <w:rFonts w:ascii="Times New Roman" w:hAnsi="Times New Roman" w:eastAsia="方正黑体_GBK"/>
          <w:bCs/>
          <w:highlight w:val="none"/>
        </w:rPr>
      </w:pPr>
      <w:r>
        <w:rPr>
          <w:rFonts w:ascii="Times New Roman" w:hAnsi="Times New Roman" w:eastAsia="方正黑体_GBK"/>
          <w:bCs/>
          <w:highlight w:val="none"/>
        </w:rPr>
        <w:t>附件</w:t>
      </w:r>
      <w:r>
        <w:rPr>
          <w:rFonts w:hint="eastAsia" w:ascii="Times New Roman" w:hAnsi="Times New Roman" w:eastAsia="方正黑体_GBK"/>
          <w:bCs/>
          <w:highlight w:val="none"/>
        </w:rPr>
        <w:t>3</w:t>
      </w:r>
    </w:p>
    <w:p w14:paraId="0D543FAA">
      <w:pPr>
        <w:pStyle w:val="34"/>
        <w:overflowPunct w:val="0"/>
        <w:spacing w:line="440" w:lineRule="exact"/>
        <w:ind w:firstLine="880"/>
        <w:jc w:val="both"/>
        <w:rPr>
          <w:bCs/>
          <w:highlight w:val="none"/>
        </w:rPr>
      </w:pPr>
    </w:p>
    <w:p w14:paraId="54F4BFA4">
      <w:pPr>
        <w:pStyle w:val="27"/>
        <w:rPr>
          <w:rFonts w:ascii="Times New Roman" w:hAnsi="Times New Roman"/>
          <w:highlight w:val="none"/>
        </w:rPr>
      </w:pPr>
      <w:r>
        <w:rPr>
          <w:rFonts w:hint="eastAsia" w:ascii="Times New Roman" w:hAnsi="Times New Roman"/>
          <w:highlight w:val="none"/>
        </w:rPr>
        <w:t>名词解释</w:t>
      </w:r>
    </w:p>
    <w:p w14:paraId="767B970B">
      <w:pPr>
        <w:pStyle w:val="34"/>
        <w:overflowPunct w:val="0"/>
        <w:spacing w:line="590" w:lineRule="exact"/>
        <w:ind w:firstLine="880"/>
        <w:jc w:val="both"/>
        <w:rPr>
          <w:bCs/>
          <w:highlight w:val="none"/>
        </w:rPr>
      </w:pPr>
    </w:p>
    <w:p w14:paraId="7E0ABA1C">
      <w:pPr>
        <w:ind w:firstLine="640"/>
        <w:rPr>
          <w:rFonts w:ascii="Times New Roman" w:hAnsi="Times New Roman"/>
          <w:highlight w:val="none"/>
        </w:rPr>
      </w:pPr>
      <w:r>
        <w:rPr>
          <w:rFonts w:ascii="Times New Roman" w:hAnsi="Times New Roman"/>
          <w:highlight w:val="none"/>
        </w:rPr>
        <w:t>1</w:t>
      </w:r>
      <w:r>
        <w:rPr>
          <w:rFonts w:hint="eastAsia" w:ascii="Times New Roman" w:hAnsi="Times New Roman"/>
          <w:highlight w:val="none"/>
        </w:rPr>
        <w:t>.</w:t>
      </w:r>
      <w:r>
        <w:rPr>
          <w:rFonts w:hint="eastAsia" w:ascii="Times New Roman" w:hAnsi="Times New Roman"/>
          <w:kern w:val="0"/>
          <w:szCs w:val="32"/>
          <w:highlight w:val="none"/>
        </w:rPr>
        <w:t>“三大关键仗”</w:t>
      </w:r>
      <w:r>
        <w:rPr>
          <w:rFonts w:ascii="Times New Roman" w:hAnsi="Times New Roman"/>
          <w:highlight w:val="none"/>
        </w:rPr>
        <w:t>：</w:t>
      </w:r>
      <w:r>
        <w:rPr>
          <w:rFonts w:hint="eastAsia" w:ascii="Times New Roman" w:hAnsi="Times New Roman"/>
          <w:highlight w:val="none"/>
        </w:rPr>
        <w:t>2024年12月28日中共南京市委十五届十次全会提出，</w:t>
      </w:r>
      <w:r>
        <w:rPr>
          <w:rFonts w:ascii="Times New Roman" w:hAnsi="Times New Roman"/>
          <w:highlight w:val="none"/>
        </w:rPr>
        <w:t>是</w:t>
      </w:r>
      <w:r>
        <w:rPr>
          <w:rFonts w:hint="eastAsia" w:ascii="Times New Roman" w:hAnsi="Times New Roman"/>
          <w:highlight w:val="none"/>
        </w:rPr>
        <w:t>指经济强基提振</w:t>
      </w:r>
      <w:r>
        <w:rPr>
          <w:rFonts w:hint="eastAsia" w:ascii="Times New Roman" w:hAnsi="Times New Roman"/>
          <w:kern w:val="0"/>
          <w:szCs w:val="32"/>
          <w:highlight w:val="none"/>
        </w:rPr>
        <w:t>关键仗</w:t>
      </w:r>
      <w:r>
        <w:rPr>
          <w:rFonts w:hint="eastAsia" w:ascii="Times New Roman" w:hAnsi="Times New Roman"/>
          <w:highlight w:val="none"/>
        </w:rPr>
        <w:t>、产业科技创新</w:t>
      </w:r>
      <w:r>
        <w:rPr>
          <w:rFonts w:hint="eastAsia" w:ascii="Times New Roman" w:hAnsi="Times New Roman"/>
          <w:kern w:val="0"/>
          <w:szCs w:val="32"/>
          <w:highlight w:val="none"/>
        </w:rPr>
        <w:t>关键仗</w:t>
      </w:r>
      <w:r>
        <w:rPr>
          <w:rFonts w:hint="eastAsia" w:ascii="Times New Roman" w:hAnsi="Times New Roman"/>
          <w:highlight w:val="none"/>
        </w:rPr>
        <w:t>、改革集成突破</w:t>
      </w:r>
      <w:r>
        <w:rPr>
          <w:rFonts w:hint="eastAsia" w:ascii="Times New Roman" w:hAnsi="Times New Roman"/>
          <w:kern w:val="0"/>
          <w:szCs w:val="32"/>
          <w:highlight w:val="none"/>
        </w:rPr>
        <w:t>关键仗</w:t>
      </w:r>
      <w:r>
        <w:rPr>
          <w:rFonts w:hint="eastAsia" w:ascii="Times New Roman" w:hAnsi="Times New Roman"/>
          <w:highlight w:val="none"/>
        </w:rPr>
        <w:t>。</w:t>
      </w:r>
    </w:p>
    <w:p w14:paraId="725078C8">
      <w:pPr>
        <w:ind w:firstLine="640"/>
        <w:rPr>
          <w:rFonts w:ascii="Times New Roman" w:hAnsi="Times New Roman"/>
          <w:highlight w:val="none"/>
        </w:rPr>
      </w:pPr>
      <w:r>
        <w:rPr>
          <w:rFonts w:ascii="Times New Roman" w:hAnsi="Times New Roman"/>
          <w:highlight w:val="none"/>
        </w:rPr>
        <w:t>2</w:t>
      </w:r>
      <w:r>
        <w:rPr>
          <w:rFonts w:hint="eastAsia" w:ascii="Times New Roman" w:hAnsi="Times New Roman"/>
          <w:highlight w:val="none"/>
        </w:rPr>
        <w:t>.</w:t>
      </w:r>
      <w:r>
        <w:rPr>
          <w:rFonts w:hint="eastAsia" w:ascii="Times New Roman" w:hAnsi="Times New Roman"/>
          <w:kern w:val="0"/>
          <w:szCs w:val="32"/>
          <w:highlight w:val="none"/>
        </w:rPr>
        <w:t>“三大攻坚仗”</w:t>
      </w:r>
      <w:r>
        <w:rPr>
          <w:rFonts w:ascii="Times New Roman" w:hAnsi="Times New Roman"/>
          <w:highlight w:val="none"/>
        </w:rPr>
        <w:t>：</w:t>
      </w:r>
      <w:r>
        <w:rPr>
          <w:rFonts w:hint="eastAsia" w:ascii="Times New Roman" w:hAnsi="Times New Roman"/>
          <w:highlight w:val="none"/>
        </w:rPr>
        <w:t>2024年12月28日中共南京市委十五届十次全会提出，是指开放能级提升</w:t>
      </w:r>
      <w:r>
        <w:rPr>
          <w:rFonts w:hint="eastAsia" w:ascii="Times New Roman" w:hAnsi="Times New Roman"/>
          <w:kern w:val="0"/>
          <w:szCs w:val="32"/>
          <w:highlight w:val="none"/>
        </w:rPr>
        <w:t>攻坚仗</w:t>
      </w:r>
      <w:r>
        <w:rPr>
          <w:rFonts w:hint="eastAsia" w:ascii="Times New Roman" w:hAnsi="Times New Roman"/>
          <w:highlight w:val="none"/>
        </w:rPr>
        <w:t>、城乡融合发展</w:t>
      </w:r>
      <w:r>
        <w:rPr>
          <w:rFonts w:hint="eastAsia" w:ascii="Times New Roman" w:hAnsi="Times New Roman"/>
          <w:kern w:val="0"/>
          <w:szCs w:val="32"/>
          <w:highlight w:val="none"/>
        </w:rPr>
        <w:t>攻坚仗</w:t>
      </w:r>
      <w:r>
        <w:rPr>
          <w:rFonts w:hint="eastAsia" w:ascii="Times New Roman" w:hAnsi="Times New Roman"/>
          <w:highlight w:val="none"/>
        </w:rPr>
        <w:t>、民生和社会治理</w:t>
      </w:r>
      <w:r>
        <w:rPr>
          <w:rFonts w:hint="eastAsia" w:ascii="Times New Roman" w:hAnsi="Times New Roman"/>
          <w:kern w:val="0"/>
          <w:szCs w:val="32"/>
          <w:highlight w:val="none"/>
        </w:rPr>
        <w:t>攻坚仗</w:t>
      </w:r>
      <w:r>
        <w:rPr>
          <w:rFonts w:hint="eastAsia" w:ascii="Times New Roman" w:hAnsi="Times New Roman"/>
          <w:highlight w:val="none"/>
        </w:rPr>
        <w:t>。</w:t>
      </w:r>
    </w:p>
    <w:p w14:paraId="6A793539">
      <w:pPr>
        <w:ind w:firstLine="640"/>
        <w:rPr>
          <w:rFonts w:ascii="Times New Roman" w:hAnsi="Times New Roman"/>
          <w:highlight w:val="none"/>
        </w:rPr>
      </w:pPr>
      <w:r>
        <w:rPr>
          <w:rFonts w:ascii="Times New Roman" w:hAnsi="Times New Roman"/>
          <w:highlight w:val="none"/>
        </w:rPr>
        <w:t>3</w:t>
      </w:r>
      <w:r>
        <w:rPr>
          <w:rFonts w:hint="eastAsia" w:ascii="Times New Roman" w:hAnsi="Times New Roman"/>
          <w:highlight w:val="none"/>
        </w:rPr>
        <w:t>.</w:t>
      </w:r>
      <w:r>
        <w:rPr>
          <w:rFonts w:hint="eastAsia" w:ascii="Times New Roman" w:hAnsi="Times New Roman" w:cs="方正仿宋_GBK"/>
          <w:szCs w:val="32"/>
          <w:highlight w:val="none"/>
        </w:rPr>
        <w:t>“两重”</w:t>
      </w:r>
      <w:r>
        <w:rPr>
          <w:rFonts w:ascii="Times New Roman" w:hAnsi="Times New Roman"/>
          <w:highlight w:val="none"/>
        </w:rPr>
        <w:t>：</w:t>
      </w:r>
      <w:r>
        <w:rPr>
          <w:rFonts w:hint="eastAsia" w:ascii="Times New Roman" w:hAnsi="Times New Roman"/>
          <w:highlight w:val="none"/>
        </w:rPr>
        <w:t>是指国家重大战略实施、重点领域安全能力建设。</w:t>
      </w:r>
    </w:p>
    <w:p w14:paraId="75FEB178">
      <w:pPr>
        <w:ind w:firstLine="640"/>
        <w:rPr>
          <w:rFonts w:ascii="Times New Roman" w:hAnsi="Times New Roman"/>
          <w:highlight w:val="none"/>
        </w:rPr>
      </w:pPr>
      <w:r>
        <w:rPr>
          <w:rFonts w:hint="eastAsia" w:ascii="Times New Roman" w:hAnsi="Times New Roman"/>
          <w:highlight w:val="none"/>
        </w:rPr>
        <w:t>4.</w:t>
      </w:r>
      <w:r>
        <w:rPr>
          <w:rFonts w:hint="eastAsia" w:ascii="Times New Roman" w:hAnsi="Times New Roman" w:cs="方正仿宋_GBK"/>
          <w:szCs w:val="32"/>
          <w:highlight w:val="none"/>
        </w:rPr>
        <w:t>“两新”</w:t>
      </w:r>
      <w:r>
        <w:rPr>
          <w:rFonts w:hint="eastAsia" w:ascii="Times New Roman" w:hAnsi="Times New Roman"/>
          <w:highlight w:val="none"/>
        </w:rPr>
        <w:t>：</w:t>
      </w:r>
      <w:r>
        <w:rPr>
          <w:rFonts w:hint="eastAsia" w:ascii="Times New Roman" w:hAnsi="Times New Roman" w:cs="方正仿宋_GBK"/>
          <w:highlight w:val="none"/>
        </w:rPr>
        <w:t>是指大规模设备更新、消费品以旧换新</w:t>
      </w:r>
      <w:r>
        <w:rPr>
          <w:rFonts w:hint="eastAsia" w:ascii="Times New Roman" w:hAnsi="Times New Roman"/>
          <w:highlight w:val="none"/>
        </w:rPr>
        <w:t>。</w:t>
      </w:r>
    </w:p>
    <w:p w14:paraId="6361BEF8">
      <w:pPr>
        <w:ind w:firstLine="640"/>
        <w:rPr>
          <w:rFonts w:ascii="Times New Roman" w:hAnsi="Times New Roman"/>
          <w:highlight w:val="none"/>
        </w:rPr>
      </w:pPr>
      <w:r>
        <w:rPr>
          <w:rFonts w:hint="eastAsia" w:ascii="Times New Roman" w:hAnsi="Times New Roman"/>
          <w:highlight w:val="none"/>
        </w:rPr>
        <w:t>5.</w:t>
      </w:r>
      <w:r>
        <w:rPr>
          <w:rFonts w:ascii="Times New Roman" w:hAnsi="Times New Roman"/>
          <w:highlight w:val="none"/>
        </w:rPr>
        <w:t xml:space="preserve"> </w:t>
      </w:r>
      <w:r>
        <w:rPr>
          <w:rFonts w:ascii="Times New Roman" w:hAnsi="Times New Roman"/>
          <w:szCs w:val="32"/>
          <w:highlight w:val="none"/>
        </w:rPr>
        <w:t>可信数据空间</w:t>
      </w:r>
      <w:r>
        <w:rPr>
          <w:rFonts w:hint="eastAsia" w:ascii="Times New Roman" w:hAnsi="Times New Roman"/>
          <w:szCs w:val="32"/>
          <w:highlight w:val="none"/>
        </w:rPr>
        <w:t>“</w:t>
      </w:r>
      <w:r>
        <w:rPr>
          <w:rFonts w:ascii="Times New Roman" w:hAnsi="Times New Roman"/>
          <w:snapToGrid w:val="0"/>
          <w:kern w:val="0"/>
          <w:szCs w:val="32"/>
          <w:highlight w:val="none"/>
        </w:rPr>
        <w:t>123</w:t>
      </w:r>
      <w:r>
        <w:rPr>
          <w:rFonts w:hint="eastAsia" w:ascii="Times New Roman" w:hAnsi="Times New Roman"/>
          <w:snapToGrid w:val="0"/>
          <w:kern w:val="0"/>
          <w:szCs w:val="32"/>
          <w:highlight w:val="none"/>
        </w:rPr>
        <w:t>+</w:t>
      </w:r>
      <w:r>
        <w:rPr>
          <w:rFonts w:hint="eastAsia" w:ascii="Times New Roman" w:hAnsi="Times New Roman"/>
          <w:szCs w:val="32"/>
          <w:highlight w:val="none"/>
        </w:rPr>
        <w:t>”</w:t>
      </w:r>
      <w:r>
        <w:rPr>
          <w:rFonts w:ascii="Times New Roman" w:hAnsi="Times New Roman"/>
          <w:szCs w:val="32"/>
          <w:highlight w:val="none"/>
        </w:rPr>
        <w:t>项目库</w:t>
      </w:r>
      <w:r>
        <w:rPr>
          <w:rFonts w:hint="eastAsia" w:ascii="Times New Roman" w:hAnsi="Times New Roman"/>
          <w:highlight w:val="none"/>
        </w:rPr>
        <w:t>：是指江苏省数据局围绕“到2028年，重点打造10个以上全国标杆、20个以上省内样板、30个以上区域特色数据空间”的目标任务，评选的省内首批可信数据空间示范项目。</w:t>
      </w:r>
    </w:p>
    <w:p w14:paraId="1E1C86AB">
      <w:pPr>
        <w:ind w:firstLine="640"/>
        <w:rPr>
          <w:rFonts w:ascii="Times New Roman" w:hAnsi="Times New Roman"/>
          <w:highlight w:val="none"/>
        </w:rPr>
      </w:pPr>
      <w:r>
        <w:rPr>
          <w:rFonts w:hint="eastAsia" w:ascii="Times New Roman" w:hAnsi="Times New Roman"/>
          <w:highlight w:val="none"/>
        </w:rPr>
        <w:t>6.</w:t>
      </w:r>
      <w:r>
        <w:rPr>
          <w:rFonts w:hint="eastAsia" w:ascii="Times New Roman" w:hAnsi="Times New Roman" w:cstheme="minorBidi"/>
          <w:szCs w:val="32"/>
          <w:highlight w:val="none"/>
        </w:rPr>
        <w:t>“模速空间”</w:t>
      </w:r>
      <w:r>
        <w:rPr>
          <w:rFonts w:ascii="Times New Roman" w:hAnsi="Times New Roman"/>
          <w:highlight w:val="none"/>
        </w:rPr>
        <w:t>：是指</w:t>
      </w:r>
      <w:r>
        <w:rPr>
          <w:rFonts w:hint="eastAsia" w:ascii="Times New Roman" w:hAnsi="Times New Roman"/>
          <w:highlight w:val="none"/>
        </w:rPr>
        <w:t>上海市打造的人工智能大模型专业孵化和加速平台，位于上海市徐汇区，载体面积达6万平方米，已汇聚250余家大模型企业、100余家投资机构</w:t>
      </w:r>
      <w:r>
        <w:rPr>
          <w:rFonts w:ascii="Times New Roman" w:hAnsi="Times New Roman"/>
          <w:highlight w:val="none"/>
        </w:rPr>
        <w:t>。</w:t>
      </w:r>
    </w:p>
    <w:p w14:paraId="3C303FF5">
      <w:pPr>
        <w:ind w:firstLine="640"/>
        <w:rPr>
          <w:rFonts w:ascii="Times New Roman" w:hAnsi="Times New Roman"/>
          <w:highlight w:val="none"/>
        </w:rPr>
      </w:pPr>
      <w:r>
        <w:rPr>
          <w:rFonts w:hint="eastAsia" w:ascii="Times New Roman" w:hAnsi="Times New Roman"/>
          <w:highlight w:val="none"/>
        </w:rPr>
        <w:t xml:space="preserve">7. </w:t>
      </w:r>
      <w:r>
        <w:rPr>
          <w:rFonts w:ascii="Times New Roman" w:hAnsi="Times New Roman"/>
          <w:snapToGrid w:val="0"/>
          <w:szCs w:val="32"/>
          <w:highlight w:val="none"/>
        </w:rPr>
        <w:t>C40城市气候领导联盟</w:t>
      </w:r>
      <w:r>
        <w:rPr>
          <w:rFonts w:ascii="Times New Roman" w:hAnsi="Times New Roman"/>
          <w:highlight w:val="none"/>
        </w:rPr>
        <w:t>：是</w:t>
      </w:r>
      <w:r>
        <w:rPr>
          <w:rFonts w:hint="eastAsia" w:ascii="Times New Roman" w:hAnsi="Times New Roman"/>
          <w:highlight w:val="none"/>
        </w:rPr>
        <w:t>一家连接全球90多个大城市的公益组织，旨在推动全球城市减少温室气体排放，降低气候变化风险，同时改善城市居民健康和福祉，增加经济发展机会</w:t>
      </w:r>
      <w:r>
        <w:rPr>
          <w:rFonts w:ascii="Times New Roman" w:hAnsi="Times New Roman"/>
          <w:highlight w:val="none"/>
        </w:rPr>
        <w:t>。</w:t>
      </w:r>
    </w:p>
    <w:p w14:paraId="43F5997B">
      <w:pPr>
        <w:ind w:firstLine="640"/>
        <w:rPr>
          <w:rFonts w:ascii="Times New Roman" w:hAnsi="Times New Roman"/>
          <w:highlight w:val="none"/>
        </w:rPr>
      </w:pPr>
      <w:r>
        <w:rPr>
          <w:rFonts w:hint="eastAsia" w:ascii="Times New Roman" w:hAnsi="Times New Roman"/>
          <w:highlight w:val="none"/>
        </w:rPr>
        <w:t>8.</w:t>
      </w:r>
      <w:r>
        <w:rPr>
          <w:rFonts w:hint="eastAsia" w:ascii="Times New Roman" w:hAnsi="Times New Roman"/>
          <w:snapToGrid w:val="0"/>
          <w:szCs w:val="32"/>
          <w:highlight w:val="none"/>
        </w:rPr>
        <w:t>“四链”</w:t>
      </w:r>
      <w:r>
        <w:rPr>
          <w:rFonts w:ascii="Times New Roman" w:hAnsi="Times New Roman"/>
          <w:highlight w:val="none"/>
        </w:rPr>
        <w:t>：是</w:t>
      </w:r>
      <w:r>
        <w:rPr>
          <w:rFonts w:hint="eastAsia" w:ascii="Times New Roman" w:hAnsi="Times New Roman"/>
          <w:highlight w:val="none"/>
        </w:rPr>
        <w:t>指产业链、创新链、资金链、人才链</w:t>
      </w:r>
      <w:r>
        <w:rPr>
          <w:rFonts w:ascii="Times New Roman" w:hAnsi="Times New Roman"/>
          <w:highlight w:val="none"/>
        </w:rPr>
        <w:t>。</w:t>
      </w:r>
    </w:p>
    <w:p w14:paraId="4EC0C360">
      <w:pPr>
        <w:ind w:firstLine="640"/>
        <w:rPr>
          <w:rFonts w:ascii="Times New Roman" w:hAnsi="Times New Roman"/>
          <w:highlight w:val="none"/>
        </w:rPr>
      </w:pPr>
      <w:r>
        <w:rPr>
          <w:rFonts w:hint="eastAsia" w:ascii="Times New Roman" w:hAnsi="Times New Roman"/>
          <w:highlight w:val="none"/>
        </w:rPr>
        <w:t>9.</w:t>
      </w:r>
      <w:r>
        <w:rPr>
          <w:rFonts w:hint="eastAsia" w:ascii="Times New Roman" w:hAnsi="Times New Roman"/>
          <w:szCs w:val="32"/>
          <w:highlight w:val="none"/>
        </w:rPr>
        <w:t>“一路四环”</w:t>
      </w:r>
      <w:r>
        <w:rPr>
          <w:rFonts w:ascii="Times New Roman" w:hAnsi="Times New Roman"/>
          <w:highlight w:val="none"/>
        </w:rPr>
        <w:t>：</w:t>
      </w:r>
      <w:r>
        <w:rPr>
          <w:rFonts w:hint="eastAsia" w:ascii="Times New Roman" w:hAnsi="Times New Roman"/>
          <w:highlight w:val="none"/>
        </w:rPr>
        <w:t>是指长江路片区、环紫金山片区、环玄武湖片区、环红山森林动物园片区、环东南大学片区。</w:t>
      </w:r>
    </w:p>
    <w:p w14:paraId="3F73542A">
      <w:pPr>
        <w:ind w:firstLine="640"/>
        <w:rPr>
          <w:rFonts w:ascii="Times New Roman" w:hAnsi="Times New Roman" w:cs="方正仿宋_GBK"/>
          <w:highlight w:val="none"/>
        </w:rPr>
      </w:pPr>
      <w:r>
        <w:rPr>
          <w:rFonts w:hint="eastAsia" w:ascii="Times New Roman" w:hAnsi="Times New Roman"/>
          <w:highlight w:val="none"/>
        </w:rPr>
        <w:t>10.“玄武·模数师学院”</w:t>
      </w:r>
      <w:r>
        <w:rPr>
          <w:rFonts w:hint="eastAsia" w:ascii="Times New Roman" w:hAnsi="Times New Roman" w:cs="方正仿宋_GBK"/>
          <w:highlight w:val="none"/>
        </w:rPr>
        <w:t>：是玄武区打造的AI青年人才实训基地，旨在顺应人工智能发展趋势，聚焦AI大模型与海量数据深度融合，通过</w:t>
      </w:r>
      <w:r>
        <w:rPr>
          <w:rFonts w:hint="eastAsia" w:ascii="Times New Roman" w:hAnsi="Times New Roman"/>
          <w:highlight w:val="none"/>
        </w:rPr>
        <w:t>针对性强化训练，为千行百业培养输送懂数据、会建模、善应用、能创新</w:t>
      </w:r>
      <w:r>
        <w:rPr>
          <w:rFonts w:hint="eastAsia" w:ascii="Times New Roman" w:hAnsi="Times New Roman" w:cs="方正仿宋_GBK"/>
          <w:highlight w:val="none"/>
        </w:rPr>
        <w:t>的高阶人才，打通高校人才培养与企业数字化转型需求之间的通道，推动“以产育才、以才促产”。</w:t>
      </w:r>
    </w:p>
    <w:p w14:paraId="43D8AD6B">
      <w:pPr>
        <w:ind w:firstLine="640"/>
        <w:rPr>
          <w:rFonts w:ascii="Times New Roman" w:hAnsi="Times New Roman"/>
          <w:highlight w:val="none"/>
        </w:rPr>
      </w:pPr>
      <w:r>
        <w:rPr>
          <w:rFonts w:ascii="Times New Roman" w:hAnsi="Times New Roman"/>
          <w:highlight w:val="none"/>
        </w:rPr>
        <w:t>1</w:t>
      </w:r>
      <w:r>
        <w:rPr>
          <w:rFonts w:hint="eastAsia" w:ascii="Times New Roman" w:hAnsi="Times New Roman"/>
          <w:highlight w:val="none"/>
        </w:rPr>
        <w:t>1.</w:t>
      </w:r>
      <w:r>
        <w:rPr>
          <w:rFonts w:ascii="Times New Roman" w:hAnsi="Times New Roman"/>
          <w:highlight w:val="none"/>
        </w:rPr>
        <w:t xml:space="preserve"> </w:t>
      </w:r>
      <w:r>
        <w:rPr>
          <w:rFonts w:hint="eastAsia" w:ascii="Times New Roman" w:hAnsi="Times New Roman"/>
          <w:highlight w:val="none"/>
        </w:rPr>
        <w:t>OPC社区</w:t>
      </w:r>
      <w:r>
        <w:rPr>
          <w:rFonts w:ascii="Times New Roman" w:hAnsi="Times New Roman"/>
          <w:highlight w:val="none"/>
        </w:rPr>
        <w:t>：</w:t>
      </w:r>
      <w:r>
        <w:rPr>
          <w:rFonts w:hint="eastAsia" w:ascii="Times New Roman" w:hAnsi="Times New Roman"/>
          <w:highlight w:val="none"/>
        </w:rPr>
        <w:t>是指专门面向“一人公司”（One Person Company，简称OPC）创业者打造的孵化与赋能平台。这里的“一人公司”并非传统意义上仅注册为单人企业的法律实体，而是特指在人工智能技术全面赋能下，由个人独立完成从创意、研发、生产到市场推广、用户服务等全链路商业闭环的新型创业形态</w:t>
      </w:r>
      <w:r>
        <w:rPr>
          <w:rFonts w:ascii="Times New Roman" w:hAnsi="Times New Roman"/>
          <w:highlight w:val="none"/>
        </w:rPr>
        <w:t>。</w:t>
      </w:r>
    </w:p>
    <w:p w14:paraId="6FFCC477">
      <w:pPr>
        <w:ind w:firstLine="640"/>
        <w:rPr>
          <w:rFonts w:ascii="Times New Roman" w:hAnsi="Times New Roman"/>
          <w:highlight w:val="none"/>
        </w:rPr>
      </w:pPr>
      <w:r>
        <w:rPr>
          <w:rFonts w:ascii="Times New Roman" w:hAnsi="Times New Roman"/>
          <w:highlight w:val="none"/>
        </w:rPr>
        <w:t>1</w:t>
      </w:r>
      <w:r>
        <w:rPr>
          <w:rFonts w:hint="eastAsia" w:ascii="Times New Roman" w:hAnsi="Times New Roman"/>
          <w:highlight w:val="none"/>
        </w:rPr>
        <w:t>2. 社会救助</w:t>
      </w:r>
      <w:r>
        <w:rPr>
          <w:rFonts w:hint="eastAsia" w:ascii="Times New Roman" w:hAnsi="Times New Roman"/>
          <w:szCs w:val="32"/>
          <w:highlight w:val="none"/>
        </w:rPr>
        <w:t>“三大工程”</w:t>
      </w:r>
      <w:r>
        <w:rPr>
          <w:rFonts w:ascii="Times New Roman" w:hAnsi="Times New Roman"/>
          <w:highlight w:val="none"/>
        </w:rPr>
        <w:t>：是</w:t>
      </w:r>
      <w:r>
        <w:rPr>
          <w:rFonts w:hint="eastAsia" w:ascii="Times New Roman" w:hAnsi="Times New Roman"/>
          <w:highlight w:val="none"/>
        </w:rPr>
        <w:t>指玄武区对低保困难群众实</w:t>
      </w:r>
      <w:r>
        <w:rPr>
          <w:rFonts w:hint="eastAsia" w:ascii="Times New Roman" w:hAnsi="Times New Roman"/>
          <w:spacing w:val="-6"/>
          <w:highlight w:val="none"/>
        </w:rPr>
        <w:t>施的项目化救助，即民生暖心工程、免费血透工程和生命健康工程</w:t>
      </w:r>
      <w:r>
        <w:rPr>
          <w:rFonts w:ascii="Times New Roman" w:hAnsi="Times New Roman"/>
          <w:spacing w:val="-6"/>
          <w:highlight w:val="none"/>
        </w:rPr>
        <w:t>。</w:t>
      </w:r>
    </w:p>
    <w:p w14:paraId="393E5DC9">
      <w:pPr>
        <w:ind w:firstLine="640"/>
        <w:rPr>
          <w:rFonts w:ascii="Times New Roman" w:hAnsi="Times New Roman"/>
          <w:highlight w:val="none"/>
        </w:rPr>
      </w:pPr>
      <w:r>
        <w:rPr>
          <w:rFonts w:ascii="Times New Roman" w:hAnsi="Times New Roman"/>
          <w:highlight w:val="none"/>
        </w:rPr>
        <w:t>1</w:t>
      </w:r>
      <w:r>
        <w:rPr>
          <w:rFonts w:hint="eastAsia" w:ascii="Times New Roman" w:hAnsi="Times New Roman"/>
          <w:highlight w:val="none"/>
        </w:rPr>
        <w:t>3.“1+3+N”</w:t>
      </w:r>
      <w:r>
        <w:rPr>
          <w:rFonts w:ascii="Times New Roman" w:hAnsi="Times New Roman"/>
          <w:highlight w:val="none"/>
        </w:rPr>
        <w:t>：</w:t>
      </w:r>
      <w:r>
        <w:rPr>
          <w:rFonts w:hint="eastAsia" w:ascii="Times New Roman" w:hAnsi="Times New Roman"/>
          <w:highlight w:val="none"/>
        </w:rPr>
        <w:t>是指1个人工智能生态街区、3个人工智能生态社区、N个人工智能生态单元。</w:t>
      </w:r>
    </w:p>
    <w:p w14:paraId="419C9A6E">
      <w:pPr>
        <w:ind w:firstLine="640"/>
        <w:rPr>
          <w:rFonts w:ascii="Times New Roman" w:hAnsi="Times New Roman" w:cs="方正仿宋_GBK"/>
          <w:highlight w:val="none"/>
        </w:rPr>
      </w:pPr>
      <w:r>
        <w:rPr>
          <w:rFonts w:hint="eastAsia" w:ascii="Times New Roman" w:hAnsi="Times New Roman"/>
          <w:highlight w:val="none"/>
        </w:rPr>
        <w:t>14.</w:t>
      </w:r>
      <w:r>
        <w:rPr>
          <w:rFonts w:hint="eastAsia" w:ascii="Times New Roman" w:hAnsi="Times New Roman" w:cs="方正仿宋_GBK"/>
          <w:szCs w:val="32"/>
          <w:highlight w:val="none"/>
          <w:shd w:val="clear" w:color="auto" w:fill="FFFFFF"/>
        </w:rPr>
        <w:t>“三级服务矩阵”</w:t>
      </w:r>
      <w:r>
        <w:rPr>
          <w:rFonts w:hint="eastAsia" w:ascii="Times New Roman" w:hAnsi="Times New Roman" w:cs="方正仿宋_GBK"/>
          <w:highlight w:val="none"/>
        </w:rPr>
        <w:t>：是指玄武区为强化新就业群体服务管理，基于“服务中心+微型服务站+24小时岗点”三级服务阵地，聚焦政治引领、生活帮助、权益保障、技能培训、健康关怀五大模块，打造的新就业群体服务体系。</w:t>
      </w:r>
    </w:p>
    <w:p w14:paraId="6036898C">
      <w:pPr>
        <w:ind w:firstLine="640"/>
        <w:rPr>
          <w:rFonts w:ascii="Times New Roman" w:hAnsi="Times New Roman"/>
          <w:szCs w:val="32"/>
          <w:highlight w:val="none"/>
        </w:rPr>
      </w:pPr>
      <w:r>
        <w:rPr>
          <w:rFonts w:hint="eastAsia" w:ascii="Times New Roman" w:hAnsi="Times New Roman"/>
          <w:highlight w:val="none"/>
        </w:rPr>
        <w:t>15.</w:t>
      </w:r>
      <w:r>
        <w:rPr>
          <w:rFonts w:hint="eastAsia" w:ascii="Times New Roman" w:hAnsi="Times New Roman"/>
          <w:szCs w:val="32"/>
          <w:highlight w:val="none"/>
        </w:rPr>
        <w:t>“三类</w:t>
      </w:r>
      <w:r>
        <w:rPr>
          <w:rFonts w:ascii="Times New Roman" w:hAnsi="Times New Roman"/>
          <w:szCs w:val="32"/>
          <w:highlight w:val="none"/>
        </w:rPr>
        <w:t>儿童</w:t>
      </w:r>
      <w:r>
        <w:rPr>
          <w:rFonts w:hint="eastAsia" w:ascii="Times New Roman" w:hAnsi="Times New Roman"/>
          <w:szCs w:val="32"/>
          <w:highlight w:val="none"/>
        </w:rPr>
        <w:t>”：是指困境儿童、流动儿童、留守儿童。</w:t>
      </w:r>
    </w:p>
    <w:p w14:paraId="1A1B6C40">
      <w:pPr>
        <w:ind w:firstLine="640"/>
        <w:rPr>
          <w:rFonts w:ascii="Times New Roman" w:hAnsi="Times New Roman"/>
          <w:highlight w:val="none"/>
        </w:rPr>
      </w:pPr>
      <w:r>
        <w:rPr>
          <w:rFonts w:hint="eastAsia" w:ascii="Times New Roman" w:hAnsi="Times New Roman"/>
          <w:highlight w:val="none"/>
        </w:rPr>
        <w:t>16.“十有岗亭”：</w:t>
      </w:r>
      <w:r>
        <w:rPr>
          <w:rFonts w:hint="eastAsia" w:ascii="Times New Roman" w:hAnsi="Times New Roman"/>
          <w:szCs w:val="32"/>
          <w:highlight w:val="none"/>
        </w:rPr>
        <w:t>是指</w:t>
      </w:r>
      <w:r>
        <w:rPr>
          <w:rFonts w:hint="eastAsia" w:ascii="Times New Roman" w:hAnsi="Times New Roman"/>
          <w:highlight w:val="none"/>
        </w:rPr>
        <w:t>以标准化建设与功能融合为导向，结合各小区实际，</w:t>
      </w:r>
      <w:r>
        <w:rPr>
          <w:rFonts w:ascii="Times New Roman" w:hAnsi="Times New Roman" w:cs="方正仿宋_GBK"/>
          <w:kern w:val="0"/>
          <w:sz w:val="31"/>
          <w:szCs w:val="31"/>
          <w:highlight w:val="none"/>
          <w:lang w:bidi="ar"/>
        </w:rPr>
        <w:t>从</w:t>
      </w:r>
      <w:r>
        <w:rPr>
          <w:rFonts w:hint="eastAsia" w:ascii="Times New Roman" w:hAnsi="Times New Roman" w:cs="方正仿宋_GBK"/>
          <w:kern w:val="0"/>
          <w:sz w:val="31"/>
          <w:szCs w:val="31"/>
          <w:highlight w:val="none"/>
          <w:lang w:bidi="ar"/>
        </w:rPr>
        <w:t>微型消防站（灭火器）、应急药箱、应急照明（手电筒）、</w:t>
      </w:r>
      <w:r>
        <w:rPr>
          <w:rFonts w:ascii="Times New Roman" w:hAnsi="Times New Roman" w:cs="方正仿宋_GBK"/>
          <w:kern w:val="0"/>
          <w:sz w:val="31"/>
          <w:szCs w:val="31"/>
          <w:highlight w:val="none"/>
          <w:lang w:bidi="ar"/>
        </w:rPr>
        <w:t>维修工具箱</w:t>
      </w:r>
      <w:r>
        <w:rPr>
          <w:rFonts w:hint="eastAsia" w:ascii="Times New Roman" w:hAnsi="Times New Roman" w:cs="方正仿宋_GBK"/>
          <w:kern w:val="0"/>
          <w:sz w:val="31"/>
          <w:szCs w:val="31"/>
          <w:highlight w:val="none"/>
          <w:lang w:bidi="ar"/>
        </w:rPr>
        <w:t>、便民雨伞、雨披、打气筒、便民手推车、充电插座、手机充电线、饮水设施、临时休息座椅、老花镜、针线包、快递暂存点、失物招领处等</w:t>
      </w:r>
      <w:r>
        <w:rPr>
          <w:rFonts w:ascii="Times New Roman" w:hAnsi="Times New Roman" w:cs="方正仿宋_GBK"/>
          <w:kern w:val="0"/>
          <w:sz w:val="31"/>
          <w:szCs w:val="31"/>
          <w:highlight w:val="none"/>
          <w:lang w:bidi="ar"/>
        </w:rPr>
        <w:t>十六项基础便民服务中选配</w:t>
      </w:r>
      <w:r>
        <w:rPr>
          <w:rFonts w:hint="eastAsia" w:ascii="Times New Roman" w:hAnsi="Times New Roman" w:cs="方正仿宋_GBK"/>
          <w:kern w:val="0"/>
          <w:sz w:val="31"/>
          <w:szCs w:val="31"/>
          <w:highlight w:val="none"/>
          <w:lang w:bidi="ar"/>
        </w:rPr>
        <w:t>，形成</w:t>
      </w:r>
      <w:r>
        <w:rPr>
          <w:rFonts w:hint="eastAsia" w:ascii="Times New Roman" w:hAnsi="Times New Roman"/>
          <w:highlight w:val="none"/>
        </w:rPr>
        <w:t>岗亭“</w:t>
      </w:r>
      <w:r>
        <w:rPr>
          <w:rFonts w:hint="eastAsia" w:ascii="Times New Roman" w:hAnsi="Times New Roman" w:cs="方正仿宋_GBK"/>
          <w:kern w:val="0"/>
          <w:sz w:val="31"/>
          <w:szCs w:val="31"/>
          <w:highlight w:val="none"/>
          <w:lang w:bidi="ar"/>
        </w:rPr>
        <w:t>十有”服务矩阵</w:t>
      </w:r>
      <w:r>
        <w:rPr>
          <w:rFonts w:hint="eastAsia" w:ascii="Times New Roman" w:hAnsi="Times New Roman"/>
          <w:highlight w:val="none"/>
        </w:rPr>
        <w:t>。</w:t>
      </w:r>
    </w:p>
    <w:p w14:paraId="045ED610">
      <w:pPr>
        <w:ind w:firstLine="640"/>
        <w:rPr>
          <w:rFonts w:ascii="Times New Roman" w:hAnsi="Times New Roman"/>
          <w:highlight w:val="none"/>
        </w:rPr>
        <w:sectPr>
          <w:headerReference r:id="rId7" w:type="first"/>
          <w:footerReference r:id="rId10" w:type="first"/>
          <w:headerReference r:id="rId5" w:type="default"/>
          <w:footerReference r:id="rId8" w:type="default"/>
          <w:headerReference r:id="rId6" w:type="even"/>
          <w:footerReference r:id="rId9" w:type="even"/>
          <w:pgSz w:w="11907" w:h="16840"/>
          <w:pgMar w:top="2098" w:right="1531" w:bottom="1701" w:left="1531" w:header="567" w:footer="1588" w:gutter="0"/>
          <w:pgNumType w:start="1"/>
          <w:cols w:space="720" w:num="1"/>
          <w:docGrid w:linePitch="572" w:charSpace="-525"/>
        </w:sectPr>
      </w:pPr>
      <w:r>
        <w:rPr>
          <w:rFonts w:hint="eastAsia" w:ascii="Times New Roman" w:hAnsi="Times New Roman" w:cs="方正仿宋_GBK"/>
          <w:szCs w:val="32"/>
          <w:highlight w:val="none"/>
          <w:shd w:val="clear" w:color="auto" w:fill="FFFFFF"/>
        </w:rPr>
        <w:t>17.“三品一特”：是指食品、药品、重点工业产品和特种设备四个领域。</w:t>
      </w:r>
    </w:p>
    <w:p w14:paraId="09EF26F5">
      <w:pPr>
        <w:widowControl/>
        <w:overflowPunct/>
        <w:snapToGrid/>
        <w:spacing w:line="240" w:lineRule="auto"/>
        <w:ind w:firstLine="0" w:firstLineChars="0"/>
        <w:jc w:val="left"/>
        <w:rPr>
          <w:rFonts w:ascii="Times New Roman" w:hAnsi="Times New Roman" w:cs="方正仿宋_GBK"/>
          <w:spacing w:val="2"/>
          <w:sz w:val="30"/>
          <w:szCs w:val="30"/>
          <w:highlight w:val="none"/>
          <w:shd w:val="clear" w:color="auto" w:fill="FFFFFF"/>
        </w:rPr>
      </w:pPr>
      <w:r>
        <w:rPr>
          <w:rFonts w:ascii="Times New Roman" w:hAnsi="Times New Roman" w:cs="方正仿宋_GBK"/>
          <w:spacing w:val="2"/>
          <w:sz w:val="30"/>
          <w:szCs w:val="30"/>
          <w:highlight w:val="none"/>
          <w:shd w:val="clear" w:color="auto" w:fill="FFFFFF"/>
        </w:rPr>
        <w:br w:type="page"/>
      </w:r>
    </w:p>
    <w:p w14:paraId="65C1B450">
      <w:pPr>
        <w:tabs>
          <w:tab w:val="left" w:pos="3420"/>
        </w:tabs>
        <w:ind w:firstLine="0" w:firstLineChars="0"/>
        <w:rPr>
          <w:rFonts w:ascii="Times New Roman" w:hAnsi="Times New Roman" w:cs="方正仿宋_GBK"/>
          <w:spacing w:val="2"/>
          <w:sz w:val="30"/>
          <w:szCs w:val="30"/>
          <w:highlight w:val="none"/>
          <w:shd w:val="clear" w:color="auto" w:fill="FFFFFF"/>
        </w:rPr>
      </w:pPr>
    </w:p>
    <w:p w14:paraId="7BC5732A">
      <w:pPr>
        <w:tabs>
          <w:tab w:val="left" w:pos="3420"/>
        </w:tabs>
        <w:ind w:firstLine="0" w:firstLineChars="0"/>
        <w:rPr>
          <w:rFonts w:ascii="Times New Roman" w:hAnsi="Times New Roman" w:cs="方正仿宋_GBK"/>
          <w:spacing w:val="2"/>
          <w:sz w:val="30"/>
          <w:szCs w:val="30"/>
          <w:highlight w:val="none"/>
          <w:shd w:val="clear" w:color="auto" w:fill="FFFFFF"/>
        </w:rPr>
      </w:pPr>
    </w:p>
    <w:p w14:paraId="6A671A6C">
      <w:pPr>
        <w:tabs>
          <w:tab w:val="left" w:pos="3420"/>
        </w:tabs>
        <w:ind w:firstLine="0" w:firstLineChars="0"/>
        <w:rPr>
          <w:rFonts w:ascii="Times New Roman" w:hAnsi="Times New Roman" w:cs="方正仿宋_GBK"/>
          <w:spacing w:val="2"/>
          <w:sz w:val="30"/>
          <w:szCs w:val="30"/>
          <w:highlight w:val="none"/>
          <w:shd w:val="clear" w:color="auto" w:fill="FFFFFF"/>
        </w:rPr>
      </w:pPr>
    </w:p>
    <w:p w14:paraId="7C37EB43">
      <w:pPr>
        <w:tabs>
          <w:tab w:val="left" w:pos="3420"/>
        </w:tabs>
        <w:ind w:firstLine="0" w:firstLineChars="0"/>
        <w:rPr>
          <w:rFonts w:ascii="Times New Roman" w:hAnsi="Times New Roman" w:cs="方正仿宋_GBK"/>
          <w:spacing w:val="2"/>
          <w:sz w:val="30"/>
          <w:szCs w:val="30"/>
          <w:highlight w:val="none"/>
          <w:shd w:val="clear" w:color="auto" w:fill="FFFFFF"/>
        </w:rPr>
      </w:pPr>
    </w:p>
    <w:p w14:paraId="7AC64F4F">
      <w:pPr>
        <w:tabs>
          <w:tab w:val="left" w:pos="3420"/>
        </w:tabs>
        <w:ind w:firstLine="0" w:firstLineChars="0"/>
        <w:rPr>
          <w:rFonts w:ascii="Times New Roman" w:hAnsi="Times New Roman" w:cs="方正仿宋_GBK"/>
          <w:spacing w:val="2"/>
          <w:sz w:val="30"/>
          <w:szCs w:val="30"/>
          <w:highlight w:val="none"/>
          <w:shd w:val="clear" w:color="auto" w:fill="FFFFFF"/>
        </w:rPr>
      </w:pPr>
    </w:p>
    <w:p w14:paraId="46F4DCEC">
      <w:pPr>
        <w:tabs>
          <w:tab w:val="left" w:pos="3420"/>
        </w:tabs>
        <w:ind w:firstLine="0" w:firstLineChars="0"/>
        <w:rPr>
          <w:rFonts w:ascii="Times New Roman" w:hAnsi="Times New Roman" w:cs="方正仿宋_GBK"/>
          <w:spacing w:val="2"/>
          <w:sz w:val="30"/>
          <w:szCs w:val="30"/>
          <w:highlight w:val="none"/>
          <w:shd w:val="clear" w:color="auto" w:fill="FFFFFF"/>
        </w:rPr>
      </w:pPr>
    </w:p>
    <w:p w14:paraId="1B2A61A3">
      <w:pPr>
        <w:tabs>
          <w:tab w:val="left" w:pos="3420"/>
        </w:tabs>
        <w:ind w:firstLine="0" w:firstLineChars="0"/>
        <w:rPr>
          <w:rFonts w:ascii="Times New Roman" w:hAnsi="Times New Roman" w:cs="方正仿宋_GBK"/>
          <w:spacing w:val="2"/>
          <w:sz w:val="30"/>
          <w:szCs w:val="30"/>
          <w:highlight w:val="none"/>
          <w:shd w:val="clear" w:color="auto" w:fill="FFFFFF"/>
        </w:rPr>
      </w:pPr>
    </w:p>
    <w:p w14:paraId="3D8DF0FD">
      <w:pPr>
        <w:tabs>
          <w:tab w:val="left" w:pos="3420"/>
        </w:tabs>
        <w:ind w:firstLine="0" w:firstLineChars="0"/>
        <w:rPr>
          <w:rFonts w:ascii="Times New Roman" w:hAnsi="Times New Roman" w:cs="方正仿宋_GBK"/>
          <w:spacing w:val="2"/>
          <w:sz w:val="30"/>
          <w:szCs w:val="30"/>
          <w:highlight w:val="none"/>
          <w:shd w:val="clear" w:color="auto" w:fill="FFFFFF"/>
        </w:rPr>
      </w:pPr>
    </w:p>
    <w:p w14:paraId="06EECE63">
      <w:pPr>
        <w:tabs>
          <w:tab w:val="left" w:pos="3420"/>
        </w:tabs>
        <w:ind w:firstLine="0" w:firstLineChars="0"/>
        <w:rPr>
          <w:rFonts w:ascii="Times New Roman" w:hAnsi="Times New Roman" w:cs="方正仿宋_GBK"/>
          <w:spacing w:val="2"/>
          <w:sz w:val="30"/>
          <w:szCs w:val="30"/>
          <w:highlight w:val="none"/>
          <w:shd w:val="clear" w:color="auto" w:fill="FFFFFF"/>
        </w:rPr>
      </w:pPr>
    </w:p>
    <w:p w14:paraId="409336CB">
      <w:pPr>
        <w:tabs>
          <w:tab w:val="left" w:pos="3420"/>
        </w:tabs>
        <w:ind w:firstLine="0" w:firstLineChars="0"/>
        <w:rPr>
          <w:rFonts w:ascii="Times New Roman" w:hAnsi="Times New Roman" w:cs="方正仿宋_GBK"/>
          <w:spacing w:val="2"/>
          <w:sz w:val="30"/>
          <w:szCs w:val="30"/>
          <w:highlight w:val="none"/>
          <w:shd w:val="clear" w:color="auto" w:fill="FFFFFF"/>
        </w:rPr>
      </w:pPr>
    </w:p>
    <w:p w14:paraId="7290B46A">
      <w:pPr>
        <w:tabs>
          <w:tab w:val="left" w:pos="3420"/>
        </w:tabs>
        <w:ind w:firstLine="0" w:firstLineChars="0"/>
        <w:rPr>
          <w:rFonts w:ascii="Times New Roman" w:hAnsi="Times New Roman" w:cs="方正仿宋_GBK"/>
          <w:spacing w:val="2"/>
          <w:sz w:val="30"/>
          <w:szCs w:val="30"/>
          <w:highlight w:val="none"/>
          <w:shd w:val="clear" w:color="auto" w:fill="FFFFFF"/>
        </w:rPr>
      </w:pPr>
    </w:p>
    <w:p w14:paraId="4FCC4F4C">
      <w:pPr>
        <w:tabs>
          <w:tab w:val="left" w:pos="3420"/>
        </w:tabs>
        <w:ind w:firstLine="0" w:firstLineChars="0"/>
        <w:rPr>
          <w:rFonts w:ascii="Times New Roman" w:hAnsi="Times New Roman" w:cs="方正仿宋_GBK"/>
          <w:spacing w:val="2"/>
          <w:sz w:val="30"/>
          <w:szCs w:val="30"/>
          <w:highlight w:val="none"/>
          <w:shd w:val="clear" w:color="auto" w:fill="FFFFFF"/>
        </w:rPr>
      </w:pPr>
    </w:p>
    <w:p w14:paraId="7819AF60">
      <w:pPr>
        <w:tabs>
          <w:tab w:val="left" w:pos="3420"/>
        </w:tabs>
        <w:ind w:firstLine="0" w:firstLineChars="0"/>
        <w:rPr>
          <w:rFonts w:ascii="Times New Roman" w:hAnsi="Times New Roman" w:cs="方正仿宋_GBK"/>
          <w:spacing w:val="2"/>
          <w:sz w:val="30"/>
          <w:szCs w:val="30"/>
          <w:highlight w:val="none"/>
          <w:shd w:val="clear" w:color="auto" w:fill="FFFFFF"/>
        </w:rPr>
      </w:pPr>
    </w:p>
    <w:p w14:paraId="3430290D">
      <w:pPr>
        <w:tabs>
          <w:tab w:val="left" w:pos="3420"/>
        </w:tabs>
        <w:ind w:firstLine="0" w:firstLineChars="0"/>
        <w:rPr>
          <w:rFonts w:ascii="Times New Roman" w:hAnsi="Times New Roman" w:cs="方正仿宋_GBK"/>
          <w:spacing w:val="2"/>
          <w:sz w:val="30"/>
          <w:szCs w:val="30"/>
          <w:highlight w:val="none"/>
          <w:shd w:val="clear" w:color="auto" w:fill="FFFFFF"/>
        </w:rPr>
      </w:pPr>
    </w:p>
    <w:p w14:paraId="2CE7DDA7">
      <w:pPr>
        <w:tabs>
          <w:tab w:val="left" w:pos="3420"/>
        </w:tabs>
        <w:ind w:firstLine="0" w:firstLineChars="0"/>
        <w:rPr>
          <w:rFonts w:ascii="Times New Roman" w:hAnsi="Times New Roman" w:cs="方正仿宋_GBK"/>
          <w:spacing w:val="2"/>
          <w:sz w:val="30"/>
          <w:szCs w:val="30"/>
          <w:highlight w:val="none"/>
          <w:shd w:val="clear" w:color="auto" w:fill="FFFFFF"/>
        </w:rPr>
      </w:pPr>
    </w:p>
    <w:p w14:paraId="435C19A1">
      <w:pPr>
        <w:tabs>
          <w:tab w:val="left" w:pos="3420"/>
        </w:tabs>
        <w:ind w:firstLine="0" w:firstLineChars="0"/>
        <w:rPr>
          <w:rFonts w:ascii="Times New Roman" w:hAnsi="Times New Roman" w:cs="方正仿宋_GBK"/>
          <w:spacing w:val="2"/>
          <w:sz w:val="30"/>
          <w:szCs w:val="30"/>
          <w:highlight w:val="none"/>
          <w:shd w:val="clear" w:color="auto" w:fill="FFFFFF"/>
        </w:rPr>
      </w:pPr>
    </w:p>
    <w:p w14:paraId="3F13031D">
      <w:pPr>
        <w:tabs>
          <w:tab w:val="left" w:pos="3420"/>
        </w:tabs>
        <w:ind w:firstLine="0" w:firstLineChars="0"/>
        <w:rPr>
          <w:rFonts w:ascii="Times New Roman" w:hAnsi="Times New Roman" w:cs="方正仿宋_GBK"/>
          <w:spacing w:val="2"/>
          <w:sz w:val="30"/>
          <w:szCs w:val="30"/>
          <w:highlight w:val="none"/>
          <w:shd w:val="clear" w:color="auto" w:fill="FFFFFF"/>
        </w:rPr>
      </w:pPr>
    </w:p>
    <w:p w14:paraId="7EFCFA2E">
      <w:pPr>
        <w:tabs>
          <w:tab w:val="left" w:pos="3420"/>
        </w:tabs>
        <w:ind w:firstLine="0" w:firstLineChars="0"/>
        <w:rPr>
          <w:rFonts w:ascii="Times New Roman" w:hAnsi="Times New Roman" w:cs="方正仿宋_GBK"/>
          <w:spacing w:val="2"/>
          <w:sz w:val="30"/>
          <w:szCs w:val="30"/>
          <w:highlight w:val="none"/>
          <w:shd w:val="clear" w:color="auto" w:fill="FFFFFF"/>
        </w:rPr>
      </w:pPr>
    </w:p>
    <w:p w14:paraId="784C8DC3">
      <w:pPr>
        <w:tabs>
          <w:tab w:val="left" w:pos="3420"/>
        </w:tabs>
        <w:ind w:firstLine="0" w:firstLineChars="0"/>
        <w:rPr>
          <w:rFonts w:ascii="Times New Roman" w:hAnsi="Times New Roman" w:cs="方正仿宋_GBK"/>
          <w:spacing w:val="2"/>
          <w:sz w:val="30"/>
          <w:szCs w:val="30"/>
          <w:highlight w:val="none"/>
          <w:shd w:val="clear" w:color="auto" w:fill="FFFFFF"/>
        </w:rPr>
      </w:pPr>
    </w:p>
    <w:p w14:paraId="581E9103">
      <w:pPr>
        <w:ind w:firstLine="640"/>
        <w:rPr>
          <w:rFonts w:ascii="Times New Roman" w:hAnsi="Times New Roman"/>
          <w:highlight w:val="none"/>
        </w:rPr>
      </w:pPr>
    </w:p>
    <w:p w14:paraId="03FC822D">
      <w:pPr>
        <w:ind w:firstLine="640"/>
        <w:rPr>
          <w:rFonts w:ascii="Times New Roman" w:hAnsi="Times New Roman"/>
          <w:highlight w:val="none"/>
        </w:rPr>
      </w:pPr>
    </w:p>
    <w:tbl>
      <w:tblPr>
        <w:tblStyle w:val="20"/>
        <w:tblW w:w="8835" w:type="dxa"/>
        <w:jc w:val="center"/>
        <w:tblBorders>
          <w:top w:val="single" w:color="auto" w:sz="6" w:space="0"/>
          <w:left w:val="none" w:color="auto" w:sz="0" w:space="0"/>
          <w:bottom w:val="single" w:color="auto" w:sz="6"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35"/>
      </w:tblGrid>
      <w:tr w14:paraId="458ECB82">
        <w:tblPrEx>
          <w:tblBorders>
            <w:top w:val="single" w:color="auto" w:sz="6"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835" w:type="dxa"/>
          </w:tcPr>
          <w:p w14:paraId="7C858E96">
            <w:pPr>
              <w:adjustRightInd w:val="0"/>
              <w:spacing w:after="60" w:afterLines="25" w:line="500" w:lineRule="exact"/>
              <w:ind w:firstLine="0" w:firstLineChars="0"/>
              <w:rPr>
                <w:rFonts w:ascii="Times New Roman" w:hAnsi="Times New Roman"/>
                <w:sz w:val="30"/>
                <w:szCs w:val="30"/>
                <w:highlight w:val="none"/>
              </w:rPr>
            </w:pPr>
            <w:r>
              <w:rPr>
                <w:rFonts w:hint="eastAsia" w:ascii="Times New Roman" w:hAnsi="Times New Roman"/>
                <w:color w:val="000000"/>
                <w:sz w:val="30"/>
                <w:szCs w:val="30"/>
                <w:highlight w:val="none"/>
              </w:rPr>
              <w:t>大会</w:t>
            </w:r>
            <w:r>
              <w:rPr>
                <w:rFonts w:ascii="Times New Roman" w:hAnsi="Times New Roman"/>
                <w:color w:val="000000"/>
                <w:sz w:val="30"/>
                <w:szCs w:val="30"/>
                <w:highlight w:val="none"/>
              </w:rPr>
              <w:t>秘书处</w:t>
            </w:r>
            <w:r>
              <w:rPr>
                <w:rFonts w:hint="eastAsia" w:ascii="Times New Roman" w:hAnsi="Times New Roman"/>
                <w:color w:val="000000"/>
                <w:sz w:val="30"/>
                <w:szCs w:val="30"/>
                <w:highlight w:val="none"/>
              </w:rPr>
              <w:t xml:space="preserve">    </w:t>
            </w:r>
            <w:r>
              <w:rPr>
                <w:rFonts w:ascii="Times New Roman" w:hAnsi="Times New Roman"/>
                <w:color w:val="000000"/>
                <w:sz w:val="30"/>
                <w:szCs w:val="30"/>
                <w:highlight w:val="none"/>
              </w:rPr>
              <w:t xml:space="preserve">  </w:t>
            </w:r>
            <w:r>
              <w:rPr>
                <w:rFonts w:hint="eastAsia" w:ascii="Times New Roman" w:hAnsi="Times New Roman"/>
                <w:color w:val="000000"/>
                <w:sz w:val="30"/>
                <w:szCs w:val="30"/>
                <w:highlight w:val="none"/>
              </w:rPr>
              <w:t xml:space="preserve">  </w:t>
            </w:r>
            <w:r>
              <w:rPr>
                <w:rFonts w:ascii="Times New Roman" w:hAnsi="Times New Roman"/>
                <w:color w:val="000000"/>
                <w:sz w:val="30"/>
                <w:szCs w:val="30"/>
                <w:highlight w:val="none"/>
              </w:rPr>
              <w:t xml:space="preserve">  </w:t>
            </w:r>
            <w:r>
              <w:rPr>
                <w:rFonts w:hint="eastAsia" w:ascii="Times New Roman" w:hAnsi="Times New Roman"/>
                <w:color w:val="000000"/>
                <w:sz w:val="30"/>
                <w:szCs w:val="30"/>
                <w:highlight w:val="none"/>
              </w:rPr>
              <w:t xml:space="preserve"> 　</w:t>
            </w:r>
            <w:r>
              <w:rPr>
                <w:rFonts w:ascii="Times New Roman" w:hAnsi="Times New Roman"/>
                <w:color w:val="000000"/>
                <w:sz w:val="30"/>
                <w:szCs w:val="30"/>
                <w:highlight w:val="none"/>
              </w:rPr>
              <w:t xml:space="preserve">   </w:t>
            </w:r>
            <w:r>
              <w:rPr>
                <w:rFonts w:hint="eastAsia" w:ascii="Times New Roman" w:hAnsi="Times New Roman"/>
                <w:color w:val="000000"/>
                <w:sz w:val="30"/>
                <w:szCs w:val="30"/>
                <w:highlight w:val="none"/>
              </w:rPr>
              <w:t xml:space="preserve"> </w:t>
            </w:r>
            <w:r>
              <w:rPr>
                <w:rFonts w:ascii="Times New Roman" w:hAnsi="Times New Roman"/>
                <w:color w:val="000000"/>
                <w:sz w:val="30"/>
                <w:szCs w:val="30"/>
                <w:highlight w:val="none"/>
              </w:rPr>
              <w:t xml:space="preserve">              2026年</w:t>
            </w:r>
            <w:r>
              <w:rPr>
                <w:rFonts w:hint="eastAsia" w:ascii="Times New Roman" w:hAnsi="Times New Roman"/>
                <w:color w:val="000000"/>
                <w:sz w:val="30"/>
                <w:szCs w:val="30"/>
                <w:highlight w:val="none"/>
              </w:rPr>
              <w:t>1</w:t>
            </w:r>
            <w:r>
              <w:rPr>
                <w:rFonts w:ascii="Times New Roman" w:hAnsi="Times New Roman"/>
                <w:color w:val="000000"/>
                <w:sz w:val="30"/>
                <w:szCs w:val="30"/>
                <w:highlight w:val="none"/>
              </w:rPr>
              <w:t>月</w:t>
            </w:r>
            <w:r>
              <w:rPr>
                <w:rFonts w:hint="eastAsia" w:ascii="Times New Roman" w:hAnsi="Times New Roman"/>
                <w:color w:val="000000"/>
                <w:sz w:val="30"/>
                <w:szCs w:val="30"/>
                <w:highlight w:val="none"/>
              </w:rPr>
              <w:t>5日</w:t>
            </w:r>
            <w:r>
              <w:rPr>
                <w:rFonts w:ascii="Times New Roman" w:hAnsi="Times New Roman"/>
                <w:color w:val="000000"/>
                <w:sz w:val="30"/>
                <w:szCs w:val="30"/>
                <w:highlight w:val="none"/>
              </w:rPr>
              <w:t>印</w:t>
            </w:r>
          </w:p>
        </w:tc>
      </w:tr>
    </w:tbl>
    <w:p w14:paraId="4C0EB887">
      <w:pPr>
        <w:spacing w:line="40" w:lineRule="exact"/>
        <w:ind w:firstLine="0" w:firstLineChars="0"/>
        <w:rPr>
          <w:rFonts w:ascii="Times New Roman" w:hAnsi="Times New Roman"/>
          <w:highlight w:val="none"/>
        </w:rPr>
      </w:pPr>
      <w:r>
        <w:rPr>
          <w:rFonts w:ascii="Times New Roman" w:hAnsi="Times New Roman"/>
          <w:highlight w:val="none"/>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133985</wp:posOffset>
                </wp:positionV>
                <wp:extent cx="1223645" cy="510540"/>
                <wp:effectExtent l="0" t="0" r="14605" b="23495"/>
                <wp:wrapNone/>
                <wp:docPr id="2" name="矩形 2"/>
                <wp:cNvGraphicFramePr/>
                <a:graphic xmlns:a="http://schemas.openxmlformats.org/drawingml/2006/main">
                  <a:graphicData uri="http://schemas.microsoft.com/office/word/2010/wordprocessingShape">
                    <wps:wsp>
                      <wps:cNvSpPr/>
                      <wps:spPr>
                        <a:xfrm>
                          <a:off x="0" y="0"/>
                          <a:ext cx="1223682" cy="51050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top:10.55pt;height:40.2pt;width:96.35pt;mso-position-horizontal:left;mso-position-horizontal-relative:margin;z-index:251659264;v-text-anchor:middle;mso-width-relative:page;mso-height-relative:page;" fillcolor="#FFFFFF [3212]" filled="t" stroked="t" coordsize="21600,21600" o:gfxdata="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F&#10;gGZc1wAAAAcBAAAPAAAAAAAAAAEAIAAAACIAAABkcnMvZG93bnJldi54bWxQSwECFAAUAAAACACH&#10;TuJABsb6jl4CAADdBAAADgAAAAAAAAABACAAAAAmAQAAZHJzL2Uyb0RvYy54bWxQSwUGAAAAAAYA&#10;BgBZAQAA9gUAAAAA&#10;">
                <v:fill on="t" focussize="0,0"/>
                <v:stroke weight="2pt" color="#FFFFFF [3212]" joinstyle="round"/>
                <v:imagedata o:title=""/>
                <o:lock v:ext="edit" aspectratio="f"/>
              </v:rect>
            </w:pict>
          </mc:Fallback>
        </mc:AlternateContent>
      </w:r>
    </w:p>
    <w:sectPr>
      <w:footerReference r:id="rId11" w:type="default"/>
      <w:footerReference r:id="rId12" w:type="even"/>
      <w:pgSz w:w="11907" w:h="16840"/>
      <w:pgMar w:top="2098" w:right="1531" w:bottom="1701" w:left="1531" w:header="567" w:footer="1588" w:gutter="0"/>
      <w:pgNumType w:start="1"/>
      <w:cols w:space="720" w:num="1"/>
      <w:docGrid w:linePitch="572" w:charSpace="-52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简体">
    <w:altName w:val="方正黑体_GBK"/>
    <w:panose1 w:val="03000509000000000000"/>
    <w:charset w:val="86"/>
    <w:family w:val="script"/>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Segoe UI Emoji">
    <w:altName w:val="Segoe UI"/>
    <w:panose1 w:val="020B0502040204020203"/>
    <w:charset w:val="00"/>
    <w:family w:val="swiss"/>
    <w:pitch w:val="default"/>
    <w:sig w:usb0="00000000"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05E85">
    <w:pPr>
      <w:pStyle w:val="12"/>
      <w:framePr w:wrap="around"/>
    </w:pPr>
    <w:r>
      <w:rPr>
        <w:rFonts w:hint="eastAsia"/>
      </w:rPr>
      <w:t>─</w:t>
    </w:r>
    <w:r>
      <w:t xml:space="preserve"> </w:t>
    </w:r>
    <w:r>
      <w:fldChar w:fldCharType="begin"/>
    </w:r>
    <w:r>
      <w:instrText xml:space="preserve">PAGE  </w:instrText>
    </w:r>
    <w:r>
      <w:fldChar w:fldCharType="separate"/>
    </w:r>
    <w:r>
      <w:t>35</w:t>
    </w:r>
    <w:r>
      <w:fldChar w:fldCharType="end"/>
    </w:r>
    <w:r>
      <w:t xml:space="preserve"> </w: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BE932">
    <w:pPr>
      <w:pStyle w:val="12"/>
      <w:framePr w:wrap="around"/>
      <w:ind w:firstLine="300" w:firstLineChars="100"/>
    </w:pPr>
    <w:r>
      <w:rPr>
        <w:rFonts w:hint="eastAsia"/>
      </w:rPr>
      <w:t>─</w:t>
    </w:r>
    <w:r>
      <w:t xml:space="preserve"> </w:t>
    </w:r>
    <w:r>
      <w:fldChar w:fldCharType="begin"/>
    </w:r>
    <w:r>
      <w:instrText xml:space="preserve">PAGE  </w:instrText>
    </w:r>
    <w:r>
      <w:fldChar w:fldCharType="separate"/>
    </w:r>
    <w:r>
      <w:t>36</w:t>
    </w:r>
    <w:r>
      <w:fldChar w:fldCharType="end"/>
    </w:r>
    <w:r>
      <w:t xml:space="preserve"> </w:t>
    </w:r>
    <w:r>
      <w:rPr>
        <w:rFonts w:hint="eastAsia"/>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6C2FD">
    <w:pPr>
      <w:pStyle w:val="12"/>
      <w:framePr w:wrap="aroun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C7DF28">
    <w:pPr>
      <w:pStyle w:val="12"/>
      <w:framePr w:wrap="around"/>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A6885">
    <w:pPr>
      <w:pStyle w:val="12"/>
      <w:framePr w:wrap="arou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E179E">
    <w:pPr>
      <w:pStyle w:val="13"/>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81283">
    <w:pPr>
      <w:pStyle w:val="13"/>
      <w:pBdr>
        <w:bottom w:val="none" w:color="auto" w:sz="0" w:space="0"/>
      </w:pBdr>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BD4FCB">
    <w:pPr>
      <w:pStyle w:val="1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5"/>
  <w:evenAndOddHeaders w:val="1"/>
  <w:drawingGridHorizontalSpacing w:val="305"/>
  <w:drawingGridVerticalSpacing w:val="286"/>
  <w:noPunctuationKerning w:val="1"/>
  <w:characterSpacingControl w:val="compressPunctuation"/>
  <w:noLineBreaksAfter w:lang="zh-CN" w:val="([{·‘“〈《「『【〔〖（．［｛￡￥"/>
  <w:noLineBreaksBefore w:lang="zh-CN" w:val="!),.:;?]}¨·ˇˉ―‖’”…∶、。〃々〉》」』】〕〗！＂％＇），．：；？］｀｜｝～￠"/>
  <w:footnotePr>
    <w:footnote w:id="0"/>
    <w:footnote w:id="1"/>
  </w:footnotePr>
  <w:endnotePr>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B4B"/>
    <w:rsid w:val="00002226"/>
    <w:rsid w:val="00032EAB"/>
    <w:rsid w:val="00037002"/>
    <w:rsid w:val="00047DC9"/>
    <w:rsid w:val="00055347"/>
    <w:rsid w:val="00057B6B"/>
    <w:rsid w:val="00071A49"/>
    <w:rsid w:val="000733CF"/>
    <w:rsid w:val="00082E11"/>
    <w:rsid w:val="00086D4D"/>
    <w:rsid w:val="000910F9"/>
    <w:rsid w:val="0009353E"/>
    <w:rsid w:val="000978F4"/>
    <w:rsid w:val="000A0030"/>
    <w:rsid w:val="000B4490"/>
    <w:rsid w:val="000B75F1"/>
    <w:rsid w:val="000C17E8"/>
    <w:rsid w:val="000C4467"/>
    <w:rsid w:val="000D07BB"/>
    <w:rsid w:val="00102B6A"/>
    <w:rsid w:val="0011471B"/>
    <w:rsid w:val="00116D24"/>
    <w:rsid w:val="001320B8"/>
    <w:rsid w:val="00135D24"/>
    <w:rsid w:val="00150DDA"/>
    <w:rsid w:val="00160A03"/>
    <w:rsid w:val="0016112E"/>
    <w:rsid w:val="00166554"/>
    <w:rsid w:val="00170FF3"/>
    <w:rsid w:val="001826F3"/>
    <w:rsid w:val="00186517"/>
    <w:rsid w:val="00192355"/>
    <w:rsid w:val="00196BD3"/>
    <w:rsid w:val="001B034E"/>
    <w:rsid w:val="001B2FA7"/>
    <w:rsid w:val="001C05E4"/>
    <w:rsid w:val="001C313E"/>
    <w:rsid w:val="001D4206"/>
    <w:rsid w:val="001D5B89"/>
    <w:rsid w:val="001E01A6"/>
    <w:rsid w:val="001E41DB"/>
    <w:rsid w:val="001E6FCA"/>
    <w:rsid w:val="001F0230"/>
    <w:rsid w:val="00202AB7"/>
    <w:rsid w:val="00203E82"/>
    <w:rsid w:val="00205FBC"/>
    <w:rsid w:val="00206923"/>
    <w:rsid w:val="00210CE4"/>
    <w:rsid w:val="00220623"/>
    <w:rsid w:val="00220D59"/>
    <w:rsid w:val="002405C8"/>
    <w:rsid w:val="002478EC"/>
    <w:rsid w:val="00253F80"/>
    <w:rsid w:val="00257101"/>
    <w:rsid w:val="00271A95"/>
    <w:rsid w:val="00275087"/>
    <w:rsid w:val="00285E74"/>
    <w:rsid w:val="00293B0C"/>
    <w:rsid w:val="002A156F"/>
    <w:rsid w:val="002A20EA"/>
    <w:rsid w:val="002B0267"/>
    <w:rsid w:val="002D1AD4"/>
    <w:rsid w:val="002D4F49"/>
    <w:rsid w:val="002D5F99"/>
    <w:rsid w:val="002D6FE1"/>
    <w:rsid w:val="002E192E"/>
    <w:rsid w:val="002E1968"/>
    <w:rsid w:val="002E5B8D"/>
    <w:rsid w:val="002F0420"/>
    <w:rsid w:val="002F57FC"/>
    <w:rsid w:val="002F78E5"/>
    <w:rsid w:val="002F7DA5"/>
    <w:rsid w:val="003219EE"/>
    <w:rsid w:val="00330317"/>
    <w:rsid w:val="00333674"/>
    <w:rsid w:val="00344C2C"/>
    <w:rsid w:val="00350F30"/>
    <w:rsid w:val="003622C6"/>
    <w:rsid w:val="0036519D"/>
    <w:rsid w:val="003678E0"/>
    <w:rsid w:val="00370719"/>
    <w:rsid w:val="00374772"/>
    <w:rsid w:val="003748C0"/>
    <w:rsid w:val="0038488B"/>
    <w:rsid w:val="00397A0C"/>
    <w:rsid w:val="003C3678"/>
    <w:rsid w:val="003C3AA4"/>
    <w:rsid w:val="003D7EA1"/>
    <w:rsid w:val="00401D96"/>
    <w:rsid w:val="0040556F"/>
    <w:rsid w:val="00414167"/>
    <w:rsid w:val="00434937"/>
    <w:rsid w:val="004400FA"/>
    <w:rsid w:val="00447047"/>
    <w:rsid w:val="00450187"/>
    <w:rsid w:val="00453B85"/>
    <w:rsid w:val="00461272"/>
    <w:rsid w:val="00461C0A"/>
    <w:rsid w:val="004700B3"/>
    <w:rsid w:val="004869FE"/>
    <w:rsid w:val="00487927"/>
    <w:rsid w:val="0049277B"/>
    <w:rsid w:val="00495B91"/>
    <w:rsid w:val="004A6305"/>
    <w:rsid w:val="004A767E"/>
    <w:rsid w:val="004A7E0D"/>
    <w:rsid w:val="004B2B21"/>
    <w:rsid w:val="004B6A4E"/>
    <w:rsid w:val="004C045C"/>
    <w:rsid w:val="004C4BC4"/>
    <w:rsid w:val="004C7143"/>
    <w:rsid w:val="004E20D6"/>
    <w:rsid w:val="004E3FDC"/>
    <w:rsid w:val="00502541"/>
    <w:rsid w:val="00507ED8"/>
    <w:rsid w:val="00514B10"/>
    <w:rsid w:val="0053531A"/>
    <w:rsid w:val="00536A34"/>
    <w:rsid w:val="00536F09"/>
    <w:rsid w:val="00553188"/>
    <w:rsid w:val="00564B53"/>
    <w:rsid w:val="0057185A"/>
    <w:rsid w:val="0057452D"/>
    <w:rsid w:val="0058655C"/>
    <w:rsid w:val="005908DA"/>
    <w:rsid w:val="0059216E"/>
    <w:rsid w:val="005A3404"/>
    <w:rsid w:val="005A34EB"/>
    <w:rsid w:val="005D3A01"/>
    <w:rsid w:val="005D71FC"/>
    <w:rsid w:val="005F0CA7"/>
    <w:rsid w:val="00601BDC"/>
    <w:rsid w:val="00616274"/>
    <w:rsid w:val="0061736F"/>
    <w:rsid w:val="0062187A"/>
    <w:rsid w:val="00635FEE"/>
    <w:rsid w:val="006364F0"/>
    <w:rsid w:val="006401FC"/>
    <w:rsid w:val="00641043"/>
    <w:rsid w:val="00645E6A"/>
    <w:rsid w:val="00660E2C"/>
    <w:rsid w:val="00670A68"/>
    <w:rsid w:val="0068034B"/>
    <w:rsid w:val="006923C7"/>
    <w:rsid w:val="00692BF8"/>
    <w:rsid w:val="006A6436"/>
    <w:rsid w:val="006B75D4"/>
    <w:rsid w:val="006B7F88"/>
    <w:rsid w:val="006C3EE4"/>
    <w:rsid w:val="006E1D71"/>
    <w:rsid w:val="006E4A62"/>
    <w:rsid w:val="006E6424"/>
    <w:rsid w:val="006F2FE4"/>
    <w:rsid w:val="006F67E1"/>
    <w:rsid w:val="00700B48"/>
    <w:rsid w:val="0070196E"/>
    <w:rsid w:val="007077E2"/>
    <w:rsid w:val="007102D7"/>
    <w:rsid w:val="007227BB"/>
    <w:rsid w:val="00725D69"/>
    <w:rsid w:val="00732D28"/>
    <w:rsid w:val="007414EB"/>
    <w:rsid w:val="00752F9A"/>
    <w:rsid w:val="00770F1F"/>
    <w:rsid w:val="0077537E"/>
    <w:rsid w:val="007823C1"/>
    <w:rsid w:val="00792913"/>
    <w:rsid w:val="007A0EF1"/>
    <w:rsid w:val="007A4F82"/>
    <w:rsid w:val="007A6772"/>
    <w:rsid w:val="007B0034"/>
    <w:rsid w:val="007B45DE"/>
    <w:rsid w:val="007B547E"/>
    <w:rsid w:val="007B5705"/>
    <w:rsid w:val="007B66FB"/>
    <w:rsid w:val="007C2405"/>
    <w:rsid w:val="007C2411"/>
    <w:rsid w:val="007D2C75"/>
    <w:rsid w:val="007E6808"/>
    <w:rsid w:val="007F7C43"/>
    <w:rsid w:val="008027C1"/>
    <w:rsid w:val="00802F7E"/>
    <w:rsid w:val="00803ED6"/>
    <w:rsid w:val="00854DA0"/>
    <w:rsid w:val="008708A3"/>
    <w:rsid w:val="00873607"/>
    <w:rsid w:val="00880219"/>
    <w:rsid w:val="00880311"/>
    <w:rsid w:val="00880336"/>
    <w:rsid w:val="00884D99"/>
    <w:rsid w:val="008852D8"/>
    <w:rsid w:val="00886657"/>
    <w:rsid w:val="00887B65"/>
    <w:rsid w:val="008A4B1C"/>
    <w:rsid w:val="008B04C9"/>
    <w:rsid w:val="008B0E3D"/>
    <w:rsid w:val="008B6295"/>
    <w:rsid w:val="008B7F02"/>
    <w:rsid w:val="008C1274"/>
    <w:rsid w:val="008D4A14"/>
    <w:rsid w:val="008D753B"/>
    <w:rsid w:val="008E566C"/>
    <w:rsid w:val="008F0832"/>
    <w:rsid w:val="008F5BA4"/>
    <w:rsid w:val="00911EB3"/>
    <w:rsid w:val="00922163"/>
    <w:rsid w:val="0092271C"/>
    <w:rsid w:val="009237C4"/>
    <w:rsid w:val="009248B9"/>
    <w:rsid w:val="00936E3C"/>
    <w:rsid w:val="00946E8E"/>
    <w:rsid w:val="00954F06"/>
    <w:rsid w:val="009613BC"/>
    <w:rsid w:val="009769C8"/>
    <w:rsid w:val="00976EAD"/>
    <w:rsid w:val="009864DB"/>
    <w:rsid w:val="0099045C"/>
    <w:rsid w:val="00990FF1"/>
    <w:rsid w:val="009914E5"/>
    <w:rsid w:val="00992022"/>
    <w:rsid w:val="00993D51"/>
    <w:rsid w:val="0099404C"/>
    <w:rsid w:val="009A7CC4"/>
    <w:rsid w:val="009B3C95"/>
    <w:rsid w:val="009B5D53"/>
    <w:rsid w:val="009C0A65"/>
    <w:rsid w:val="009C451A"/>
    <w:rsid w:val="009D2A7C"/>
    <w:rsid w:val="009E4021"/>
    <w:rsid w:val="009F3D86"/>
    <w:rsid w:val="00A00AF3"/>
    <w:rsid w:val="00A11667"/>
    <w:rsid w:val="00A12D85"/>
    <w:rsid w:val="00A16BE5"/>
    <w:rsid w:val="00A25DBA"/>
    <w:rsid w:val="00A63FBC"/>
    <w:rsid w:val="00A71495"/>
    <w:rsid w:val="00A719FC"/>
    <w:rsid w:val="00A73642"/>
    <w:rsid w:val="00A73E1D"/>
    <w:rsid w:val="00A7686D"/>
    <w:rsid w:val="00A92309"/>
    <w:rsid w:val="00AA0200"/>
    <w:rsid w:val="00AA320E"/>
    <w:rsid w:val="00AB74B2"/>
    <w:rsid w:val="00AC2CAF"/>
    <w:rsid w:val="00AC4A28"/>
    <w:rsid w:val="00AF0D6C"/>
    <w:rsid w:val="00B021A8"/>
    <w:rsid w:val="00B02218"/>
    <w:rsid w:val="00B024B1"/>
    <w:rsid w:val="00B03B23"/>
    <w:rsid w:val="00B1288D"/>
    <w:rsid w:val="00B1582B"/>
    <w:rsid w:val="00B254DC"/>
    <w:rsid w:val="00B27579"/>
    <w:rsid w:val="00B3240C"/>
    <w:rsid w:val="00B34A8C"/>
    <w:rsid w:val="00B413E4"/>
    <w:rsid w:val="00B43D5A"/>
    <w:rsid w:val="00B5511E"/>
    <w:rsid w:val="00B55C39"/>
    <w:rsid w:val="00B563DD"/>
    <w:rsid w:val="00B65C8D"/>
    <w:rsid w:val="00B67A74"/>
    <w:rsid w:val="00B83CA6"/>
    <w:rsid w:val="00B8653B"/>
    <w:rsid w:val="00BA09E1"/>
    <w:rsid w:val="00BC1D67"/>
    <w:rsid w:val="00BC1DF7"/>
    <w:rsid w:val="00BC2367"/>
    <w:rsid w:val="00BD75FA"/>
    <w:rsid w:val="00BE3ECE"/>
    <w:rsid w:val="00BE3F60"/>
    <w:rsid w:val="00BE62A1"/>
    <w:rsid w:val="00C02953"/>
    <w:rsid w:val="00C15DE7"/>
    <w:rsid w:val="00C331D8"/>
    <w:rsid w:val="00C44910"/>
    <w:rsid w:val="00C52640"/>
    <w:rsid w:val="00C52FD4"/>
    <w:rsid w:val="00C63FBF"/>
    <w:rsid w:val="00C67310"/>
    <w:rsid w:val="00C77D03"/>
    <w:rsid w:val="00C82B7E"/>
    <w:rsid w:val="00C834B0"/>
    <w:rsid w:val="00C86F7E"/>
    <w:rsid w:val="00C87A9E"/>
    <w:rsid w:val="00C9230D"/>
    <w:rsid w:val="00C96C32"/>
    <w:rsid w:val="00CA1469"/>
    <w:rsid w:val="00CA34A1"/>
    <w:rsid w:val="00CA6389"/>
    <w:rsid w:val="00CB1ADF"/>
    <w:rsid w:val="00CB2E36"/>
    <w:rsid w:val="00CC0B50"/>
    <w:rsid w:val="00CC7D87"/>
    <w:rsid w:val="00CD1DF7"/>
    <w:rsid w:val="00CD5233"/>
    <w:rsid w:val="00CE2A29"/>
    <w:rsid w:val="00D0139C"/>
    <w:rsid w:val="00D0449F"/>
    <w:rsid w:val="00D35CFB"/>
    <w:rsid w:val="00D47EDF"/>
    <w:rsid w:val="00D5485A"/>
    <w:rsid w:val="00DB1497"/>
    <w:rsid w:val="00DD0184"/>
    <w:rsid w:val="00DD0BAE"/>
    <w:rsid w:val="00DD3A05"/>
    <w:rsid w:val="00DE0054"/>
    <w:rsid w:val="00DE0E54"/>
    <w:rsid w:val="00DE48C4"/>
    <w:rsid w:val="00DE5FA7"/>
    <w:rsid w:val="00DF037A"/>
    <w:rsid w:val="00E01442"/>
    <w:rsid w:val="00E103E2"/>
    <w:rsid w:val="00E10CDB"/>
    <w:rsid w:val="00E17B31"/>
    <w:rsid w:val="00E24AF1"/>
    <w:rsid w:val="00E437D0"/>
    <w:rsid w:val="00E6447E"/>
    <w:rsid w:val="00E70FEC"/>
    <w:rsid w:val="00E741CF"/>
    <w:rsid w:val="00E83EAB"/>
    <w:rsid w:val="00E8518E"/>
    <w:rsid w:val="00E94EA4"/>
    <w:rsid w:val="00EA1A11"/>
    <w:rsid w:val="00EB174D"/>
    <w:rsid w:val="00EB5865"/>
    <w:rsid w:val="00ED0792"/>
    <w:rsid w:val="00ED1C9A"/>
    <w:rsid w:val="00ED39FB"/>
    <w:rsid w:val="00EE3B6A"/>
    <w:rsid w:val="00EE482F"/>
    <w:rsid w:val="00EF7155"/>
    <w:rsid w:val="00F13922"/>
    <w:rsid w:val="00F1458C"/>
    <w:rsid w:val="00F16C31"/>
    <w:rsid w:val="00F20A53"/>
    <w:rsid w:val="00F24A30"/>
    <w:rsid w:val="00F40E47"/>
    <w:rsid w:val="00F4626A"/>
    <w:rsid w:val="00F466ED"/>
    <w:rsid w:val="00F5542A"/>
    <w:rsid w:val="00F56B70"/>
    <w:rsid w:val="00F70F6C"/>
    <w:rsid w:val="00F72817"/>
    <w:rsid w:val="00F756A7"/>
    <w:rsid w:val="00F86785"/>
    <w:rsid w:val="00F906AC"/>
    <w:rsid w:val="00F9432B"/>
    <w:rsid w:val="00FC0B4B"/>
    <w:rsid w:val="00FC1784"/>
    <w:rsid w:val="00FE5507"/>
    <w:rsid w:val="00FF1D42"/>
    <w:rsid w:val="01066A48"/>
    <w:rsid w:val="014337F8"/>
    <w:rsid w:val="01487061"/>
    <w:rsid w:val="01761E20"/>
    <w:rsid w:val="01767D1A"/>
    <w:rsid w:val="01993D60"/>
    <w:rsid w:val="01AE15BA"/>
    <w:rsid w:val="01C506B1"/>
    <w:rsid w:val="01D4689F"/>
    <w:rsid w:val="01FC1FFB"/>
    <w:rsid w:val="025739FF"/>
    <w:rsid w:val="029E162E"/>
    <w:rsid w:val="02B26E88"/>
    <w:rsid w:val="02B32C00"/>
    <w:rsid w:val="02B56978"/>
    <w:rsid w:val="02D84414"/>
    <w:rsid w:val="02E45ED5"/>
    <w:rsid w:val="02E55629"/>
    <w:rsid w:val="02EB406C"/>
    <w:rsid w:val="031B2C7F"/>
    <w:rsid w:val="034675D0"/>
    <w:rsid w:val="034A5312"/>
    <w:rsid w:val="03661A20"/>
    <w:rsid w:val="03922815"/>
    <w:rsid w:val="03B1713F"/>
    <w:rsid w:val="03C2134C"/>
    <w:rsid w:val="03CF5817"/>
    <w:rsid w:val="03DF1EFE"/>
    <w:rsid w:val="03EA2651"/>
    <w:rsid w:val="04047185"/>
    <w:rsid w:val="04254188"/>
    <w:rsid w:val="04335DA6"/>
    <w:rsid w:val="04575F38"/>
    <w:rsid w:val="046A6079"/>
    <w:rsid w:val="05047743"/>
    <w:rsid w:val="05065269"/>
    <w:rsid w:val="0523406D"/>
    <w:rsid w:val="0571302A"/>
    <w:rsid w:val="058102E9"/>
    <w:rsid w:val="05A625A8"/>
    <w:rsid w:val="05B253F0"/>
    <w:rsid w:val="05B61871"/>
    <w:rsid w:val="05B94895"/>
    <w:rsid w:val="05ED01D7"/>
    <w:rsid w:val="0629D7E0"/>
    <w:rsid w:val="064435EE"/>
    <w:rsid w:val="06654211"/>
    <w:rsid w:val="06915006"/>
    <w:rsid w:val="06B34F7C"/>
    <w:rsid w:val="06C158EB"/>
    <w:rsid w:val="06D66EBD"/>
    <w:rsid w:val="06F832D7"/>
    <w:rsid w:val="07047ECE"/>
    <w:rsid w:val="0757503C"/>
    <w:rsid w:val="076369A2"/>
    <w:rsid w:val="078057A6"/>
    <w:rsid w:val="07A305E0"/>
    <w:rsid w:val="07C55BC8"/>
    <w:rsid w:val="07C84A57"/>
    <w:rsid w:val="07E3025C"/>
    <w:rsid w:val="07F615C4"/>
    <w:rsid w:val="07FBA3AB"/>
    <w:rsid w:val="08030185"/>
    <w:rsid w:val="085608FD"/>
    <w:rsid w:val="0858402D"/>
    <w:rsid w:val="087D3A94"/>
    <w:rsid w:val="08D16AA8"/>
    <w:rsid w:val="08D37B58"/>
    <w:rsid w:val="08D4742C"/>
    <w:rsid w:val="08D631A4"/>
    <w:rsid w:val="08EC0C19"/>
    <w:rsid w:val="090917CB"/>
    <w:rsid w:val="092B1742"/>
    <w:rsid w:val="093D3223"/>
    <w:rsid w:val="09554A11"/>
    <w:rsid w:val="096F5AD2"/>
    <w:rsid w:val="096F6658"/>
    <w:rsid w:val="097806C3"/>
    <w:rsid w:val="09A92667"/>
    <w:rsid w:val="09B259BF"/>
    <w:rsid w:val="09D673BF"/>
    <w:rsid w:val="09ED2A75"/>
    <w:rsid w:val="09F47D86"/>
    <w:rsid w:val="0A122902"/>
    <w:rsid w:val="0A1C72DC"/>
    <w:rsid w:val="0A283ED3"/>
    <w:rsid w:val="0A3C5E6F"/>
    <w:rsid w:val="0A7D421F"/>
    <w:rsid w:val="0A8E1F88"/>
    <w:rsid w:val="0A981059"/>
    <w:rsid w:val="0AAB0D8C"/>
    <w:rsid w:val="0AE222D4"/>
    <w:rsid w:val="0AED3091"/>
    <w:rsid w:val="0AEE6ECB"/>
    <w:rsid w:val="0AF618DB"/>
    <w:rsid w:val="0B093D05"/>
    <w:rsid w:val="0B094A92"/>
    <w:rsid w:val="0B1F52D6"/>
    <w:rsid w:val="0B41524D"/>
    <w:rsid w:val="0B73117E"/>
    <w:rsid w:val="0B7F4C33"/>
    <w:rsid w:val="0B8B471A"/>
    <w:rsid w:val="0BBC48D3"/>
    <w:rsid w:val="0BCB4B16"/>
    <w:rsid w:val="0BFF2A12"/>
    <w:rsid w:val="0BFFD292"/>
    <w:rsid w:val="0C0258DC"/>
    <w:rsid w:val="0C5910CD"/>
    <w:rsid w:val="0C62191E"/>
    <w:rsid w:val="0C774C9E"/>
    <w:rsid w:val="0C811679"/>
    <w:rsid w:val="0C8C24F7"/>
    <w:rsid w:val="0CA05FA3"/>
    <w:rsid w:val="0CAD246E"/>
    <w:rsid w:val="0CBA3508"/>
    <w:rsid w:val="0CC46135"/>
    <w:rsid w:val="0CE7355D"/>
    <w:rsid w:val="0D1150F2"/>
    <w:rsid w:val="0D7F3E0A"/>
    <w:rsid w:val="0DAE649D"/>
    <w:rsid w:val="0DBF06AB"/>
    <w:rsid w:val="0DE40111"/>
    <w:rsid w:val="0DFF27EE"/>
    <w:rsid w:val="0E082052"/>
    <w:rsid w:val="0E1C3D4F"/>
    <w:rsid w:val="0E35611A"/>
    <w:rsid w:val="0E5D52A8"/>
    <w:rsid w:val="0E601C32"/>
    <w:rsid w:val="0E7D2A40"/>
    <w:rsid w:val="0E9E69EA"/>
    <w:rsid w:val="0EA004DC"/>
    <w:rsid w:val="0EB65F51"/>
    <w:rsid w:val="0EC00B7E"/>
    <w:rsid w:val="0EC87A33"/>
    <w:rsid w:val="0ED62150"/>
    <w:rsid w:val="0EE04D7C"/>
    <w:rsid w:val="0EF40828"/>
    <w:rsid w:val="0F517A28"/>
    <w:rsid w:val="0F746899"/>
    <w:rsid w:val="0F783207"/>
    <w:rsid w:val="0F7F5A4A"/>
    <w:rsid w:val="0F870D5D"/>
    <w:rsid w:val="0FA7589A"/>
    <w:rsid w:val="0FAB538A"/>
    <w:rsid w:val="0FB6A690"/>
    <w:rsid w:val="0FDF2FA2"/>
    <w:rsid w:val="0FDF3286"/>
    <w:rsid w:val="0FE12B5A"/>
    <w:rsid w:val="0FE60171"/>
    <w:rsid w:val="0FEE5277"/>
    <w:rsid w:val="100625C1"/>
    <w:rsid w:val="104B26C9"/>
    <w:rsid w:val="109B44DA"/>
    <w:rsid w:val="10A51DDA"/>
    <w:rsid w:val="10DE52EC"/>
    <w:rsid w:val="1109680C"/>
    <w:rsid w:val="111D4C3B"/>
    <w:rsid w:val="112453F4"/>
    <w:rsid w:val="11423ACC"/>
    <w:rsid w:val="117149CA"/>
    <w:rsid w:val="11904838"/>
    <w:rsid w:val="1191235E"/>
    <w:rsid w:val="119836EC"/>
    <w:rsid w:val="11C664AC"/>
    <w:rsid w:val="11D706B9"/>
    <w:rsid w:val="11EB7CC0"/>
    <w:rsid w:val="122136E2"/>
    <w:rsid w:val="122B7A76"/>
    <w:rsid w:val="12633CFA"/>
    <w:rsid w:val="12723F3D"/>
    <w:rsid w:val="129C0FBA"/>
    <w:rsid w:val="12B66927"/>
    <w:rsid w:val="12CD1ABC"/>
    <w:rsid w:val="131119A8"/>
    <w:rsid w:val="13121385"/>
    <w:rsid w:val="137F7A39"/>
    <w:rsid w:val="13AC347F"/>
    <w:rsid w:val="13B57AD4"/>
    <w:rsid w:val="13C06F2A"/>
    <w:rsid w:val="13C54541"/>
    <w:rsid w:val="13FF5CA5"/>
    <w:rsid w:val="142B6A9A"/>
    <w:rsid w:val="14983A03"/>
    <w:rsid w:val="14A64372"/>
    <w:rsid w:val="14BA613B"/>
    <w:rsid w:val="14DC7D94"/>
    <w:rsid w:val="14EC159B"/>
    <w:rsid w:val="154F4A0A"/>
    <w:rsid w:val="156F0C08"/>
    <w:rsid w:val="15D038D4"/>
    <w:rsid w:val="15DD5B72"/>
    <w:rsid w:val="164107F7"/>
    <w:rsid w:val="166E2DD3"/>
    <w:rsid w:val="16774218"/>
    <w:rsid w:val="16BA5EB3"/>
    <w:rsid w:val="16C3745D"/>
    <w:rsid w:val="16C44F84"/>
    <w:rsid w:val="16CD7454"/>
    <w:rsid w:val="16DE1BA1"/>
    <w:rsid w:val="16F47617"/>
    <w:rsid w:val="16F615E1"/>
    <w:rsid w:val="17000058"/>
    <w:rsid w:val="170B357E"/>
    <w:rsid w:val="171C091C"/>
    <w:rsid w:val="1720665E"/>
    <w:rsid w:val="172F4AF3"/>
    <w:rsid w:val="1732013F"/>
    <w:rsid w:val="17390BAF"/>
    <w:rsid w:val="173F6751"/>
    <w:rsid w:val="17544559"/>
    <w:rsid w:val="17614581"/>
    <w:rsid w:val="179E7583"/>
    <w:rsid w:val="17A70F69"/>
    <w:rsid w:val="17E435E4"/>
    <w:rsid w:val="17EB6EA6"/>
    <w:rsid w:val="17FF2717"/>
    <w:rsid w:val="1817095A"/>
    <w:rsid w:val="1817349B"/>
    <w:rsid w:val="182A7068"/>
    <w:rsid w:val="183028D1"/>
    <w:rsid w:val="184B14B9"/>
    <w:rsid w:val="18561C0B"/>
    <w:rsid w:val="187327BD"/>
    <w:rsid w:val="18733708"/>
    <w:rsid w:val="188C21E4"/>
    <w:rsid w:val="18CB39A2"/>
    <w:rsid w:val="18EE0096"/>
    <w:rsid w:val="192A37C4"/>
    <w:rsid w:val="196F11D7"/>
    <w:rsid w:val="19946FAF"/>
    <w:rsid w:val="19AF7825"/>
    <w:rsid w:val="19F142E2"/>
    <w:rsid w:val="1A1D6E85"/>
    <w:rsid w:val="1A4B26E8"/>
    <w:rsid w:val="1A752095"/>
    <w:rsid w:val="1A7CFE3B"/>
    <w:rsid w:val="1AB05F4B"/>
    <w:rsid w:val="1ABA0C88"/>
    <w:rsid w:val="1AF8344E"/>
    <w:rsid w:val="1B4A3CA9"/>
    <w:rsid w:val="1B589829"/>
    <w:rsid w:val="1B5B5EB7"/>
    <w:rsid w:val="1BB630ED"/>
    <w:rsid w:val="1C0C71B1"/>
    <w:rsid w:val="1C116575"/>
    <w:rsid w:val="1C295FB5"/>
    <w:rsid w:val="1C3109C5"/>
    <w:rsid w:val="1C326E0B"/>
    <w:rsid w:val="1C447E6E"/>
    <w:rsid w:val="1C755930"/>
    <w:rsid w:val="1D2270A1"/>
    <w:rsid w:val="1D322C47"/>
    <w:rsid w:val="1D3C3E7A"/>
    <w:rsid w:val="1D5801D4"/>
    <w:rsid w:val="1D9119DC"/>
    <w:rsid w:val="1DC654DB"/>
    <w:rsid w:val="1DCA4CF5"/>
    <w:rsid w:val="1E1265D5"/>
    <w:rsid w:val="1E14234D"/>
    <w:rsid w:val="1E18678D"/>
    <w:rsid w:val="1E1B7B7F"/>
    <w:rsid w:val="1E2A5713"/>
    <w:rsid w:val="1E3B5B2B"/>
    <w:rsid w:val="1E967D7C"/>
    <w:rsid w:val="1ED85A70"/>
    <w:rsid w:val="1EEA12FF"/>
    <w:rsid w:val="1EF1268E"/>
    <w:rsid w:val="1F5275D0"/>
    <w:rsid w:val="1F6E3CDF"/>
    <w:rsid w:val="1F710EEF"/>
    <w:rsid w:val="1F751511"/>
    <w:rsid w:val="1F770DE5"/>
    <w:rsid w:val="1F971487"/>
    <w:rsid w:val="1FD96CCE"/>
    <w:rsid w:val="1FE83A91"/>
    <w:rsid w:val="1FFAC92F"/>
    <w:rsid w:val="201D4F8F"/>
    <w:rsid w:val="20605D1D"/>
    <w:rsid w:val="210C7C53"/>
    <w:rsid w:val="21240AF9"/>
    <w:rsid w:val="21254871"/>
    <w:rsid w:val="214116AB"/>
    <w:rsid w:val="21AD0AEE"/>
    <w:rsid w:val="21C50DD1"/>
    <w:rsid w:val="21C61BB0"/>
    <w:rsid w:val="21FB3F4F"/>
    <w:rsid w:val="221E379A"/>
    <w:rsid w:val="22350AE4"/>
    <w:rsid w:val="22477195"/>
    <w:rsid w:val="224D22D1"/>
    <w:rsid w:val="224F7DF7"/>
    <w:rsid w:val="22A46395"/>
    <w:rsid w:val="22D4654E"/>
    <w:rsid w:val="22E9024C"/>
    <w:rsid w:val="23152DEF"/>
    <w:rsid w:val="231E41C4"/>
    <w:rsid w:val="232A616E"/>
    <w:rsid w:val="2331574F"/>
    <w:rsid w:val="23694EE9"/>
    <w:rsid w:val="236D2C2B"/>
    <w:rsid w:val="23922691"/>
    <w:rsid w:val="23D26F32"/>
    <w:rsid w:val="23E6478B"/>
    <w:rsid w:val="23EB3B50"/>
    <w:rsid w:val="23F944BF"/>
    <w:rsid w:val="24107A5A"/>
    <w:rsid w:val="2418246B"/>
    <w:rsid w:val="242D23BA"/>
    <w:rsid w:val="24763D61"/>
    <w:rsid w:val="247E6772"/>
    <w:rsid w:val="249D12EE"/>
    <w:rsid w:val="24AE34FB"/>
    <w:rsid w:val="24E24F53"/>
    <w:rsid w:val="24EF141E"/>
    <w:rsid w:val="25070E5D"/>
    <w:rsid w:val="253A4D8F"/>
    <w:rsid w:val="25496D80"/>
    <w:rsid w:val="25672D36"/>
    <w:rsid w:val="25A90276"/>
    <w:rsid w:val="25CD79B1"/>
    <w:rsid w:val="25E20F82"/>
    <w:rsid w:val="26170C2C"/>
    <w:rsid w:val="263519A0"/>
    <w:rsid w:val="263712CE"/>
    <w:rsid w:val="265C0D35"/>
    <w:rsid w:val="26686CBF"/>
    <w:rsid w:val="26803D42"/>
    <w:rsid w:val="26871FB3"/>
    <w:rsid w:val="26BF7926"/>
    <w:rsid w:val="26CD1C32"/>
    <w:rsid w:val="26F40F6D"/>
    <w:rsid w:val="2722776F"/>
    <w:rsid w:val="2736067C"/>
    <w:rsid w:val="273F1B01"/>
    <w:rsid w:val="274E4B21"/>
    <w:rsid w:val="27A110F5"/>
    <w:rsid w:val="27B84691"/>
    <w:rsid w:val="27CDBA57"/>
    <w:rsid w:val="27D72D69"/>
    <w:rsid w:val="27DD5EA5"/>
    <w:rsid w:val="27FF5E1C"/>
    <w:rsid w:val="2810627B"/>
    <w:rsid w:val="283C0E1E"/>
    <w:rsid w:val="285443B9"/>
    <w:rsid w:val="287F438E"/>
    <w:rsid w:val="28A15125"/>
    <w:rsid w:val="28D50F54"/>
    <w:rsid w:val="28E25B39"/>
    <w:rsid w:val="291607CD"/>
    <w:rsid w:val="291E0523"/>
    <w:rsid w:val="292B373B"/>
    <w:rsid w:val="29332221"/>
    <w:rsid w:val="29464CEE"/>
    <w:rsid w:val="297DEFB0"/>
    <w:rsid w:val="29986528"/>
    <w:rsid w:val="29D46E34"/>
    <w:rsid w:val="29FA2D3E"/>
    <w:rsid w:val="2A181417"/>
    <w:rsid w:val="2A1F27A5"/>
    <w:rsid w:val="2A4915D0"/>
    <w:rsid w:val="2A73664D"/>
    <w:rsid w:val="2A7F1496"/>
    <w:rsid w:val="2AA35184"/>
    <w:rsid w:val="2AA9206F"/>
    <w:rsid w:val="2B0D4CF3"/>
    <w:rsid w:val="2B1A4D1A"/>
    <w:rsid w:val="2B2A1401"/>
    <w:rsid w:val="2B481888"/>
    <w:rsid w:val="2B6C5576"/>
    <w:rsid w:val="2B733F06"/>
    <w:rsid w:val="2B966F59"/>
    <w:rsid w:val="2BB94533"/>
    <w:rsid w:val="2BD96984"/>
    <w:rsid w:val="2C210A56"/>
    <w:rsid w:val="2C2B3683"/>
    <w:rsid w:val="2C5F50DB"/>
    <w:rsid w:val="2C8B4122"/>
    <w:rsid w:val="2CAC08A7"/>
    <w:rsid w:val="2D095047"/>
    <w:rsid w:val="2DA60AE7"/>
    <w:rsid w:val="2DBA0EA5"/>
    <w:rsid w:val="2DDF7922"/>
    <w:rsid w:val="2E0221C2"/>
    <w:rsid w:val="2E110657"/>
    <w:rsid w:val="2E3A5DFF"/>
    <w:rsid w:val="2E782484"/>
    <w:rsid w:val="2E8157DC"/>
    <w:rsid w:val="2E8E7EF9"/>
    <w:rsid w:val="2EBC19AC"/>
    <w:rsid w:val="2EBF6C75"/>
    <w:rsid w:val="2EDE2C2F"/>
    <w:rsid w:val="2F5C9CA2"/>
    <w:rsid w:val="2F9EE989"/>
    <w:rsid w:val="2FA21EAE"/>
    <w:rsid w:val="2FBC59D4"/>
    <w:rsid w:val="2FD23E16"/>
    <w:rsid w:val="2FD8767E"/>
    <w:rsid w:val="2FE778C1"/>
    <w:rsid w:val="2FEA5603"/>
    <w:rsid w:val="30275F10"/>
    <w:rsid w:val="302E00A6"/>
    <w:rsid w:val="305D5DD5"/>
    <w:rsid w:val="30696528"/>
    <w:rsid w:val="30896BCA"/>
    <w:rsid w:val="308C2216"/>
    <w:rsid w:val="30AE4883"/>
    <w:rsid w:val="30E402A4"/>
    <w:rsid w:val="311F752F"/>
    <w:rsid w:val="318F1FBE"/>
    <w:rsid w:val="31A57A34"/>
    <w:rsid w:val="31B71515"/>
    <w:rsid w:val="31B77767"/>
    <w:rsid w:val="31BC4D7D"/>
    <w:rsid w:val="31CB6D6E"/>
    <w:rsid w:val="31CC3212"/>
    <w:rsid w:val="31FB58A6"/>
    <w:rsid w:val="31FD161E"/>
    <w:rsid w:val="323A4620"/>
    <w:rsid w:val="32655415"/>
    <w:rsid w:val="32D3237F"/>
    <w:rsid w:val="32DD144F"/>
    <w:rsid w:val="3321133C"/>
    <w:rsid w:val="33423060"/>
    <w:rsid w:val="334B63B9"/>
    <w:rsid w:val="33541CF7"/>
    <w:rsid w:val="335E433E"/>
    <w:rsid w:val="33811DDB"/>
    <w:rsid w:val="33941B0E"/>
    <w:rsid w:val="33A31D51"/>
    <w:rsid w:val="34000F51"/>
    <w:rsid w:val="340053F5"/>
    <w:rsid w:val="340F5638"/>
    <w:rsid w:val="34264730"/>
    <w:rsid w:val="34846DC8"/>
    <w:rsid w:val="34DD1293"/>
    <w:rsid w:val="35103416"/>
    <w:rsid w:val="351A6043"/>
    <w:rsid w:val="352769B2"/>
    <w:rsid w:val="35305866"/>
    <w:rsid w:val="356E638F"/>
    <w:rsid w:val="359C2EFC"/>
    <w:rsid w:val="359E4EC6"/>
    <w:rsid w:val="35CF32D1"/>
    <w:rsid w:val="36341386"/>
    <w:rsid w:val="363B44C3"/>
    <w:rsid w:val="3667350A"/>
    <w:rsid w:val="366C6D72"/>
    <w:rsid w:val="36712414"/>
    <w:rsid w:val="367BFE17"/>
    <w:rsid w:val="36997431"/>
    <w:rsid w:val="36A856CC"/>
    <w:rsid w:val="36AA1648"/>
    <w:rsid w:val="36BB5604"/>
    <w:rsid w:val="36BE6EA2"/>
    <w:rsid w:val="36EF8C68"/>
    <w:rsid w:val="36F154C9"/>
    <w:rsid w:val="36F428E8"/>
    <w:rsid w:val="36F80606"/>
    <w:rsid w:val="3748158D"/>
    <w:rsid w:val="37757EA8"/>
    <w:rsid w:val="37936535"/>
    <w:rsid w:val="37BC5AD7"/>
    <w:rsid w:val="37C370FA"/>
    <w:rsid w:val="37C847BD"/>
    <w:rsid w:val="37D42607"/>
    <w:rsid w:val="37D7646D"/>
    <w:rsid w:val="37E1553E"/>
    <w:rsid w:val="37E56DDC"/>
    <w:rsid w:val="37FA215C"/>
    <w:rsid w:val="381476C1"/>
    <w:rsid w:val="381F1BC2"/>
    <w:rsid w:val="384C16A0"/>
    <w:rsid w:val="38526E65"/>
    <w:rsid w:val="386A46AA"/>
    <w:rsid w:val="387F55C9"/>
    <w:rsid w:val="38887767"/>
    <w:rsid w:val="38B4055C"/>
    <w:rsid w:val="38E47094"/>
    <w:rsid w:val="390E4110"/>
    <w:rsid w:val="391159AF"/>
    <w:rsid w:val="39240A54"/>
    <w:rsid w:val="393671C3"/>
    <w:rsid w:val="39657AA9"/>
    <w:rsid w:val="397523E2"/>
    <w:rsid w:val="398D772B"/>
    <w:rsid w:val="39D215E2"/>
    <w:rsid w:val="39EC6A48"/>
    <w:rsid w:val="39ED01CA"/>
    <w:rsid w:val="39F94DC1"/>
    <w:rsid w:val="3A07612D"/>
    <w:rsid w:val="3A192D6D"/>
    <w:rsid w:val="3A2C7F77"/>
    <w:rsid w:val="3A502507"/>
    <w:rsid w:val="3A614714"/>
    <w:rsid w:val="3A6F06DC"/>
    <w:rsid w:val="3A712BA9"/>
    <w:rsid w:val="3A72247D"/>
    <w:rsid w:val="3A8D375B"/>
    <w:rsid w:val="3A9B7C26"/>
    <w:rsid w:val="3AA70BFD"/>
    <w:rsid w:val="3AD13648"/>
    <w:rsid w:val="3ADE2B14"/>
    <w:rsid w:val="3B2F74E3"/>
    <w:rsid w:val="3B4E2EEA"/>
    <w:rsid w:val="3B6E0E96"/>
    <w:rsid w:val="3B7143D4"/>
    <w:rsid w:val="3B7FD49C"/>
    <w:rsid w:val="3B8406BA"/>
    <w:rsid w:val="3B8E23BB"/>
    <w:rsid w:val="3BA42B0A"/>
    <w:rsid w:val="3BBF5F54"/>
    <w:rsid w:val="3BFB2AD7"/>
    <w:rsid w:val="3C0435A9"/>
    <w:rsid w:val="3C4816E7"/>
    <w:rsid w:val="3C6127A9"/>
    <w:rsid w:val="3C797AF3"/>
    <w:rsid w:val="3C917532"/>
    <w:rsid w:val="3CC7280E"/>
    <w:rsid w:val="3CC78748"/>
    <w:rsid w:val="3CE8111C"/>
    <w:rsid w:val="3CEF6007"/>
    <w:rsid w:val="3CF74EBC"/>
    <w:rsid w:val="3D0870C9"/>
    <w:rsid w:val="3D1B658E"/>
    <w:rsid w:val="3D2008B6"/>
    <w:rsid w:val="3D5F318D"/>
    <w:rsid w:val="3D6F7148"/>
    <w:rsid w:val="3D7384B1"/>
    <w:rsid w:val="3D793B23"/>
    <w:rsid w:val="3D7F92C5"/>
    <w:rsid w:val="3DB17760"/>
    <w:rsid w:val="3DBB51CE"/>
    <w:rsid w:val="3DE1E0E3"/>
    <w:rsid w:val="3DE96EFA"/>
    <w:rsid w:val="3DFA1107"/>
    <w:rsid w:val="3DFFE8DF"/>
    <w:rsid w:val="3E1321C9"/>
    <w:rsid w:val="3E38578C"/>
    <w:rsid w:val="3E574CEA"/>
    <w:rsid w:val="3E5C76CC"/>
    <w:rsid w:val="3E742C68"/>
    <w:rsid w:val="3E7964D0"/>
    <w:rsid w:val="3EBC460F"/>
    <w:rsid w:val="3ED2297F"/>
    <w:rsid w:val="3EDC080D"/>
    <w:rsid w:val="3EDE4585"/>
    <w:rsid w:val="3F0A7128"/>
    <w:rsid w:val="3F12422F"/>
    <w:rsid w:val="3F536D21"/>
    <w:rsid w:val="3F5C54AA"/>
    <w:rsid w:val="3F7A5220"/>
    <w:rsid w:val="3F7DFFD1"/>
    <w:rsid w:val="3F8E7D59"/>
    <w:rsid w:val="3F8F762D"/>
    <w:rsid w:val="3F9410E8"/>
    <w:rsid w:val="3F9D1D4A"/>
    <w:rsid w:val="3FBD419A"/>
    <w:rsid w:val="3FDB0C5B"/>
    <w:rsid w:val="3FDD5243"/>
    <w:rsid w:val="3FDE4C38"/>
    <w:rsid w:val="3FF6120F"/>
    <w:rsid w:val="3FF7E136"/>
    <w:rsid w:val="3FFCA9EB"/>
    <w:rsid w:val="3FFFAAF5"/>
    <w:rsid w:val="402C1320"/>
    <w:rsid w:val="4047615A"/>
    <w:rsid w:val="40610FCA"/>
    <w:rsid w:val="40672358"/>
    <w:rsid w:val="40725A03"/>
    <w:rsid w:val="409C0254"/>
    <w:rsid w:val="40D82ED1"/>
    <w:rsid w:val="40DB73E5"/>
    <w:rsid w:val="40E1035D"/>
    <w:rsid w:val="40F167F2"/>
    <w:rsid w:val="40F63E08"/>
    <w:rsid w:val="418C2076"/>
    <w:rsid w:val="41A25D3E"/>
    <w:rsid w:val="41A575DC"/>
    <w:rsid w:val="41C31810"/>
    <w:rsid w:val="42164036"/>
    <w:rsid w:val="421A3B26"/>
    <w:rsid w:val="42282FC7"/>
    <w:rsid w:val="423A41C8"/>
    <w:rsid w:val="428216CB"/>
    <w:rsid w:val="428E62C2"/>
    <w:rsid w:val="429A07C3"/>
    <w:rsid w:val="42B9333F"/>
    <w:rsid w:val="42DA5063"/>
    <w:rsid w:val="430345BA"/>
    <w:rsid w:val="432033BE"/>
    <w:rsid w:val="43234C5C"/>
    <w:rsid w:val="43370708"/>
    <w:rsid w:val="434F416E"/>
    <w:rsid w:val="438356FB"/>
    <w:rsid w:val="438A4CDB"/>
    <w:rsid w:val="43B835F7"/>
    <w:rsid w:val="43BB30E7"/>
    <w:rsid w:val="43D321DE"/>
    <w:rsid w:val="43EF7FAE"/>
    <w:rsid w:val="43F14D5A"/>
    <w:rsid w:val="43FFF4E1"/>
    <w:rsid w:val="44312A51"/>
    <w:rsid w:val="44953938"/>
    <w:rsid w:val="44CD39A8"/>
    <w:rsid w:val="44D426B2"/>
    <w:rsid w:val="44EC107E"/>
    <w:rsid w:val="45240818"/>
    <w:rsid w:val="452D591E"/>
    <w:rsid w:val="453A628D"/>
    <w:rsid w:val="455530C7"/>
    <w:rsid w:val="456A0921"/>
    <w:rsid w:val="45723C79"/>
    <w:rsid w:val="45760E21"/>
    <w:rsid w:val="45857508"/>
    <w:rsid w:val="458A2D71"/>
    <w:rsid w:val="45A55B9B"/>
    <w:rsid w:val="463E3B5B"/>
    <w:rsid w:val="466C691A"/>
    <w:rsid w:val="467531B7"/>
    <w:rsid w:val="467E600C"/>
    <w:rsid w:val="468123C6"/>
    <w:rsid w:val="46826C09"/>
    <w:rsid w:val="46C36D3C"/>
    <w:rsid w:val="46DF1FDA"/>
    <w:rsid w:val="471C5C4A"/>
    <w:rsid w:val="47215957"/>
    <w:rsid w:val="47797541"/>
    <w:rsid w:val="478C7274"/>
    <w:rsid w:val="47BC742D"/>
    <w:rsid w:val="47C14A44"/>
    <w:rsid w:val="484C255F"/>
    <w:rsid w:val="48531B40"/>
    <w:rsid w:val="4856518C"/>
    <w:rsid w:val="48DF5182"/>
    <w:rsid w:val="48DF6834"/>
    <w:rsid w:val="48E1714C"/>
    <w:rsid w:val="48EB7DE5"/>
    <w:rsid w:val="48EC3D42"/>
    <w:rsid w:val="48FA1FBB"/>
    <w:rsid w:val="491D214E"/>
    <w:rsid w:val="49415E3C"/>
    <w:rsid w:val="495C2C76"/>
    <w:rsid w:val="49667651"/>
    <w:rsid w:val="496B2EB9"/>
    <w:rsid w:val="49816239"/>
    <w:rsid w:val="49C5081B"/>
    <w:rsid w:val="49D15412"/>
    <w:rsid w:val="49DF11B1"/>
    <w:rsid w:val="49ECFA9A"/>
    <w:rsid w:val="49F42EAF"/>
    <w:rsid w:val="4A062BE2"/>
    <w:rsid w:val="4A201EF6"/>
    <w:rsid w:val="4A25750C"/>
    <w:rsid w:val="4A315EB1"/>
    <w:rsid w:val="4A365275"/>
    <w:rsid w:val="4A594710"/>
    <w:rsid w:val="4A897A9B"/>
    <w:rsid w:val="4A930919"/>
    <w:rsid w:val="4A9F72BE"/>
    <w:rsid w:val="4AA448D5"/>
    <w:rsid w:val="4AB4263E"/>
    <w:rsid w:val="4AFA62A3"/>
    <w:rsid w:val="4B047121"/>
    <w:rsid w:val="4B2477C4"/>
    <w:rsid w:val="4B6422B6"/>
    <w:rsid w:val="4BA83F51"/>
    <w:rsid w:val="4BEE392E"/>
    <w:rsid w:val="4C043151"/>
    <w:rsid w:val="4C2537F3"/>
    <w:rsid w:val="4C4C5224"/>
    <w:rsid w:val="4C523EBC"/>
    <w:rsid w:val="4C7B78B7"/>
    <w:rsid w:val="4C854292"/>
    <w:rsid w:val="4C9170DB"/>
    <w:rsid w:val="4C9E7102"/>
    <w:rsid w:val="4CCC3C6F"/>
    <w:rsid w:val="4CE27936"/>
    <w:rsid w:val="4D021D86"/>
    <w:rsid w:val="4D477799"/>
    <w:rsid w:val="4D4E28D6"/>
    <w:rsid w:val="4D6420F9"/>
    <w:rsid w:val="4DC54B29"/>
    <w:rsid w:val="4DCF7EBB"/>
    <w:rsid w:val="4DD112ED"/>
    <w:rsid w:val="4DE35714"/>
    <w:rsid w:val="4E147DBD"/>
    <w:rsid w:val="4E192EE4"/>
    <w:rsid w:val="4E223559"/>
    <w:rsid w:val="4E2C2A55"/>
    <w:rsid w:val="4E345F70"/>
    <w:rsid w:val="4E3917D8"/>
    <w:rsid w:val="4E395AFB"/>
    <w:rsid w:val="4E7D7287"/>
    <w:rsid w:val="4E8640D4"/>
    <w:rsid w:val="4E984750"/>
    <w:rsid w:val="4E9B1B4B"/>
    <w:rsid w:val="4EB64BD7"/>
    <w:rsid w:val="4EBB3BAA"/>
    <w:rsid w:val="4EC015B1"/>
    <w:rsid w:val="4F02606E"/>
    <w:rsid w:val="4F251D5C"/>
    <w:rsid w:val="4F7DEBEB"/>
    <w:rsid w:val="4F905428"/>
    <w:rsid w:val="4FC44B7E"/>
    <w:rsid w:val="4FCC3F86"/>
    <w:rsid w:val="4FF72D1B"/>
    <w:rsid w:val="4FFBEFC6"/>
    <w:rsid w:val="500A3750"/>
    <w:rsid w:val="50527F16"/>
    <w:rsid w:val="50761340"/>
    <w:rsid w:val="50AF5D81"/>
    <w:rsid w:val="50BE5FC4"/>
    <w:rsid w:val="50C25AB5"/>
    <w:rsid w:val="50EA0B67"/>
    <w:rsid w:val="50EC5B1B"/>
    <w:rsid w:val="50F11EF6"/>
    <w:rsid w:val="50F43794"/>
    <w:rsid w:val="5127759F"/>
    <w:rsid w:val="512F6EC2"/>
    <w:rsid w:val="513055BA"/>
    <w:rsid w:val="514069D9"/>
    <w:rsid w:val="51646B6C"/>
    <w:rsid w:val="518E5997"/>
    <w:rsid w:val="51915487"/>
    <w:rsid w:val="519F7BA4"/>
    <w:rsid w:val="51AE7DE7"/>
    <w:rsid w:val="51F83758"/>
    <w:rsid w:val="51F85506"/>
    <w:rsid w:val="52036385"/>
    <w:rsid w:val="5246001F"/>
    <w:rsid w:val="528F19C6"/>
    <w:rsid w:val="5294522F"/>
    <w:rsid w:val="52946FDD"/>
    <w:rsid w:val="52B4767F"/>
    <w:rsid w:val="52BE405A"/>
    <w:rsid w:val="52BF2807"/>
    <w:rsid w:val="52C637B6"/>
    <w:rsid w:val="52CA29FF"/>
    <w:rsid w:val="52CF1805"/>
    <w:rsid w:val="5338205E"/>
    <w:rsid w:val="53760DD8"/>
    <w:rsid w:val="537FD172"/>
    <w:rsid w:val="53807561"/>
    <w:rsid w:val="538B51AE"/>
    <w:rsid w:val="53BC6137"/>
    <w:rsid w:val="53D17DBD"/>
    <w:rsid w:val="53D57297"/>
    <w:rsid w:val="53F023ED"/>
    <w:rsid w:val="54447157"/>
    <w:rsid w:val="5449029B"/>
    <w:rsid w:val="54490586"/>
    <w:rsid w:val="5472334E"/>
    <w:rsid w:val="5486329D"/>
    <w:rsid w:val="54C3004D"/>
    <w:rsid w:val="54DB5397"/>
    <w:rsid w:val="54F621D1"/>
    <w:rsid w:val="54FB2A84"/>
    <w:rsid w:val="55482300"/>
    <w:rsid w:val="554B78D9"/>
    <w:rsid w:val="554E3DBB"/>
    <w:rsid w:val="55A0213D"/>
    <w:rsid w:val="55C7591B"/>
    <w:rsid w:val="55E71B19"/>
    <w:rsid w:val="55F9236F"/>
    <w:rsid w:val="56464A92"/>
    <w:rsid w:val="566FFAC0"/>
    <w:rsid w:val="56A874FB"/>
    <w:rsid w:val="56AD0C13"/>
    <w:rsid w:val="56DFFD2D"/>
    <w:rsid w:val="56FC4D7D"/>
    <w:rsid w:val="56FF50F6"/>
    <w:rsid w:val="57415259"/>
    <w:rsid w:val="57776ECD"/>
    <w:rsid w:val="57F34F37"/>
    <w:rsid w:val="57FC0EDB"/>
    <w:rsid w:val="580544D9"/>
    <w:rsid w:val="58156E12"/>
    <w:rsid w:val="583628E4"/>
    <w:rsid w:val="584B2834"/>
    <w:rsid w:val="5866141B"/>
    <w:rsid w:val="58696146"/>
    <w:rsid w:val="586E6522"/>
    <w:rsid w:val="58BF6DE6"/>
    <w:rsid w:val="58CF5213"/>
    <w:rsid w:val="58EFF833"/>
    <w:rsid w:val="58FA6008"/>
    <w:rsid w:val="59154BEF"/>
    <w:rsid w:val="59282B75"/>
    <w:rsid w:val="592D1F39"/>
    <w:rsid w:val="594A6647"/>
    <w:rsid w:val="59613991"/>
    <w:rsid w:val="596B5787"/>
    <w:rsid w:val="598F04FE"/>
    <w:rsid w:val="59B9269D"/>
    <w:rsid w:val="59E940B2"/>
    <w:rsid w:val="59FB55E7"/>
    <w:rsid w:val="59FD190B"/>
    <w:rsid w:val="5A0233C6"/>
    <w:rsid w:val="5A795638"/>
    <w:rsid w:val="5A865DA5"/>
    <w:rsid w:val="5AB67D0C"/>
    <w:rsid w:val="5ACE7365"/>
    <w:rsid w:val="5AD14B46"/>
    <w:rsid w:val="5B5639C9"/>
    <w:rsid w:val="5B72A9B1"/>
    <w:rsid w:val="5B9C33A6"/>
    <w:rsid w:val="5BA34735"/>
    <w:rsid w:val="5BCA3A6F"/>
    <w:rsid w:val="5C2C0286"/>
    <w:rsid w:val="5C313AEE"/>
    <w:rsid w:val="5C34538D"/>
    <w:rsid w:val="5C6E6AF1"/>
    <w:rsid w:val="5C7C59C9"/>
    <w:rsid w:val="5CA40764"/>
    <w:rsid w:val="5CB87D6C"/>
    <w:rsid w:val="5CBA7F88"/>
    <w:rsid w:val="5CDF2734"/>
    <w:rsid w:val="5D0B07E3"/>
    <w:rsid w:val="5D3E4A43"/>
    <w:rsid w:val="5D495D2E"/>
    <w:rsid w:val="5D521F6E"/>
    <w:rsid w:val="5D5B0100"/>
    <w:rsid w:val="5DB3374D"/>
    <w:rsid w:val="5DC42740"/>
    <w:rsid w:val="5DDE5962"/>
    <w:rsid w:val="5DF1723D"/>
    <w:rsid w:val="5E05172A"/>
    <w:rsid w:val="5E1B1E5F"/>
    <w:rsid w:val="5E3BB586"/>
    <w:rsid w:val="5E4623D8"/>
    <w:rsid w:val="5E660D75"/>
    <w:rsid w:val="5E7824E9"/>
    <w:rsid w:val="5E820631"/>
    <w:rsid w:val="5E8343A9"/>
    <w:rsid w:val="5E96232F"/>
    <w:rsid w:val="5E9EE6AB"/>
    <w:rsid w:val="5EBD78BB"/>
    <w:rsid w:val="5ECE3876"/>
    <w:rsid w:val="5ED7953E"/>
    <w:rsid w:val="5ED9F3F4"/>
    <w:rsid w:val="5EEC1F4F"/>
    <w:rsid w:val="5EF7D2B9"/>
    <w:rsid w:val="5F045E54"/>
    <w:rsid w:val="5F076D88"/>
    <w:rsid w:val="5F2D4A41"/>
    <w:rsid w:val="5F4104EC"/>
    <w:rsid w:val="5F45327F"/>
    <w:rsid w:val="5F6441DB"/>
    <w:rsid w:val="5F6E6E08"/>
    <w:rsid w:val="5F724B4A"/>
    <w:rsid w:val="5F744410"/>
    <w:rsid w:val="5F7C32D2"/>
    <w:rsid w:val="5F7D06A2"/>
    <w:rsid w:val="5F824661"/>
    <w:rsid w:val="5F93EB03"/>
    <w:rsid w:val="5F9E149B"/>
    <w:rsid w:val="5F9FBB9D"/>
    <w:rsid w:val="5FBFD8AD"/>
    <w:rsid w:val="5FCFC4DD"/>
    <w:rsid w:val="5FDA624B"/>
    <w:rsid w:val="5FE3E45B"/>
    <w:rsid w:val="5FE7C861"/>
    <w:rsid w:val="5FEF1EC7"/>
    <w:rsid w:val="5FEFF11F"/>
    <w:rsid w:val="5FF436B2"/>
    <w:rsid w:val="5FF75CF9"/>
    <w:rsid w:val="5FFAA0A3"/>
    <w:rsid w:val="5FFF4F35"/>
    <w:rsid w:val="60003F04"/>
    <w:rsid w:val="600734E4"/>
    <w:rsid w:val="600F4147"/>
    <w:rsid w:val="601E25DC"/>
    <w:rsid w:val="602A71D2"/>
    <w:rsid w:val="604E1113"/>
    <w:rsid w:val="60695F4D"/>
    <w:rsid w:val="60DA29A7"/>
    <w:rsid w:val="60DB227B"/>
    <w:rsid w:val="6110461A"/>
    <w:rsid w:val="611F485D"/>
    <w:rsid w:val="616A054D"/>
    <w:rsid w:val="618B5887"/>
    <w:rsid w:val="61A134C4"/>
    <w:rsid w:val="61A46B11"/>
    <w:rsid w:val="61A62889"/>
    <w:rsid w:val="61A94127"/>
    <w:rsid w:val="61BE5E24"/>
    <w:rsid w:val="61F96E5C"/>
    <w:rsid w:val="620510C1"/>
    <w:rsid w:val="62061579"/>
    <w:rsid w:val="620F48D2"/>
    <w:rsid w:val="621719D8"/>
    <w:rsid w:val="623F6839"/>
    <w:rsid w:val="6253425A"/>
    <w:rsid w:val="62536B6F"/>
    <w:rsid w:val="6268733A"/>
    <w:rsid w:val="62A212A2"/>
    <w:rsid w:val="62B0343B"/>
    <w:rsid w:val="62B80AC5"/>
    <w:rsid w:val="62F04D4A"/>
    <w:rsid w:val="62F154D7"/>
    <w:rsid w:val="62F31AFE"/>
    <w:rsid w:val="6324208D"/>
    <w:rsid w:val="63416D0D"/>
    <w:rsid w:val="63520F1A"/>
    <w:rsid w:val="635A392B"/>
    <w:rsid w:val="636336E6"/>
    <w:rsid w:val="63962FCB"/>
    <w:rsid w:val="63A70B3A"/>
    <w:rsid w:val="63BA086D"/>
    <w:rsid w:val="63C761C6"/>
    <w:rsid w:val="63F320B0"/>
    <w:rsid w:val="63F7561D"/>
    <w:rsid w:val="63FF724A"/>
    <w:rsid w:val="6445282D"/>
    <w:rsid w:val="64547F6B"/>
    <w:rsid w:val="645A5DA2"/>
    <w:rsid w:val="6477050C"/>
    <w:rsid w:val="64803865"/>
    <w:rsid w:val="648A46E4"/>
    <w:rsid w:val="648B3FB8"/>
    <w:rsid w:val="64A55079"/>
    <w:rsid w:val="64D12312"/>
    <w:rsid w:val="64DB6CED"/>
    <w:rsid w:val="64EC4A56"/>
    <w:rsid w:val="650F6997"/>
    <w:rsid w:val="65110961"/>
    <w:rsid w:val="65F242EE"/>
    <w:rsid w:val="66095BF9"/>
    <w:rsid w:val="66B861BB"/>
    <w:rsid w:val="66E44601"/>
    <w:rsid w:val="66E83943"/>
    <w:rsid w:val="671958AB"/>
    <w:rsid w:val="672030DD"/>
    <w:rsid w:val="67216FCE"/>
    <w:rsid w:val="673426E5"/>
    <w:rsid w:val="6735BA53"/>
    <w:rsid w:val="67362901"/>
    <w:rsid w:val="67650AF0"/>
    <w:rsid w:val="67750393"/>
    <w:rsid w:val="678F3DBF"/>
    <w:rsid w:val="679D028A"/>
    <w:rsid w:val="67AC2BC3"/>
    <w:rsid w:val="67B7D095"/>
    <w:rsid w:val="67BC2E06"/>
    <w:rsid w:val="67BD26DA"/>
    <w:rsid w:val="67BE4809"/>
    <w:rsid w:val="67D839B8"/>
    <w:rsid w:val="67E3875D"/>
    <w:rsid w:val="67E589DF"/>
    <w:rsid w:val="67E6F038"/>
    <w:rsid w:val="67FB3202"/>
    <w:rsid w:val="681F3395"/>
    <w:rsid w:val="683C3F47"/>
    <w:rsid w:val="68623877"/>
    <w:rsid w:val="68A35D74"/>
    <w:rsid w:val="68DC4DE2"/>
    <w:rsid w:val="68E61D91"/>
    <w:rsid w:val="68F62348"/>
    <w:rsid w:val="691B3B5C"/>
    <w:rsid w:val="6945507D"/>
    <w:rsid w:val="697D4817"/>
    <w:rsid w:val="698931BC"/>
    <w:rsid w:val="69A519D1"/>
    <w:rsid w:val="69FFCBDC"/>
    <w:rsid w:val="6A0740E0"/>
    <w:rsid w:val="6A1A2066"/>
    <w:rsid w:val="6A220F1A"/>
    <w:rsid w:val="6A4D661F"/>
    <w:rsid w:val="6A5C61DA"/>
    <w:rsid w:val="6A5F61F1"/>
    <w:rsid w:val="6A7D43A3"/>
    <w:rsid w:val="6A9040D6"/>
    <w:rsid w:val="6A94006A"/>
    <w:rsid w:val="6A95793E"/>
    <w:rsid w:val="6AB029CA"/>
    <w:rsid w:val="6AE663EC"/>
    <w:rsid w:val="6B0F30CE"/>
    <w:rsid w:val="6B1C1E0E"/>
    <w:rsid w:val="6B721A2E"/>
    <w:rsid w:val="6B7D0AFE"/>
    <w:rsid w:val="6B7F2A5C"/>
    <w:rsid w:val="6B824366"/>
    <w:rsid w:val="6BA53BB1"/>
    <w:rsid w:val="6BB7ED0C"/>
    <w:rsid w:val="6BCD7DC3"/>
    <w:rsid w:val="6BD36970"/>
    <w:rsid w:val="6BF15048"/>
    <w:rsid w:val="6BF72238"/>
    <w:rsid w:val="6C022DB1"/>
    <w:rsid w:val="6C6B4DFB"/>
    <w:rsid w:val="6C7F395F"/>
    <w:rsid w:val="6CB85320"/>
    <w:rsid w:val="6CDC3E6D"/>
    <w:rsid w:val="6CF3094C"/>
    <w:rsid w:val="6CF92406"/>
    <w:rsid w:val="6CFF4470"/>
    <w:rsid w:val="6D205BE5"/>
    <w:rsid w:val="6D325918"/>
    <w:rsid w:val="6D3F1AAE"/>
    <w:rsid w:val="6D4573FA"/>
    <w:rsid w:val="6D6105B3"/>
    <w:rsid w:val="6D6A50B2"/>
    <w:rsid w:val="6D6F4477"/>
    <w:rsid w:val="6D761CA9"/>
    <w:rsid w:val="6D8C0530"/>
    <w:rsid w:val="6D9405CE"/>
    <w:rsid w:val="6D965EA7"/>
    <w:rsid w:val="6D9B2403"/>
    <w:rsid w:val="6DA34120"/>
    <w:rsid w:val="6DAE525F"/>
    <w:rsid w:val="6DEF3809"/>
    <w:rsid w:val="6DEFECBD"/>
    <w:rsid w:val="6DF57072"/>
    <w:rsid w:val="6DFDDCCA"/>
    <w:rsid w:val="6DFDEC81"/>
    <w:rsid w:val="6E0A23F1"/>
    <w:rsid w:val="6E0D4393"/>
    <w:rsid w:val="6E146DCC"/>
    <w:rsid w:val="6E22598D"/>
    <w:rsid w:val="6E2A4841"/>
    <w:rsid w:val="6E337B9A"/>
    <w:rsid w:val="6E9F6FDD"/>
    <w:rsid w:val="6EA6036C"/>
    <w:rsid w:val="6EAE0FCF"/>
    <w:rsid w:val="6EBD65CB"/>
    <w:rsid w:val="6ED44D6D"/>
    <w:rsid w:val="6EDF2966"/>
    <w:rsid w:val="6EE175F6"/>
    <w:rsid w:val="6EEF3AA1"/>
    <w:rsid w:val="6EF56BFD"/>
    <w:rsid w:val="6EF64E65"/>
    <w:rsid w:val="6EFD081D"/>
    <w:rsid w:val="6F143DC6"/>
    <w:rsid w:val="6F2A6A6D"/>
    <w:rsid w:val="6F5E6953"/>
    <w:rsid w:val="6F631DB9"/>
    <w:rsid w:val="6F742218"/>
    <w:rsid w:val="6FCF6886"/>
    <w:rsid w:val="6FD42CB7"/>
    <w:rsid w:val="6FE949B4"/>
    <w:rsid w:val="6FF6DE87"/>
    <w:rsid w:val="6FFF154A"/>
    <w:rsid w:val="7000585A"/>
    <w:rsid w:val="700A492A"/>
    <w:rsid w:val="708564FF"/>
    <w:rsid w:val="70BA00FF"/>
    <w:rsid w:val="70E37655"/>
    <w:rsid w:val="7115215A"/>
    <w:rsid w:val="71347EB1"/>
    <w:rsid w:val="71520337"/>
    <w:rsid w:val="718A7AD1"/>
    <w:rsid w:val="718B55F7"/>
    <w:rsid w:val="71C225C6"/>
    <w:rsid w:val="71D422B7"/>
    <w:rsid w:val="71D451F0"/>
    <w:rsid w:val="71F94C57"/>
    <w:rsid w:val="72062ED0"/>
    <w:rsid w:val="720D425E"/>
    <w:rsid w:val="724E63C6"/>
    <w:rsid w:val="72563E57"/>
    <w:rsid w:val="72902216"/>
    <w:rsid w:val="729C1592"/>
    <w:rsid w:val="72EB0A43"/>
    <w:rsid w:val="72F643C4"/>
    <w:rsid w:val="731109BF"/>
    <w:rsid w:val="732301DD"/>
    <w:rsid w:val="732D10AA"/>
    <w:rsid w:val="73340CE6"/>
    <w:rsid w:val="733C4DFB"/>
    <w:rsid w:val="73577E87"/>
    <w:rsid w:val="736425A4"/>
    <w:rsid w:val="73700F48"/>
    <w:rsid w:val="737E5413"/>
    <w:rsid w:val="7392667F"/>
    <w:rsid w:val="73CF5B6F"/>
    <w:rsid w:val="73D414D7"/>
    <w:rsid w:val="73D74B24"/>
    <w:rsid w:val="73D76368"/>
    <w:rsid w:val="73E744A1"/>
    <w:rsid w:val="73E963F6"/>
    <w:rsid w:val="73F3FF81"/>
    <w:rsid w:val="73FF7A55"/>
    <w:rsid w:val="74035919"/>
    <w:rsid w:val="741E6BF6"/>
    <w:rsid w:val="742F4960"/>
    <w:rsid w:val="744A1799"/>
    <w:rsid w:val="7452064E"/>
    <w:rsid w:val="7460720F"/>
    <w:rsid w:val="747131CA"/>
    <w:rsid w:val="74746816"/>
    <w:rsid w:val="747FF520"/>
    <w:rsid w:val="749B0247"/>
    <w:rsid w:val="74A72312"/>
    <w:rsid w:val="74D3353D"/>
    <w:rsid w:val="74F71921"/>
    <w:rsid w:val="75114065"/>
    <w:rsid w:val="751C1388"/>
    <w:rsid w:val="753E49D3"/>
    <w:rsid w:val="75662603"/>
    <w:rsid w:val="75680129"/>
    <w:rsid w:val="758E56B6"/>
    <w:rsid w:val="75BA1B1E"/>
    <w:rsid w:val="75DBC312"/>
    <w:rsid w:val="75DC0B17"/>
    <w:rsid w:val="75EF7D8D"/>
    <w:rsid w:val="75FF770A"/>
    <w:rsid w:val="76051E1C"/>
    <w:rsid w:val="76067942"/>
    <w:rsid w:val="7635A543"/>
    <w:rsid w:val="76375D4D"/>
    <w:rsid w:val="76562678"/>
    <w:rsid w:val="768371E5"/>
    <w:rsid w:val="76B8EF19"/>
    <w:rsid w:val="76BE390A"/>
    <w:rsid w:val="76BE6D2C"/>
    <w:rsid w:val="76BF1F8C"/>
    <w:rsid w:val="76EBE526"/>
    <w:rsid w:val="76F7C778"/>
    <w:rsid w:val="7722255A"/>
    <w:rsid w:val="775D02F8"/>
    <w:rsid w:val="776668EA"/>
    <w:rsid w:val="779F3BAA"/>
    <w:rsid w:val="77AF64E3"/>
    <w:rsid w:val="77AFE23C"/>
    <w:rsid w:val="77C17FC5"/>
    <w:rsid w:val="77F469AF"/>
    <w:rsid w:val="77FF1B48"/>
    <w:rsid w:val="77FF30FB"/>
    <w:rsid w:val="77FF49EB"/>
    <w:rsid w:val="78191BAF"/>
    <w:rsid w:val="783E1615"/>
    <w:rsid w:val="787D213D"/>
    <w:rsid w:val="78935F5B"/>
    <w:rsid w:val="78A4A9C4"/>
    <w:rsid w:val="78CC4806"/>
    <w:rsid w:val="78E1137D"/>
    <w:rsid w:val="78F20FEA"/>
    <w:rsid w:val="79053EE1"/>
    <w:rsid w:val="79393B8B"/>
    <w:rsid w:val="794C6296"/>
    <w:rsid w:val="79607369"/>
    <w:rsid w:val="796706F8"/>
    <w:rsid w:val="79711576"/>
    <w:rsid w:val="798474FC"/>
    <w:rsid w:val="799D236B"/>
    <w:rsid w:val="79B24069"/>
    <w:rsid w:val="79B778D1"/>
    <w:rsid w:val="79C36276"/>
    <w:rsid w:val="79CEBD16"/>
    <w:rsid w:val="79D33FDF"/>
    <w:rsid w:val="79DD5453"/>
    <w:rsid w:val="79ED9276"/>
    <w:rsid w:val="79FF9B0E"/>
    <w:rsid w:val="7A287E87"/>
    <w:rsid w:val="7A3C3932"/>
    <w:rsid w:val="7A513882"/>
    <w:rsid w:val="7AAA11E4"/>
    <w:rsid w:val="7AB52AF4"/>
    <w:rsid w:val="7ADE0E8D"/>
    <w:rsid w:val="7AE244DA"/>
    <w:rsid w:val="7AF1296F"/>
    <w:rsid w:val="7AF366E7"/>
    <w:rsid w:val="7AF661D7"/>
    <w:rsid w:val="7AF7B845"/>
    <w:rsid w:val="7AFA9497"/>
    <w:rsid w:val="7AFB5088"/>
    <w:rsid w:val="7B0C59FB"/>
    <w:rsid w:val="7B101CDA"/>
    <w:rsid w:val="7B113011"/>
    <w:rsid w:val="7B242D44"/>
    <w:rsid w:val="7B292109"/>
    <w:rsid w:val="7B340AAD"/>
    <w:rsid w:val="7B3615F8"/>
    <w:rsid w:val="7B533629"/>
    <w:rsid w:val="7B7A2964"/>
    <w:rsid w:val="7B9AC9AB"/>
    <w:rsid w:val="7BAA0CB3"/>
    <w:rsid w:val="7BAB5214"/>
    <w:rsid w:val="7BC57958"/>
    <w:rsid w:val="7BD77B2C"/>
    <w:rsid w:val="7BEE84E4"/>
    <w:rsid w:val="7BF669ED"/>
    <w:rsid w:val="7BFBC854"/>
    <w:rsid w:val="7BFD3595"/>
    <w:rsid w:val="7BFD9A66"/>
    <w:rsid w:val="7BFF097E"/>
    <w:rsid w:val="7BFFD2FD"/>
    <w:rsid w:val="7C172980"/>
    <w:rsid w:val="7C174657"/>
    <w:rsid w:val="7C2B0102"/>
    <w:rsid w:val="7C32323F"/>
    <w:rsid w:val="7C5F1B5A"/>
    <w:rsid w:val="7C63789C"/>
    <w:rsid w:val="7C737CBF"/>
    <w:rsid w:val="7C7A4BE6"/>
    <w:rsid w:val="7CAE0EB9"/>
    <w:rsid w:val="7CB023B6"/>
    <w:rsid w:val="7CDB5F34"/>
    <w:rsid w:val="7D1F7C67"/>
    <w:rsid w:val="7D230DDA"/>
    <w:rsid w:val="7D324C54"/>
    <w:rsid w:val="7D5B67C5"/>
    <w:rsid w:val="7D6D41F8"/>
    <w:rsid w:val="7D700863"/>
    <w:rsid w:val="7D71E12B"/>
    <w:rsid w:val="7D761851"/>
    <w:rsid w:val="7D7F24B4"/>
    <w:rsid w:val="7D7F355E"/>
    <w:rsid w:val="7D7FE15B"/>
    <w:rsid w:val="7D8D19CE"/>
    <w:rsid w:val="7D8E6B9B"/>
    <w:rsid w:val="7D9EE4A2"/>
    <w:rsid w:val="7DAA5057"/>
    <w:rsid w:val="7DBF6D54"/>
    <w:rsid w:val="7DE467BB"/>
    <w:rsid w:val="7DEE7639"/>
    <w:rsid w:val="7DF870B2"/>
    <w:rsid w:val="7DFD50E9"/>
    <w:rsid w:val="7E0806FB"/>
    <w:rsid w:val="7E0C7AC0"/>
    <w:rsid w:val="7E1D3A7B"/>
    <w:rsid w:val="7E461224"/>
    <w:rsid w:val="7E483B78"/>
    <w:rsid w:val="7E4B91EF"/>
    <w:rsid w:val="7E521976"/>
    <w:rsid w:val="7E7A3F46"/>
    <w:rsid w:val="7E7DA075"/>
    <w:rsid w:val="7EBDED24"/>
    <w:rsid w:val="7EDB71B3"/>
    <w:rsid w:val="7EDE76AE"/>
    <w:rsid w:val="7EDF7DD0"/>
    <w:rsid w:val="7EDFEE0E"/>
    <w:rsid w:val="7EE115EE"/>
    <w:rsid w:val="7EED41ED"/>
    <w:rsid w:val="7EF7E1E3"/>
    <w:rsid w:val="7F0709B3"/>
    <w:rsid w:val="7F2D3ABC"/>
    <w:rsid w:val="7F37505A"/>
    <w:rsid w:val="7F4734A5"/>
    <w:rsid w:val="7F511C2E"/>
    <w:rsid w:val="7F606315"/>
    <w:rsid w:val="7F73708F"/>
    <w:rsid w:val="7F77AEBC"/>
    <w:rsid w:val="7F7A1B59"/>
    <w:rsid w:val="7F7BEFC6"/>
    <w:rsid w:val="7F7EAD61"/>
    <w:rsid w:val="7F8B1193"/>
    <w:rsid w:val="7F9D30C5"/>
    <w:rsid w:val="7F9EC0FE"/>
    <w:rsid w:val="7F9FE364"/>
    <w:rsid w:val="7FA7EF33"/>
    <w:rsid w:val="7FB58710"/>
    <w:rsid w:val="7FBA6FDE"/>
    <w:rsid w:val="7FBAE269"/>
    <w:rsid w:val="7FBB07C2"/>
    <w:rsid w:val="7FBBAFD2"/>
    <w:rsid w:val="7FBF8FE4"/>
    <w:rsid w:val="7FC00B62"/>
    <w:rsid w:val="7FDA88DC"/>
    <w:rsid w:val="7FDB0691"/>
    <w:rsid w:val="7FDB598E"/>
    <w:rsid w:val="7FDDAC1A"/>
    <w:rsid w:val="7FE3AF9B"/>
    <w:rsid w:val="7FF11157"/>
    <w:rsid w:val="7FF1C58E"/>
    <w:rsid w:val="7FF2765D"/>
    <w:rsid w:val="7FF7756D"/>
    <w:rsid w:val="7FF786A6"/>
    <w:rsid w:val="7FFB42CF"/>
    <w:rsid w:val="7FFBA6A7"/>
    <w:rsid w:val="7FFD5912"/>
    <w:rsid w:val="7FFD6D76"/>
    <w:rsid w:val="7FFF48B9"/>
    <w:rsid w:val="7FFFF3E8"/>
    <w:rsid w:val="81FE3F0A"/>
    <w:rsid w:val="87EBC1EA"/>
    <w:rsid w:val="8DDF0FAF"/>
    <w:rsid w:val="93926E69"/>
    <w:rsid w:val="93FEEC17"/>
    <w:rsid w:val="966F7690"/>
    <w:rsid w:val="971DD90C"/>
    <w:rsid w:val="97DD1AC5"/>
    <w:rsid w:val="9BEFFBEB"/>
    <w:rsid w:val="9C1FD814"/>
    <w:rsid w:val="9C3338BD"/>
    <w:rsid w:val="9DFA1C24"/>
    <w:rsid w:val="9FFB9A3E"/>
    <w:rsid w:val="AADD49C8"/>
    <w:rsid w:val="AAF79119"/>
    <w:rsid w:val="AB55E921"/>
    <w:rsid w:val="AEAFCFE7"/>
    <w:rsid w:val="AFFF8347"/>
    <w:rsid w:val="B47B020E"/>
    <w:rsid w:val="B4FFBC68"/>
    <w:rsid w:val="B5D59FDA"/>
    <w:rsid w:val="B6FB1491"/>
    <w:rsid w:val="B7A632FF"/>
    <w:rsid w:val="B7DF0CEF"/>
    <w:rsid w:val="B7F7E43D"/>
    <w:rsid w:val="B8FDA499"/>
    <w:rsid w:val="BB7E67F0"/>
    <w:rsid w:val="BB8F3DD6"/>
    <w:rsid w:val="BBFF065B"/>
    <w:rsid w:val="BD5D4515"/>
    <w:rsid w:val="BD7E94A3"/>
    <w:rsid w:val="BD9FD2DC"/>
    <w:rsid w:val="BEBF06EA"/>
    <w:rsid w:val="BEF1B345"/>
    <w:rsid w:val="BEFF2F42"/>
    <w:rsid w:val="BF7F219F"/>
    <w:rsid w:val="BF7FC2E8"/>
    <w:rsid w:val="BFCBDB5F"/>
    <w:rsid w:val="BFD7BF57"/>
    <w:rsid w:val="BFDBADD6"/>
    <w:rsid w:val="BFDE30BC"/>
    <w:rsid w:val="C2971B94"/>
    <w:rsid w:val="C2FDB62D"/>
    <w:rsid w:val="C6BB55D7"/>
    <w:rsid w:val="C6BDD12C"/>
    <w:rsid w:val="C7F7C70C"/>
    <w:rsid w:val="CAB1F20A"/>
    <w:rsid w:val="CC67FD0E"/>
    <w:rsid w:val="CF7B0F2C"/>
    <w:rsid w:val="CFBFF757"/>
    <w:rsid w:val="D3E59F95"/>
    <w:rsid w:val="D67F0360"/>
    <w:rsid w:val="D69B5041"/>
    <w:rsid w:val="D773A38A"/>
    <w:rsid w:val="D79B6358"/>
    <w:rsid w:val="D9613AB8"/>
    <w:rsid w:val="D97B93F4"/>
    <w:rsid w:val="DBBC1451"/>
    <w:rsid w:val="DBFA6C45"/>
    <w:rsid w:val="DC3E1771"/>
    <w:rsid w:val="DCF78DBE"/>
    <w:rsid w:val="DCFB8CF1"/>
    <w:rsid w:val="DCFE2C7A"/>
    <w:rsid w:val="DD97EB27"/>
    <w:rsid w:val="DDBF3B4A"/>
    <w:rsid w:val="DDE74C06"/>
    <w:rsid w:val="DDF5AD33"/>
    <w:rsid w:val="DDFF4685"/>
    <w:rsid w:val="DDFFE819"/>
    <w:rsid w:val="DE3DD4DA"/>
    <w:rsid w:val="DEE2F865"/>
    <w:rsid w:val="DEEF0318"/>
    <w:rsid w:val="DFB2B603"/>
    <w:rsid w:val="DFFE4713"/>
    <w:rsid w:val="DFFED1C4"/>
    <w:rsid w:val="E4F69636"/>
    <w:rsid w:val="E4F936AC"/>
    <w:rsid w:val="E6A747AF"/>
    <w:rsid w:val="E6BFB5A4"/>
    <w:rsid w:val="E6FFAD15"/>
    <w:rsid w:val="E77F7817"/>
    <w:rsid w:val="E78F3EEA"/>
    <w:rsid w:val="E7BD7092"/>
    <w:rsid w:val="E7E28B90"/>
    <w:rsid w:val="E7FDE00C"/>
    <w:rsid w:val="E9FFB95F"/>
    <w:rsid w:val="EB7DA4BE"/>
    <w:rsid w:val="EBBE1B37"/>
    <w:rsid w:val="EBD42C97"/>
    <w:rsid w:val="ED7FF31E"/>
    <w:rsid w:val="ED9D0D0A"/>
    <w:rsid w:val="EDDF8CE1"/>
    <w:rsid w:val="EE2D032C"/>
    <w:rsid w:val="EEB67C56"/>
    <w:rsid w:val="EF585339"/>
    <w:rsid w:val="EF6F324D"/>
    <w:rsid w:val="EFBCABE6"/>
    <w:rsid w:val="EFBF8874"/>
    <w:rsid w:val="EFD7B5C9"/>
    <w:rsid w:val="EFDDDC9B"/>
    <w:rsid w:val="EFDF82CD"/>
    <w:rsid w:val="EFFFF7A4"/>
    <w:rsid w:val="F141EE54"/>
    <w:rsid w:val="F1BEFE33"/>
    <w:rsid w:val="F1BF3A55"/>
    <w:rsid w:val="F2D9005D"/>
    <w:rsid w:val="F376DBC0"/>
    <w:rsid w:val="F37E2590"/>
    <w:rsid w:val="F65D8645"/>
    <w:rsid w:val="F6A7E758"/>
    <w:rsid w:val="F6D52C09"/>
    <w:rsid w:val="F6DBCBC9"/>
    <w:rsid w:val="F6FF12BA"/>
    <w:rsid w:val="F6FF7C2D"/>
    <w:rsid w:val="F70D4C21"/>
    <w:rsid w:val="F77DD6E2"/>
    <w:rsid w:val="F77EA87C"/>
    <w:rsid w:val="F7BDE9EB"/>
    <w:rsid w:val="F7DFCCCA"/>
    <w:rsid w:val="F7F9BEE6"/>
    <w:rsid w:val="F7FF2D2D"/>
    <w:rsid w:val="F7FF7F71"/>
    <w:rsid w:val="F9B03040"/>
    <w:rsid w:val="F9DFBBDD"/>
    <w:rsid w:val="FAFFEB65"/>
    <w:rsid w:val="FB01A83A"/>
    <w:rsid w:val="FB5FD62B"/>
    <w:rsid w:val="FB76A99B"/>
    <w:rsid w:val="FBBDE33F"/>
    <w:rsid w:val="FBE6E281"/>
    <w:rsid w:val="FBF36124"/>
    <w:rsid w:val="FBF6A2A6"/>
    <w:rsid w:val="FBF6BB94"/>
    <w:rsid w:val="FBF7F399"/>
    <w:rsid w:val="FC798216"/>
    <w:rsid w:val="FD3FBB58"/>
    <w:rsid w:val="FD77093D"/>
    <w:rsid w:val="FDDB493E"/>
    <w:rsid w:val="FDDEA7AA"/>
    <w:rsid w:val="FDE46FBA"/>
    <w:rsid w:val="FDF2D667"/>
    <w:rsid w:val="FEAB378A"/>
    <w:rsid w:val="FEBA4546"/>
    <w:rsid w:val="FEBF89CC"/>
    <w:rsid w:val="FEDD8A7F"/>
    <w:rsid w:val="FEEF4200"/>
    <w:rsid w:val="FEF7C225"/>
    <w:rsid w:val="FEF7FAE7"/>
    <w:rsid w:val="FEFA6B72"/>
    <w:rsid w:val="FEFB1FCA"/>
    <w:rsid w:val="FF1C7E64"/>
    <w:rsid w:val="FF36309F"/>
    <w:rsid w:val="FF3B41EF"/>
    <w:rsid w:val="FF53C8A7"/>
    <w:rsid w:val="FF6E0771"/>
    <w:rsid w:val="FF725E82"/>
    <w:rsid w:val="FF9BE2A6"/>
    <w:rsid w:val="FFBF9F7C"/>
    <w:rsid w:val="FFCBA393"/>
    <w:rsid w:val="FFCC141E"/>
    <w:rsid w:val="FFD77238"/>
    <w:rsid w:val="FFDE4E71"/>
    <w:rsid w:val="FFEF1823"/>
    <w:rsid w:val="FFF753E8"/>
    <w:rsid w:val="FFF927C4"/>
    <w:rsid w:val="FFFAFD47"/>
    <w:rsid w:val="FFFDCC49"/>
    <w:rsid w:val="FFFEDD8F"/>
    <w:rsid w:val="FFFF8C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snapToGrid w:val="0"/>
      <w:spacing w:line="590" w:lineRule="exact"/>
      <w:ind w:firstLine="200" w:firstLineChars="200"/>
      <w:jc w:val="both"/>
    </w:pPr>
    <w:rPr>
      <w:rFonts w:ascii="Times" w:hAnsi="Times" w:eastAsia="方正仿宋_GBK" w:cs="Times New Roman"/>
      <w:kern w:val="2"/>
      <w:sz w:val="32"/>
      <w:lang w:val="en-US" w:eastAsia="zh-CN" w:bidi="ar-SA"/>
    </w:rPr>
  </w:style>
  <w:style w:type="paragraph" w:styleId="2">
    <w:name w:val="heading 1"/>
    <w:basedOn w:val="1"/>
    <w:next w:val="1"/>
    <w:qFormat/>
    <w:uiPriority w:val="0"/>
    <w:pPr>
      <w:keepNext/>
      <w:keepLines/>
      <w:spacing w:before="340" w:after="330" w:line="578" w:lineRule="atLeast"/>
      <w:outlineLvl w:val="0"/>
    </w:pPr>
    <w:rPr>
      <w:b/>
      <w:bCs/>
      <w:kern w:val="44"/>
      <w:sz w:val="44"/>
      <w:szCs w:val="44"/>
    </w:rPr>
  </w:style>
  <w:style w:type="paragraph" w:styleId="3">
    <w:name w:val="heading 2"/>
    <w:basedOn w:val="1"/>
    <w:next w:val="1"/>
    <w:link w:val="43"/>
    <w:qFormat/>
    <w:uiPriority w:val="0"/>
    <w:pPr>
      <w:keepNext/>
      <w:keepLines/>
      <w:spacing w:before="260" w:after="260" w:line="416" w:lineRule="atLeast"/>
      <w:outlineLvl w:val="1"/>
    </w:pPr>
    <w:rPr>
      <w:rFonts w:ascii="Arial" w:hAnsi="Arial" w:eastAsia="黑体"/>
      <w:b/>
      <w:bCs/>
      <w:szCs w:val="32"/>
    </w:rPr>
  </w:style>
  <w:style w:type="paragraph" w:styleId="4">
    <w:name w:val="heading 3"/>
    <w:basedOn w:val="1"/>
    <w:next w:val="1"/>
    <w:qFormat/>
    <w:uiPriority w:val="0"/>
    <w:pPr>
      <w:keepNext/>
      <w:keepLines/>
      <w:spacing w:before="260" w:after="260" w:line="416" w:lineRule="atLeast"/>
      <w:outlineLvl w:val="2"/>
    </w:pPr>
    <w:rPr>
      <w:b/>
      <w:bCs/>
      <w:szCs w:val="32"/>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overflowPunct/>
      <w:snapToGrid/>
      <w:spacing w:line="600" w:lineRule="exact"/>
    </w:pPr>
    <w:rPr>
      <w:rFonts w:ascii="Times New Roman" w:hAnsi="Times New Roman"/>
      <w:szCs w:val="32"/>
    </w:rPr>
  </w:style>
  <w:style w:type="paragraph" w:styleId="6">
    <w:name w:val="annotation text"/>
    <w:basedOn w:val="1"/>
    <w:qFormat/>
    <w:uiPriority w:val="0"/>
    <w:pPr>
      <w:overflowPunct/>
      <w:snapToGrid/>
      <w:spacing w:line="600" w:lineRule="exact"/>
      <w:jc w:val="left"/>
    </w:pPr>
    <w:rPr>
      <w:rFonts w:ascii="Times New Roman" w:hAnsi="Times New Roman"/>
      <w:szCs w:val="32"/>
      <w:lang w:val="zh-CN"/>
    </w:rPr>
  </w:style>
  <w:style w:type="paragraph" w:styleId="7">
    <w:name w:val="Body Text"/>
    <w:basedOn w:val="1"/>
    <w:link w:val="42"/>
    <w:unhideWhenUsed/>
    <w:qFormat/>
    <w:uiPriority w:val="99"/>
    <w:pPr>
      <w:overflowPunct/>
      <w:snapToGrid/>
      <w:spacing w:after="120" w:line="560" w:lineRule="exact"/>
    </w:pPr>
    <w:rPr>
      <w:rFonts w:asciiTheme="minorHAnsi" w:hAnsiTheme="minorHAnsi" w:cstheme="minorBidi"/>
      <w:szCs w:val="22"/>
    </w:rPr>
  </w:style>
  <w:style w:type="paragraph" w:styleId="8">
    <w:name w:val="Body Text Indent"/>
    <w:basedOn w:val="1"/>
    <w:qFormat/>
    <w:uiPriority w:val="0"/>
    <w:pPr>
      <w:spacing w:after="120"/>
      <w:ind w:left="200" w:leftChars="200"/>
    </w:pPr>
  </w:style>
  <w:style w:type="paragraph" w:styleId="9">
    <w:name w:val="Date"/>
    <w:basedOn w:val="1"/>
    <w:next w:val="1"/>
    <w:qFormat/>
    <w:uiPriority w:val="0"/>
    <w:pPr>
      <w:overflowPunct/>
      <w:snapToGrid/>
      <w:spacing w:line="240" w:lineRule="auto"/>
      <w:ind w:left="2500" w:leftChars="2500"/>
    </w:pPr>
    <w:rPr>
      <w:rFonts w:ascii="Times New Roman" w:hAnsi="Times New Roman" w:eastAsia="宋体"/>
      <w:b/>
      <w:bCs/>
      <w:sz w:val="28"/>
      <w:szCs w:val="24"/>
    </w:rPr>
  </w:style>
  <w:style w:type="paragraph" w:styleId="10">
    <w:name w:val="endnote text"/>
    <w:basedOn w:val="1"/>
    <w:qFormat/>
    <w:uiPriority w:val="0"/>
    <w:pPr>
      <w:overflowPunct/>
      <w:spacing w:line="600" w:lineRule="exact"/>
      <w:jc w:val="left"/>
    </w:pPr>
    <w:rPr>
      <w:rFonts w:ascii="Times New Roman" w:hAnsi="Times New Roman" w:eastAsia="宋体"/>
      <w:sz w:val="21"/>
      <w:szCs w:val="24"/>
      <w:lang w:val="zh-CN"/>
    </w:rPr>
  </w:style>
  <w:style w:type="paragraph" w:styleId="11">
    <w:name w:val="Balloon Text"/>
    <w:basedOn w:val="1"/>
    <w:qFormat/>
    <w:uiPriority w:val="0"/>
    <w:pPr>
      <w:overflowPunct/>
      <w:snapToGrid/>
      <w:spacing w:line="600" w:lineRule="exact"/>
    </w:pPr>
    <w:rPr>
      <w:rFonts w:ascii="Calibri" w:hAnsi="Calibri" w:eastAsia="宋体"/>
      <w:kern w:val="0"/>
      <w:sz w:val="18"/>
      <w:szCs w:val="18"/>
      <w:lang w:val="zh-CN"/>
    </w:rPr>
  </w:style>
  <w:style w:type="paragraph" w:styleId="12">
    <w:name w:val="footer"/>
    <w:basedOn w:val="1"/>
    <w:qFormat/>
    <w:uiPriority w:val="0"/>
    <w:pPr>
      <w:framePr w:wrap="around" w:vAnchor="text" w:hAnchor="margin" w:xAlign="outside" w:y="1"/>
      <w:tabs>
        <w:tab w:val="center" w:pos="4153"/>
        <w:tab w:val="right" w:pos="8306"/>
      </w:tabs>
      <w:wordWrap w:val="0"/>
      <w:spacing w:line="400" w:lineRule="atLeast"/>
      <w:ind w:firstLine="0" w:firstLineChars="0"/>
      <w:jc w:val="left"/>
    </w:pPr>
    <w:rPr>
      <w:sz w:val="30"/>
    </w:rPr>
  </w:style>
  <w:style w:type="paragraph" w:styleId="13">
    <w:name w:val="header"/>
    <w:basedOn w:val="1"/>
    <w:qFormat/>
    <w:uiPriority w:val="0"/>
    <w:pPr>
      <w:pBdr>
        <w:bottom w:val="single" w:color="auto" w:sz="6" w:space="1"/>
      </w:pBdr>
      <w:tabs>
        <w:tab w:val="center" w:pos="4153"/>
        <w:tab w:val="right" w:pos="8306"/>
      </w:tabs>
      <w:spacing w:line="240" w:lineRule="atLeast"/>
      <w:jc w:val="center"/>
    </w:pPr>
    <w:rPr>
      <w:sz w:val="18"/>
      <w:szCs w:val="18"/>
    </w:rPr>
  </w:style>
  <w:style w:type="paragraph" w:styleId="14">
    <w:name w:val="Subtitle"/>
    <w:basedOn w:val="1"/>
    <w:next w:val="1"/>
    <w:qFormat/>
    <w:uiPriority w:val="0"/>
    <w:pPr>
      <w:overflowPunct/>
      <w:snapToGrid/>
      <w:spacing w:line="600" w:lineRule="exact"/>
      <w:jc w:val="left"/>
    </w:pPr>
    <w:rPr>
      <w:rFonts w:ascii="仿宋_GB2312" w:hAnsi="仿宋_GB2312" w:eastAsia="方正楷体_GBK"/>
      <w:color w:val="000000"/>
      <w:szCs w:val="32"/>
      <w:lang w:val="zh-TW" w:eastAsia="zh-TW"/>
    </w:rPr>
  </w:style>
  <w:style w:type="paragraph" w:styleId="15">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snapToGrid/>
      <w:spacing w:line="600" w:lineRule="exact"/>
      <w:jc w:val="left"/>
    </w:pPr>
    <w:rPr>
      <w:rFonts w:ascii="宋体" w:eastAsia="宋体"/>
      <w:kern w:val="0"/>
      <w:sz w:val="24"/>
      <w:szCs w:val="24"/>
      <w:lang w:val="zh-CN"/>
    </w:rPr>
  </w:style>
  <w:style w:type="paragraph" w:styleId="16">
    <w:name w:val="Normal (Web)"/>
    <w:basedOn w:val="1"/>
    <w:qFormat/>
    <w:uiPriority w:val="0"/>
    <w:pPr>
      <w:widowControl/>
      <w:overflowPunct/>
      <w:snapToGrid/>
      <w:spacing w:before="100" w:beforeAutospacing="1" w:after="100" w:afterAutospacing="1" w:line="600" w:lineRule="exact"/>
      <w:jc w:val="left"/>
    </w:pPr>
    <w:rPr>
      <w:rFonts w:ascii="宋体" w:hAnsi="宋体" w:cs="宋体"/>
      <w:kern w:val="0"/>
      <w:sz w:val="24"/>
      <w:szCs w:val="32"/>
    </w:rPr>
  </w:style>
  <w:style w:type="paragraph" w:styleId="17">
    <w:name w:val="Title"/>
    <w:basedOn w:val="1"/>
    <w:next w:val="1"/>
    <w:qFormat/>
    <w:uiPriority w:val="0"/>
    <w:pPr>
      <w:overflowPunct/>
      <w:snapToGrid/>
      <w:spacing w:line="600" w:lineRule="exact"/>
      <w:jc w:val="left"/>
      <w:outlineLvl w:val="0"/>
    </w:pPr>
    <w:rPr>
      <w:rFonts w:ascii="Cambria" w:hAnsi="Cambria" w:eastAsia="方正黑体_GBK"/>
      <w:bCs/>
      <w:szCs w:val="32"/>
      <w:lang w:val="zh-CN"/>
    </w:rPr>
  </w:style>
  <w:style w:type="paragraph" w:styleId="18">
    <w:name w:val="annotation subject"/>
    <w:basedOn w:val="6"/>
    <w:next w:val="6"/>
    <w:qFormat/>
    <w:uiPriority w:val="0"/>
    <w:rPr>
      <w:b/>
      <w:bCs/>
    </w:rPr>
  </w:style>
  <w:style w:type="paragraph" w:styleId="19">
    <w:name w:val="Body Text First Indent 2"/>
    <w:basedOn w:val="8"/>
    <w:next w:val="1"/>
    <w:qFormat/>
    <w:uiPriority w:val="0"/>
    <w:pPr>
      <w:overflowPunct/>
      <w:snapToGrid/>
      <w:spacing w:line="360" w:lineRule="auto"/>
      <w:jc w:val="left"/>
    </w:pPr>
    <w:rPr>
      <w:rFonts w:ascii="宋体" w:hAnsi="宋体"/>
      <w:sz w:val="24"/>
      <w:szCs w:val="32"/>
    </w:rPr>
  </w:style>
  <w:style w:type="character" w:styleId="22">
    <w:name w:val="Strong"/>
    <w:qFormat/>
    <w:uiPriority w:val="0"/>
    <w:rPr>
      <w:b/>
      <w:bCs/>
    </w:rPr>
  </w:style>
  <w:style w:type="character" w:styleId="23">
    <w:name w:val="page number"/>
    <w:basedOn w:val="21"/>
    <w:qFormat/>
    <w:uiPriority w:val="0"/>
  </w:style>
  <w:style w:type="character" w:styleId="24">
    <w:name w:val="Emphasis"/>
    <w:qFormat/>
    <w:uiPriority w:val="0"/>
    <w:rPr>
      <w:i/>
      <w:iCs/>
    </w:rPr>
  </w:style>
  <w:style w:type="character" w:styleId="25">
    <w:name w:val="Hyperlink"/>
    <w:qFormat/>
    <w:uiPriority w:val="0"/>
    <w:rPr>
      <w:color w:val="0000FF"/>
      <w:u w:val="single"/>
    </w:rPr>
  </w:style>
  <w:style w:type="character" w:styleId="26">
    <w:name w:val="annotation reference"/>
    <w:qFormat/>
    <w:uiPriority w:val="0"/>
    <w:rPr>
      <w:sz w:val="21"/>
      <w:szCs w:val="21"/>
    </w:rPr>
  </w:style>
  <w:style w:type="paragraph" w:customStyle="1" w:styleId="27">
    <w:name w:val="标题1"/>
    <w:basedOn w:val="1"/>
    <w:next w:val="1"/>
    <w:qFormat/>
    <w:uiPriority w:val="0"/>
    <w:pPr>
      <w:tabs>
        <w:tab w:val="left" w:pos="9193"/>
        <w:tab w:val="left" w:pos="9827"/>
      </w:tabs>
      <w:autoSpaceDE w:val="0"/>
      <w:autoSpaceDN w:val="0"/>
      <w:spacing w:line="760" w:lineRule="atLeast"/>
      <w:ind w:firstLine="0" w:firstLineChars="0"/>
      <w:jc w:val="center"/>
    </w:pPr>
    <w:rPr>
      <w:rFonts w:ascii="方正小标宋_GBK" w:eastAsia="方正小标宋_GBK"/>
      <w:sz w:val="44"/>
    </w:rPr>
  </w:style>
  <w:style w:type="paragraph" w:customStyle="1" w:styleId="28">
    <w:name w:val="标题2"/>
    <w:basedOn w:val="1"/>
    <w:next w:val="1"/>
    <w:qFormat/>
    <w:uiPriority w:val="0"/>
    <w:pPr>
      <w:ind w:firstLine="0" w:firstLineChars="0"/>
      <w:jc w:val="center"/>
    </w:pPr>
    <w:rPr>
      <w:rFonts w:ascii="方正楷体_GBK" w:eastAsia="方正楷体_GBK"/>
    </w:rPr>
  </w:style>
  <w:style w:type="paragraph" w:customStyle="1" w:styleId="29">
    <w:name w:val="标题3"/>
    <w:basedOn w:val="1"/>
    <w:next w:val="1"/>
    <w:qFormat/>
    <w:uiPriority w:val="0"/>
    <w:pPr>
      <w:adjustRightInd w:val="0"/>
    </w:pPr>
    <w:rPr>
      <w:rFonts w:ascii="方正黑体简体" w:eastAsia="方正黑体简体"/>
    </w:rPr>
  </w:style>
  <w:style w:type="paragraph" w:customStyle="1" w:styleId="30">
    <w:name w:val="标题4"/>
    <w:basedOn w:val="29"/>
    <w:next w:val="1"/>
    <w:qFormat/>
    <w:uiPriority w:val="0"/>
    <w:pPr>
      <w:jc w:val="center"/>
    </w:pPr>
  </w:style>
  <w:style w:type="paragraph" w:styleId="31">
    <w:name w:val="List Paragraph"/>
    <w:basedOn w:val="1"/>
    <w:qFormat/>
    <w:uiPriority w:val="0"/>
    <w:pPr>
      <w:overflowPunct/>
      <w:snapToGrid/>
      <w:spacing w:line="600" w:lineRule="exact"/>
    </w:pPr>
    <w:rPr>
      <w:rFonts w:ascii="Times New Roman" w:hAnsi="Times New Roman"/>
      <w:szCs w:val="32"/>
    </w:rPr>
  </w:style>
  <w:style w:type="paragraph" w:customStyle="1" w:styleId="32">
    <w:name w:val="列出段落1"/>
    <w:basedOn w:val="1"/>
    <w:qFormat/>
    <w:uiPriority w:val="0"/>
    <w:pPr>
      <w:overflowPunct/>
      <w:snapToGrid/>
      <w:spacing w:line="600" w:lineRule="exact"/>
    </w:pPr>
    <w:rPr>
      <w:rFonts w:ascii="Times New Roman" w:hAnsi="Times New Roman"/>
    </w:rPr>
  </w:style>
  <w:style w:type="character" w:customStyle="1" w:styleId="33">
    <w:name w:val="fontstyle41"/>
    <w:qFormat/>
    <w:uiPriority w:val="0"/>
    <w:rPr>
      <w:rFonts w:ascii="方正仿宋_GBK" w:eastAsia="方正仿宋_GBK" w:cs="Times New Roman"/>
      <w:color w:val="000000"/>
      <w:sz w:val="32"/>
      <w:szCs w:val="32"/>
    </w:rPr>
  </w:style>
  <w:style w:type="paragraph" w:customStyle="1" w:styleId="34">
    <w:name w:val="样式1"/>
    <w:basedOn w:val="1"/>
    <w:qFormat/>
    <w:uiPriority w:val="0"/>
    <w:pPr>
      <w:overflowPunct/>
      <w:snapToGrid/>
      <w:spacing w:line="760" w:lineRule="atLeast"/>
      <w:jc w:val="center"/>
    </w:pPr>
    <w:rPr>
      <w:rFonts w:ascii="Times New Roman" w:hAnsi="Times New Roman" w:eastAsia="方正小标宋简体"/>
      <w:sz w:val="44"/>
      <w:szCs w:val="44"/>
    </w:rPr>
  </w:style>
  <w:style w:type="paragraph" w:customStyle="1" w:styleId="35">
    <w:name w:val="样式2"/>
    <w:basedOn w:val="1"/>
    <w:qFormat/>
    <w:uiPriority w:val="0"/>
    <w:pPr>
      <w:adjustRightInd w:val="0"/>
      <w:spacing w:line="460" w:lineRule="exact"/>
      <w:ind w:firstLine="0" w:firstLineChars="0"/>
    </w:pPr>
    <w:rPr>
      <w:rFonts w:ascii="Times New Roman" w:hAnsi="Times New Roman" w:eastAsia="方正黑体_GBK"/>
      <w:bCs/>
      <w:spacing w:val="12"/>
      <w:szCs w:val="32"/>
      <w:lang w:val="zh-CN"/>
    </w:rPr>
  </w:style>
  <w:style w:type="paragraph" w:customStyle="1" w:styleId="36">
    <w:name w:val="样式3"/>
    <w:basedOn w:val="1"/>
    <w:qFormat/>
    <w:uiPriority w:val="0"/>
    <w:pPr>
      <w:adjustRightInd w:val="0"/>
      <w:spacing w:line="560" w:lineRule="exact"/>
    </w:pPr>
    <w:rPr>
      <w:rFonts w:ascii="Times New Roman" w:hAnsi="Times New Roman"/>
      <w:bCs/>
      <w:sz w:val="44"/>
      <w:szCs w:val="44"/>
      <w:lang w:val="zh-CN"/>
    </w:rPr>
  </w:style>
  <w:style w:type="paragraph" w:customStyle="1" w:styleId="37">
    <w:name w:val="样式4"/>
    <w:basedOn w:val="1"/>
    <w:qFormat/>
    <w:uiPriority w:val="0"/>
    <w:pPr>
      <w:overflowPunct/>
      <w:adjustRightInd w:val="0"/>
      <w:spacing w:line="560" w:lineRule="exact"/>
      <w:ind w:firstLine="0" w:firstLineChars="0"/>
      <w:jc w:val="center"/>
    </w:pPr>
    <w:rPr>
      <w:rFonts w:ascii="Times New Roman" w:hAnsi="Times New Roman" w:eastAsia="方正楷体_GBK"/>
      <w:szCs w:val="32"/>
      <w:lang w:val="zh-CN"/>
    </w:rPr>
  </w:style>
  <w:style w:type="character" w:customStyle="1" w:styleId="38">
    <w:name w:val="尾注文本 Char1"/>
    <w:qFormat/>
    <w:uiPriority w:val="0"/>
    <w:rPr>
      <w:rFonts w:ascii="Times New Roman" w:hAnsi="Times New Roman" w:eastAsia="方正仿宋_GBK" w:cs="Times New Roman"/>
      <w:kern w:val="2"/>
      <w:sz w:val="32"/>
      <w:szCs w:val="32"/>
    </w:rPr>
  </w:style>
  <w:style w:type="paragraph" w:customStyle="1" w:styleId="39">
    <w:name w:val="正文 New"/>
    <w:qFormat/>
    <w:uiPriority w:val="0"/>
    <w:pPr>
      <w:widowControl w:val="0"/>
      <w:snapToGrid w:val="0"/>
      <w:spacing w:line="336" w:lineRule="auto"/>
      <w:jc w:val="both"/>
    </w:pPr>
    <w:rPr>
      <w:rFonts w:ascii="Calibri" w:hAnsi="Calibri" w:eastAsia="仿宋_GB2312" w:cs="Times New Roman"/>
      <w:kern w:val="32"/>
      <w:sz w:val="32"/>
      <w:szCs w:val="32"/>
      <w:lang w:val="en-US" w:eastAsia="zh-CN" w:bidi="ar-SA"/>
    </w:rPr>
  </w:style>
  <w:style w:type="character" w:customStyle="1" w:styleId="40">
    <w:name w:val="NormalCharacter"/>
    <w:qFormat/>
    <w:uiPriority w:val="0"/>
  </w:style>
  <w:style w:type="paragraph" w:customStyle="1" w:styleId="41">
    <w:name w:val="Table Paragraph"/>
    <w:basedOn w:val="1"/>
    <w:qFormat/>
    <w:uiPriority w:val="0"/>
    <w:pPr>
      <w:overflowPunct/>
      <w:autoSpaceDE w:val="0"/>
      <w:autoSpaceDN w:val="0"/>
      <w:snapToGrid/>
      <w:spacing w:line="372" w:lineRule="exact"/>
      <w:ind w:firstLine="0" w:firstLineChars="0"/>
      <w:jc w:val="left"/>
    </w:pPr>
    <w:rPr>
      <w:rFonts w:ascii="方正楷体_GBK" w:eastAsia="方正楷体_GBK" w:cs="方正楷体_GBK"/>
      <w:kern w:val="0"/>
      <w:sz w:val="22"/>
      <w:szCs w:val="22"/>
      <w:lang w:val="zh-CN" w:bidi="zh-CN"/>
    </w:rPr>
  </w:style>
  <w:style w:type="character" w:customStyle="1" w:styleId="42">
    <w:name w:val="正文文本 字符"/>
    <w:basedOn w:val="21"/>
    <w:link w:val="7"/>
    <w:qFormat/>
    <w:uiPriority w:val="99"/>
    <w:rPr>
      <w:rFonts w:eastAsia="方正仿宋_GBK" w:asciiTheme="minorHAnsi" w:hAnsiTheme="minorHAnsi" w:cstheme="minorBidi"/>
      <w:kern w:val="2"/>
      <w:sz w:val="32"/>
      <w:szCs w:val="22"/>
    </w:rPr>
  </w:style>
  <w:style w:type="character" w:customStyle="1" w:styleId="43">
    <w:name w:val="标题 2 字符"/>
    <w:basedOn w:val="21"/>
    <w:link w:val="3"/>
    <w:qFormat/>
    <w:uiPriority w:val="0"/>
    <w:rPr>
      <w:rFonts w:ascii="Arial" w:hAnsi="Arial" w:eastAsia="黑体"/>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cf5366e4-c089-49dd-977f-368dd64d439d</errorID>
      <errorWord>双碳</errorWord>
      <group>L1_Political</group>
      <groupName>政治性问题</groupName>
      <ability>L2_Keyword</ability>
      <abilityName>固定表述</abilityName>
      <candidateList>
        <item>“双碳”</item>
      </candidateList>
      <explain>注意检查当前固定表述标点是否使用规范。</explain>
      <paraID>60BC51C1</paraID>
      <start>1058</start>
      <end>1060</end>
      <status>unmodified</status>
      <modifiedWord/>
      <trackRevisions>false</trackRevisions>
    </reviewItem>
    <reviewItem>
      <errorID>efe42353-b390-4763-af76-925ee5ec5a19</errorID>
      <errorWord>国立</errorWord>
      <group>L1_Political</group>
      <groupName>政治性问题</groupName>
      <ability>L2_Unpolitical</ability>
      <abilityName>政治敏感错误</abilityName>
      <candidateList/>
      <explain>敏感词</explain>
      <paraID>7957072F</paraID>
      <start>1188</start>
      <end>1190</end>
      <status>unmodified</status>
      <modifiedWord/>
      <trackRevisions>false</trackRevisions>
    </reviewItem>
    <reviewItem>
      <errorID>bde4c0d8-c162-45bf-bc2f-39354cdb58da</errorID>
      <errorWord>慢病</errorWord>
      <group>L1_Word</group>
      <groupName>字词问题</groupName>
      <ability>L2_Typo</ability>
      <abilityName>字词错误</abilityName>
      <candidateList>
        <item>慢性病</item>
      </candidateList>
      <explain/>
      <paraID>10078039</paraID>
      <start>541</start>
      <end>543</end>
      <status>unmodified</status>
      <modifiedWord/>
      <trackRevisions>false</trackRevisions>
    </reviewItem>
    <reviewItem>
      <errorID>14bcbb2a-5cb6-4e26-8bd0-911eb4c0d32c</errorID>
      <errorWord>学习习近平总书记</errorWord>
      <group>L1_Political</group>
      <groupName>政治性问题</groupName>
      <ability>L2_Keyword</ability>
      <abilityName>固定表述</abilityName>
      <candidateList>
        <item>学习贯彻习近平总书记</item>
      </candidateList>
      <explain>词汇“学习贯彻习近平总书记”在特定场景下为固定表述形式，请确认此处的“学习习近平总书记”是否存在不当。</explain>
      <paraID>44E1F686</paraID>
      <start>139</start>
      <end>147</end>
      <status>unmodified</status>
      <modifiedWord/>
      <trackRevisions>false</trackRevisions>
    </reviewItem>
    <reviewItem>
      <errorID>1a184a43-3aae-42c4-9a2a-373df959b9d2</errorID>
      <errorWord>时代时代</errorWord>
      <group>L1_Word</group>
      <groupName>字词问题</groupName>
      <ability>L2_Typo</ability>
      <abilityName>字词错误</abilityName>
      <candidateList>
        <item>时代</item>
      </candidateList>
      <explain/>
      <paraID>2661E3FB</paraID>
      <start>215</start>
      <end>219</end>
      <status>unmodified</status>
      <modifiedWord/>
      <trackRevisions>false</trackRevisions>
    </reviewItem>
    <reviewItem>
      <errorID>f28a151d-b305-457d-a39a-21f295eae823</errorID>
      <errorWord>朋友们</errorWord>
      <group>L1_Word</group>
      <groupName>字词问题</groupName>
      <ability>L2_Typo</ability>
      <abilityName>字词错误</abilityName>
      <candidateList>
        <item>朋友</item>
      </candidateList>
      <explain/>
      <paraID>2661E3FB</paraID>
      <start>469</start>
      <end>472</end>
      <status>unmodified</status>
      <modifiedWord/>
      <trackRevisions>false</trackRevisions>
    </reviewItem>
    <reviewItem>
      <errorID>0a3b7d18-8c9b-4550-b497-15143822c904</errorID>
      <errorWord>好</errorWord>
      <group>L1_Word</group>
      <groupName>字词问题</groupName>
      <ability>L2_Typo</ability>
      <abilityName>字词错误</abilityName>
      <candidateList>
        <item>好地</item>
      </candidateList>
      <explain/>
      <paraID>558DC111</paraID>
      <start>305</start>
      <end>306</end>
      <status>unmodified</status>
      <modifiedWord/>
      <trackRevisions>false</trackRevisions>
    </reviewItem>
    <reviewItem>
      <errorID>1c2c27a5-6c24-4aa4-aae0-f1124bb1ef4e</errorID>
      <errorWord>打好蓝天碧水净土保卫战</errorWord>
      <group>L1_Political</group>
      <groupName>政治性问题</groupName>
      <ability>L2_Keyword</ability>
      <abilityName>固定表述</abilityName>
      <candidateList>
        <item>打好蓝天、碧水、净土保卫战</item>
      </candidateList>
      <explain>注意检查当前固定表述标点是否使用规范。</explain>
      <paraID>15A7311D</paraID>
      <start>13</start>
      <end>24</end>
      <status>unmodified</status>
      <modifiedWord/>
      <trackRevisions>false</trackRevisions>
    </reviewItem>
    <reviewItem>
      <errorID>96d92328-d2b8-4db2-9684-1f0a02886b1b</errorID>
      <errorWord>解决好群众急难愁盼问题</errorWord>
      <group>L1_Political</group>
      <groupName>政治性问题</groupName>
      <ability>L2_Keyword</ability>
      <abilityName>固定表述</abilityName>
      <candidateList>
        <item>解决好人民群众急难愁盼问题</item>
      </candidateList>
      <explain>词汇“解决好人民群众急难愁盼问题”在特定场景下为固定表述形式，请确认此处的“解决好群众急难愁盼问题”是否存在不当。</explain>
      <paraID> 26F865E</paraID>
      <start>32</start>
      <end>43</end>
      <status>unmodified</status>
      <modifiedWord/>
      <trackRevisions>false</trackRevisions>
    </reviewItem>
    <reviewItem>
      <errorID>ebc90ff2-fa51-4cef-aab9-b478f25d17e2</errorID>
      <errorWord>安全生产治本攻坚行动</errorWord>
      <group>L1_Political</group>
      <groupName>政治性问题</groupName>
      <ability>L2_Keyword</ability>
      <abilityName>固定表述</abilityName>
      <candidateList>
        <item>安全生产治本攻坚三年行动</item>
      </candidateList>
      <explain>词汇“安全生产治本攻坚三年行动”在特定场景下为固定表述形式，请确认此处的“安全生产治本攻坚行动”是否存在不当。</explain>
      <paraID>6B976E90</paraID>
      <start>99</start>
      <end>109</end>
      <status>unmodified</status>
      <modifiedWord/>
      <trackRevisions>false</trackRevisions>
    </reviewItem>
    <reviewItem>
      <errorID>f5eca844-296d-45c5-b37a-a0eadcf15255</errorID>
      <errorWord>慢病</errorWord>
      <group>L1_Word</group>
      <groupName>字词问题</groupName>
      <ability>L2_Typo</ability>
      <abilityName>字词错误</abilityName>
      <candidateList>
        <item>慢性病</item>
      </candidateList>
      <explain/>
      <paraID>44F9BDB3</paraID>
      <start>50</start>
      <end>52</end>
      <status>unmodified</status>
      <modifiedWord/>
      <trackRevisions>false</trackRevisions>
    </reviewItem>
    <reviewItem>
      <errorID>3ca15c5d-2b77-4671-b04d-56e9d7f18118</errorID>
      <errorWord>大中小学思想教育一体化</errorWord>
      <group>L1_Political</group>
      <groupName>政治性问题</groupName>
      <ability>L2_Keyword</ability>
      <abilityName>固定表述</abilityName>
      <candidateList>
        <item>大中小学思想政治教育一体化</item>
      </candidateList>
      <explain>词汇“大中小学思想政治教育一体化”在特定场景下为固定表述形式，请确认此处的“大中小学思想教育一体化”是否存在不当。</explain>
      <paraID>2E3544A2</paraID>
      <start>22</start>
      <end>33</end>
      <status>unmodified</status>
      <modifiedWord/>
      <trackRevisions>false</trackRevisions>
    </reviewItem>
    <reviewItem>
      <errorID>5160418b-1191-4ef1-b350-b082098eacef</errorID>
      <errorWord>运20</errorWord>
      <group>L1_Punc</group>
      <groupName>标点问题</groupName>
      <ability>L2_Punc</ability>
      <abilityName>标点符号检查</abilityName>
      <candidateList>
        <item>运-20</item>
      </candidateList>
      <explain/>
      <paraID>15B620BB</paraID>
      <start>41</start>
      <end>44</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f05e95-b957-44a0-900c-0d486cb9ed5e}">
  <ds:schemaRefs/>
</ds:datastoreItem>
</file>

<file path=docProps/app.xml><?xml version="1.0" encoding="utf-8"?>
<Properties xmlns="http://schemas.openxmlformats.org/officeDocument/2006/extended-properties" xmlns:vt="http://schemas.openxmlformats.org/officeDocument/2006/docPropsVTypes">
  <Template>Normal.dotm</Template>
  <Pages>40</Pages>
  <Words>8380</Words>
  <Characters>8755</Characters>
  <Lines>7</Lines>
  <Paragraphs>40</Paragraphs>
  <TotalTime>87</TotalTime>
  <ScaleCrop>false</ScaleCrop>
  <LinksUpToDate>false</LinksUpToDate>
  <CharactersWithSpaces>8757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2026-01-06T01:25:00Z</dcterms:created>
  <dc:creator>Windows</dc:creator>
  <cp:lastModifiedBy>D.</cp:lastModifiedBy>
  <cp:lastPrinted>2026-01-06T05:44:00Z</cp:lastPrinted>
  <dcterms:modified xsi:type="dcterms:W3CDTF">2026-03-02T06:24:25Z</dcterms:modified>
  <dc:title>公文通报模板</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eyJoZGlkIjoiMTYzOWMyODg3N2U2ODljNWY1NjM1YTMyYjdmYzY4ZmQiLCJ1c2VySWQiOiI5Mzc1NzQwMTUifQ==</vt:lpwstr>
  </property>
  <property fmtid="{D5CDD505-2E9C-101B-9397-08002B2CF9AE}" pid="3" name="KSOProductBuildVer">
    <vt:lpwstr>2052-12.1.0.24657</vt:lpwstr>
  </property>
  <property fmtid="{D5CDD505-2E9C-101B-9397-08002B2CF9AE}" pid="4" name="ICV">
    <vt:lpwstr>1A0B738135FC42EDBEC475D3E8128953_13</vt:lpwstr>
  </property>
</Properties>
</file>