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jc w:val="both"/>
              <w:rPr>
                <w:rFonts w:hint="eastAsia"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南京市玄武区投资促进局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部门决算公开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pPr>
        <w:pStyle w:val="8"/>
        <w:spacing w:before="4"/>
        <w:rPr>
          <w:rFonts w:hint="eastAsia" w:ascii="华文仿宋" w:hAnsi="华文仿宋" w:eastAsia="华文仿宋" w:cs="仿宋"/>
          <w:sz w:val="10"/>
        </w:rPr>
      </w:pPr>
    </w:p>
    <w:p>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rPr>
          <w:rFonts w:hint="eastAsia" w:ascii="仿宋" w:hAnsi="仿宋" w:eastAsia="仿宋" w:cs="仿宋"/>
          <w:sz w:val="27"/>
        </w:rPr>
      </w:pPr>
    </w:p>
    <w:p>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部门决算表</w:t>
      </w:r>
    </w:p>
    <w:p>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部门决算情况说明</w:t>
      </w:r>
    </w:p>
    <w:p>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pPr>
        <w:pStyle w:val="8"/>
        <w:spacing w:before="1"/>
        <w:rPr>
          <w:rFonts w:hint="eastAsia" w:ascii="华文仿宋" w:hAnsi="华文仿宋" w:eastAsia="华文仿宋" w:cs="仿宋"/>
          <w:sz w:val="14"/>
        </w:rPr>
      </w:pPr>
    </w:p>
    <w:p>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部门概况</w:t>
      </w:r>
    </w:p>
    <w:p>
      <w:pPr>
        <w:ind w:right="504" w:rightChars="229"/>
        <w:jc w:val="both"/>
        <w:rPr>
          <w:rFonts w:hint="eastAsia"/>
        </w:rPr>
      </w:pPr>
    </w:p>
    <w:p>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（一）贯彻执行国家、省、市有关投资促进、招商引资的法律法规和方针政策，拟订全区投资促进、招商引资综合政策措施并组织实施，会同区各相关部门出台招商引资支撑政策。</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（二）组织拟订全区投资促进、招商引资中长期规划，制定总体目标和年度工作计划并组织实施，负责研究投资促进、招商引资战略和工作机制，并提出对策建议。参与全区产业政策的制定。</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负责区级投资促进、招商引资的营销策划、营商环境宣传推广以及重大招商项目信息发布，统筹协调境内外重大招商活动，统筹利用社会资源、市场资源创新招商项目发现机制，组织建设精准招商、高质量招商的支撑体系。</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（四）统筹全区重大招商项目招引落地的布局，协调项目评审、要素供给和项目流转等工作，规范招商引资秩序。</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（五）负责全区重大项目招引工作的整体推进，负责区级重大招商项目的协调服务，会同区级相关部门建立健全高效的项目落地服务工作机制。</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（六）负责监督、检查各街道（园区）、区各相关部门投资促进、招商引资的工作落实及任务完成情况。</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（七）负责研究制定投资促进、招商引资绩效考核办法和奖惩制度并组织实施，负责全区投资促进、招商引资综合评价考核工作。</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（八）统筹推进境内外招商网络体系建设。负责全区投资促进、招商引资队伍专业化建设。</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（九）统筹推进、指导各街道（园区）、区各相关部门的投资促进、招商引资工作。</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（十）完成区委、区政府交办的其他任务。</w:t>
      </w:r>
    </w:p>
    <w:p>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本部门内设机构包括综合科、招商协调科、项目推进科、督查考核科。本部门无下属单位。本部门下属单位包括：无下属单位。</w:t>
      </w:r>
    </w:p>
    <w:p>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ascii="仿宋" w:hAnsi="仿宋" w:eastAsia="仿宋" w:cs="仿宋"/>
          <w:u w:color="auto"/>
        </w:rPr>
        <w:t>1</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rPr>
        <w:t>：</w:t>
      </w:r>
      <w:r>
        <w:rPr>
          <w:rFonts w:ascii="仿宋" w:hAnsi="仿宋" w:eastAsia="仿宋" w:cs="仿宋"/>
          <w:u w:color="auto"/>
        </w:rPr>
        <w:t>南京市玄武区投资促进局（机关）。</w:t>
      </w:r>
    </w:p>
    <w:p>
      <w:pPr>
        <w:pStyle w:val="8"/>
        <w:spacing w:line="360" w:lineRule="auto"/>
        <w:ind w:left="440" w:leftChars="200" w:right="504" w:rightChars="229" w:firstLine="658"/>
        <w:jc w:val="both"/>
        <w:outlineLvl w:val="1"/>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三、</w:t>
      </w:r>
      <w:r>
        <w:rPr>
          <w:rFonts w:hint="eastAsia" w:ascii="黑体" w:hAnsi="黑体" w:eastAsia="黑体" w:cs="黑体"/>
          <w:color w:val="000000" w:themeColor="text1"/>
          <w:highlight w:val="none"/>
          <w:lang w:eastAsia="zh-CN"/>
          <w14:textFill>
            <w14:solidFill>
              <w14:schemeClr w14:val="tx1"/>
            </w14:solidFill>
          </w14:textFill>
        </w:rPr>
        <w:t>2024</w:t>
      </w:r>
      <w:r>
        <w:rPr>
          <w:rFonts w:hint="eastAsia" w:ascii="黑体" w:hAnsi="黑体" w:eastAsia="黑体" w:cs="黑体"/>
          <w:color w:val="000000" w:themeColor="text1"/>
          <w:highlight w:val="none"/>
          <w14:textFill>
            <w14:solidFill>
              <w14:schemeClr w14:val="tx1"/>
            </w14:solidFill>
          </w14:textFill>
        </w:rPr>
        <w:t>年度主要工作完成情况</w:t>
      </w:r>
    </w:p>
    <w:p>
      <w:pPr>
        <w:pStyle w:val="8"/>
        <w:numPr>
          <w:ilvl w:val="0"/>
          <w:numId w:val="1"/>
        </w:numPr>
        <w:spacing w:line="360" w:lineRule="auto"/>
        <w:ind w:left="440" w:leftChars="200" w:right="504" w:rightChars="229" w:firstLine="658"/>
        <w:jc w:val="both"/>
        <w:rPr>
          <w:rFonts w:hint="eastAsia" w:ascii="仿宋" w:hAnsi="仿宋" w:eastAsia="仿宋" w:cs="仿宋"/>
          <w:color w:val="000000" w:themeColor="text1"/>
          <w:highlight w:val="none"/>
          <w:u w:color="auto"/>
          <w14:textFill>
            <w14:solidFill>
              <w14:schemeClr w14:val="tx1"/>
            </w14:solidFill>
          </w14:textFill>
        </w:rPr>
      </w:pPr>
      <w:r>
        <w:rPr>
          <w:rFonts w:ascii="仿宋" w:hAnsi="仿宋" w:eastAsia="仿宋" w:cs="仿宋"/>
          <w:color w:val="000000" w:themeColor="text1"/>
          <w:highlight w:val="none"/>
          <w:u w:color="auto"/>
          <w14:textFill>
            <w14:solidFill>
              <w14:schemeClr w14:val="tx1"/>
            </w14:solidFill>
          </w14:textFill>
        </w:rPr>
        <w:t>紧盯全年目标任务。</w:t>
      </w:r>
      <w:r>
        <w:rPr>
          <w:rFonts w:hint="eastAsia" w:ascii="仿宋" w:hAnsi="仿宋" w:eastAsia="仿宋" w:cs="仿宋"/>
          <w:color w:val="000000" w:themeColor="text1"/>
          <w:highlight w:val="none"/>
          <w:u w:color="auto"/>
          <w14:textFill>
            <w14:solidFill>
              <w14:schemeClr w14:val="tx1"/>
            </w14:solidFill>
          </w14:textFill>
        </w:rPr>
        <w:t>2024年完成招引项目86个，达年度目标的122.9%；开工/运营项目74个，达年度目标185%（其中开工项目4个，达年度目标200%）；实际投资总额84.3亿元，达年度目标105.4%。江苏中亚中心项目、科大讯飞代码大模型全国总部项目、新能源综合利用项目评选为全市高能级项目。</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统筹谋划招商工作。落实各级招商工作决策部署要求和“新春第一会”会议精神，结合为基层减负要求，制定《玄武区2024年招商引资工作计划方案》《产业项目招大引强工作计分细则》等系列文件，进一步明确目标任务。严格按照市局审核标准，指导街道园区进行项目申报，提高项目通过率，一季度邀请相关负责人围绕招商引资指标审核要点及最新招商政策，为全区招商引资队伍开展专题培训。持续跟踪项目进展，及时发现申报过程中的堵点难点，发挥联动机制，疏通申报路径。</w:t>
      </w:r>
    </w:p>
    <w:p>
      <w:pPr>
        <w:pStyle w:val="8"/>
        <w:spacing w:line="360" w:lineRule="auto"/>
        <w:ind w:left="440" w:leftChars="200" w:right="504" w:rightChars="229" w:firstLine="658"/>
        <w:jc w:val="both"/>
        <w:rPr>
          <w:rFonts w:ascii="仿宋" w:hAnsi="仿宋" w:eastAsia="仿宋" w:cs="仿宋"/>
          <w:u w:color="auto"/>
        </w:rPr>
      </w:pPr>
      <w:r>
        <w:rPr>
          <w:rFonts w:ascii="仿宋" w:hAnsi="仿宋" w:eastAsia="仿宋" w:cs="仿宋"/>
          <w:u w:color="auto"/>
        </w:rPr>
        <w:t>（三）完善项目招引机制。一是围绕产业强区发展目标，瞄准传统产业焕新升级和新兴产业培育壮大两大方向，聚力开展优质项目招引。今年以来，接待各类企业60余批次，成功招引宁德时代时代电服江苏总部、江苏国信新能源开发利用、江苏中亚中心、西门子Xcelerator长三角科创赋能中心、浪潮云政务大模型华东研发总部、科大讯飞代码大模型全国总部和科大讯飞江苏区域总部等一批重点项目。二强化新增项目信息获取。根据南京市统一安排，9月开展“招商信息渠道拓展攻坚行动”，通过走访存量企业、小分队外出招商、参加展会、视频连线和集中座谈等方式，重点联系对接企业27家，获取招商线索9条。</w:t>
      </w:r>
      <w:r>
        <w:rPr>
          <w:rFonts w:hint="eastAsia" w:ascii="仿宋" w:hAnsi="仿宋" w:eastAsia="仿宋" w:cs="仿宋"/>
          <w:u w:color="auto"/>
          <w:lang w:eastAsia="zh-CN"/>
        </w:rPr>
        <w:t>三</w:t>
      </w:r>
      <w:r>
        <w:rPr>
          <w:rFonts w:ascii="仿宋" w:hAnsi="仿宋" w:eastAsia="仿宋" w:cs="仿宋"/>
          <w:u w:color="auto"/>
        </w:rPr>
        <w:t>是建立基金支持招商工作机制。结合市投促系统建立招商工作与基金投资的互动机制，每月收集需基金支持的重点招商项目并向市局推荐申报，争取市级基金和社会投资机构支持。</w:t>
      </w:r>
    </w:p>
    <w:p>
      <w:pPr>
        <w:pStyle w:val="8"/>
        <w:spacing w:line="360" w:lineRule="auto"/>
        <w:ind w:left="440" w:leftChars="200" w:right="504" w:rightChars="229" w:firstLine="658"/>
        <w:jc w:val="both"/>
        <w:rPr>
          <w:rFonts w:hint="eastAsia" w:ascii="仿宋" w:hAnsi="仿宋" w:eastAsia="仿宋" w:cs="仿宋"/>
          <w:highlight w:val="none"/>
          <w:lang w:val="en-US"/>
        </w:rPr>
      </w:pPr>
      <w:r>
        <w:rPr>
          <w:rFonts w:ascii="仿宋" w:hAnsi="仿宋" w:eastAsia="仿宋" w:cs="仿宋"/>
          <w:u w:color="auto"/>
        </w:rPr>
        <w:t>（四）推动项目成果落地。着力做好项目招引“下篇文章”，坚持把签约项目变成落地项目，把落地项目变成投产项目，把招商成果转化为推动经济社会发展的有效动能。一是建立计划开工项目库。每月根据招引项目情况，及时列出工作清单，积极协调要素资源，解决项目推进中遇到的困难，推动项目“快开”、“早投”。结合板块复核及调整情况，每季度明确当季开工计划，实施动态管理、梯次推进。二是加强项目调度会办。深入发挥区级层面的调度会办机制和区领导包保联系机制作用，协调解决项目招引、推进和落地过程中的问题。结合市投促办定期征集项目难点，加快问题解决进度，提升破解难题成效。三是建立项目成效检查机制。结合市级层面不定期抽查走访，对所有当年实现开工的项目开展“回头看”，对运营类重点项目进行实地察看，确保项目真开工、真运营、真贡献。</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highlight w:val="none"/>
          <w:u w:color="auto"/>
        </w:rPr>
        <w:t>（五）全方位开展招商宣传。一是加强活动组织，</w:t>
      </w:r>
      <w:r>
        <w:rPr>
          <w:rFonts w:hint="eastAsia" w:ascii="仿宋" w:hAnsi="仿宋" w:eastAsia="仿宋" w:cs="仿宋"/>
          <w:highlight w:val="none"/>
          <w:u w:color="auto"/>
          <w:lang w:eastAsia="zh-CN"/>
        </w:rPr>
        <w:t>统筹</w:t>
      </w:r>
      <w:r>
        <w:rPr>
          <w:rFonts w:ascii="仿宋" w:hAnsi="仿宋" w:eastAsia="仿宋" w:cs="仿宋"/>
          <w:highlight w:val="none"/>
          <w:u w:color="auto"/>
        </w:rPr>
        <w:t>全区举办</w:t>
      </w:r>
      <w:r>
        <w:rPr>
          <w:rFonts w:hint="eastAsia" w:ascii="仿宋" w:hAnsi="仿宋" w:eastAsia="仿宋" w:cs="仿宋"/>
          <w:highlight w:val="none"/>
          <w:u w:color="auto"/>
          <w:lang w:val="en-US" w:eastAsia="zh-CN"/>
        </w:rPr>
        <w:t>74</w:t>
      </w:r>
      <w:r>
        <w:rPr>
          <w:rFonts w:ascii="仿宋" w:hAnsi="仿宋" w:eastAsia="仿宋" w:cs="仿宋"/>
          <w:highlight w:val="none"/>
          <w:u w:color="auto"/>
        </w:rPr>
        <w:t>场重点招商活动，通过举办国机集团和达索系统企业家走进玄武、“聚焦碳市场发展践行ESG理念”主题沙龙暨长三角碳中和产业创新投资联盟会议等活动，广泛开展宣传推介和项目签约，不断提升玄武影响力。二是常态组织小分队外出招商。精心筹划和保障区党政主要领导赴重点城市招商考察，主动上门对接意向投资企业，推进在谈项目。</w:t>
      </w:r>
      <w:r>
        <w:rPr>
          <w:rFonts w:hint="eastAsia" w:ascii="仿宋" w:hAnsi="仿宋" w:eastAsia="仿宋" w:cs="仿宋"/>
          <w:highlight w:val="none"/>
          <w:u w:color="auto"/>
          <w:lang w:eastAsia="zh-CN"/>
        </w:rPr>
        <w:t>全年</w:t>
      </w:r>
      <w:r>
        <w:rPr>
          <w:rFonts w:ascii="仿宋" w:hAnsi="仿宋" w:eastAsia="仿宋" w:cs="仿宋"/>
          <w:highlight w:val="none"/>
          <w:u w:color="auto"/>
        </w:rPr>
        <w:t>区“一把手”带队外出招商</w:t>
      </w:r>
      <w:r>
        <w:rPr>
          <w:rFonts w:hint="eastAsia" w:ascii="仿宋" w:hAnsi="仿宋" w:eastAsia="仿宋" w:cs="仿宋"/>
          <w:highlight w:val="none"/>
          <w:u w:color="auto"/>
          <w:lang w:val="en-US" w:eastAsia="zh-CN"/>
        </w:rPr>
        <w:t>28</w:t>
      </w:r>
      <w:r>
        <w:rPr>
          <w:rFonts w:ascii="仿宋" w:hAnsi="仿宋" w:eastAsia="仿宋" w:cs="仿宋"/>
          <w:highlight w:val="none"/>
          <w:u w:color="auto"/>
        </w:rPr>
        <w:t>次，各级组织小分队外出招商</w:t>
      </w:r>
      <w:r>
        <w:rPr>
          <w:rFonts w:hint="eastAsia" w:ascii="仿宋" w:hAnsi="仿宋" w:eastAsia="仿宋" w:cs="仿宋"/>
          <w:highlight w:val="none"/>
          <w:u w:color="auto"/>
          <w:lang w:val="en-US" w:eastAsia="zh-CN"/>
        </w:rPr>
        <w:t>91</w:t>
      </w:r>
      <w:r>
        <w:rPr>
          <w:rFonts w:ascii="仿宋" w:hAnsi="仿宋" w:eastAsia="仿宋" w:cs="仿宋"/>
          <w:highlight w:val="none"/>
          <w:u w:color="auto"/>
        </w:rPr>
        <w:t>次。</w:t>
      </w:r>
      <w:r>
        <w:rPr>
          <w:rFonts w:ascii="仿宋" w:hAnsi="仿宋" w:eastAsia="仿宋" w:cs="仿宋"/>
          <w:u w:color="auto"/>
        </w:rPr>
        <w:t>三是加大招商推介，以“魅力玄武天生绿质”为主题，设计制作全新玄武招商系列宣传品，并在全区各类招商活动中投放使用；以《玄武heartbeat》为主题，拍摄玄武区“1+1”形象宣传片，点面结合地展示玄武区形象与亮点。四是发挥玄武金卡优势。举办2024年“玄武金卡”暑期亲子互动活动——动物园奇妙夜，活动得到了金卡企业的热烈反响，增强了金卡企业幸福感、获得感；新增金卡企业出行服务合作，围绕企业高管、贵宾国内外航班进出港需求，定制服务内容和专属优惠价格。</w:t>
      </w:r>
    </w:p>
    <w:p>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hint="eastAsia" w:ascii="仿宋" w:hAnsi="仿宋" w:eastAsia="仿宋" w:cs="仿宋"/>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南京市玄武区投资促进局</w:t>
      </w:r>
    </w:p>
    <w:p>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部门</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rPr>
                <w:rFonts w:hint="eastAsia" w:ascii="仿宋" w:hAnsi="仿宋" w:eastAsia="仿宋" w:cs="仿宋"/>
                <w:color w:val="000000"/>
                <w:sz w:val="20"/>
              </w:rPr>
            </w:pPr>
          </w:p>
        </w:tc>
        <w:tc>
          <w:tcPr>
            <w:tcW w:w="1777" w:type="dxa"/>
          </w:tcPr>
          <w:p>
            <w:pPr>
              <w:rPr>
                <w:rFonts w:hint="eastAsia" w:ascii="仿宋" w:hAnsi="仿宋" w:eastAsia="仿宋" w:cs="仿宋"/>
                <w:color w:val="000000"/>
                <w:sz w:val="20"/>
              </w:rPr>
            </w:pPr>
          </w:p>
        </w:tc>
        <w:tc>
          <w:tcPr>
            <w:tcW w:w="5202" w:type="dxa"/>
            <w:gridSpan w:val="3"/>
          </w:tcPr>
          <w:p>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hint="eastAsia"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color w:val="000000"/>
                <w:lang w:eastAsia="ar-SA"/>
              </w:rPr>
              <w:t>南京市玄武区投资促进局</w:t>
            </w:r>
          </w:p>
        </w:tc>
        <w:tc>
          <w:tcPr>
            <w:tcW w:w="3167" w:type="dxa"/>
            <w:gridSpan w:val="2"/>
            <w:tcBorders>
              <w:bottom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720.85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479.40</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0.23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18.91</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49.95</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172.74</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721.08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721.00</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r>
              <w:rPr>
                <w:rFonts w:hint="eastAsia" w:ascii="仿宋" w:hAnsi="仿宋" w:eastAsia="仿宋" w:cs="仿宋"/>
                <w:color w:val="000000"/>
                <w:lang w:eastAsia="ar-SA"/>
              </w:rPr>
              <w:t>126.75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126.83</w:t>
            </w: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847.83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847.83</w:t>
            </w:r>
          </w:p>
        </w:tc>
      </w:tr>
    </w:tbl>
    <w:p>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jc w:val="center"/>
              <w:rPr>
                <w:rFonts w:hint="eastAsia" w:ascii="仿宋" w:hAnsi="仿宋" w:eastAsia="仿宋" w:cs="仿宋"/>
              </w:rPr>
            </w:pPr>
          </w:p>
        </w:tc>
        <w:tc>
          <w:tcPr>
            <w:tcW w:w="1716" w:type="dxa"/>
            <w:vAlign w:val="center"/>
          </w:tcPr>
          <w:p>
            <w:pPr>
              <w:pStyle w:val="22"/>
              <w:jc w:val="center"/>
              <w:rPr>
                <w:rFonts w:hint="eastAsia" w:ascii="仿宋" w:hAnsi="仿宋" w:eastAsia="仿宋" w:cs="仿宋"/>
              </w:rPr>
            </w:pPr>
          </w:p>
        </w:tc>
        <w:tc>
          <w:tcPr>
            <w:tcW w:w="1728" w:type="dxa"/>
            <w:vAlign w:val="center"/>
          </w:tcPr>
          <w:p>
            <w:pPr>
              <w:pStyle w:val="22"/>
              <w:jc w:val="center"/>
              <w:rPr>
                <w:rFonts w:hint="eastAsia" w:ascii="仿宋" w:hAnsi="仿宋" w:eastAsia="仿宋" w:cs="仿宋"/>
              </w:rPr>
            </w:pPr>
          </w:p>
        </w:tc>
        <w:tc>
          <w:tcPr>
            <w:tcW w:w="1686" w:type="dxa"/>
            <w:vAlign w:val="center"/>
          </w:tcPr>
          <w:p>
            <w:pPr>
              <w:pStyle w:val="22"/>
              <w:jc w:val="center"/>
              <w:rPr>
                <w:rFonts w:hint="eastAsia" w:ascii="仿宋" w:hAnsi="仿宋" w:eastAsia="仿宋" w:cs="仿宋"/>
              </w:rPr>
            </w:pPr>
          </w:p>
        </w:tc>
        <w:tc>
          <w:tcPr>
            <w:tcW w:w="3207" w:type="dxa"/>
            <w:gridSpan w:val="2"/>
            <w:vAlign w:val="center"/>
          </w:tcPr>
          <w:p>
            <w:pPr>
              <w:pStyle w:val="22"/>
              <w:jc w:val="center"/>
              <w:rPr>
                <w:rFonts w:hint="eastAsia" w:ascii="仿宋" w:hAnsi="仿宋" w:eastAsia="仿宋" w:cs="仿宋"/>
              </w:rPr>
            </w:pPr>
          </w:p>
        </w:tc>
        <w:tc>
          <w:tcPr>
            <w:tcW w:w="1263" w:type="dxa"/>
            <w:vAlign w:val="center"/>
          </w:tcPr>
          <w:p>
            <w:pPr>
              <w:pStyle w:val="22"/>
              <w:jc w:val="center"/>
              <w:rPr>
                <w:rFonts w:hint="eastAsia" w:ascii="仿宋" w:hAnsi="仿宋" w:eastAsia="仿宋" w:cs="仿宋"/>
              </w:rPr>
            </w:pP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rPr>
                <w:rFonts w:hint="eastAsia" w:ascii="仿宋" w:hAnsi="仿宋" w:eastAsia="仿宋" w:cs="仿宋"/>
              </w:rPr>
            </w:pPr>
          </w:p>
        </w:tc>
        <w:tc>
          <w:tcPr>
            <w:tcW w:w="1728" w:type="dxa"/>
            <w:vMerge w:val="continue"/>
            <w:tcBorders>
              <w:left w:val="single" w:color="000000" w:sz="4" w:space="0"/>
              <w:bottom w:val="single" w:color="000000" w:sz="4" w:space="0"/>
            </w:tcBorders>
          </w:tcPr>
          <w:p>
            <w:pPr>
              <w:rPr>
                <w:rFonts w:hint="eastAsia" w:ascii="仿宋" w:hAnsi="仿宋" w:eastAsia="仿宋" w:cs="仿宋"/>
              </w:rPr>
            </w:pPr>
          </w:p>
        </w:tc>
        <w:tc>
          <w:tcPr>
            <w:tcW w:w="1686" w:type="dxa"/>
            <w:vMerge w:val="continue"/>
            <w:tcBorders>
              <w:left w:val="single" w:color="000000" w:sz="4" w:space="0"/>
              <w:bottom w:val="single" w:color="000000" w:sz="4" w:space="0"/>
            </w:tcBorders>
          </w:tcPr>
          <w:p>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rPr>
                <w:rFonts w:hint="eastAsia" w:ascii="仿宋" w:hAnsi="仿宋" w:eastAsia="仿宋" w:cs="仿宋"/>
              </w:rPr>
            </w:pPr>
          </w:p>
        </w:tc>
        <w:tc>
          <w:tcPr>
            <w:tcW w:w="1375" w:type="dxa"/>
            <w:vMerge w:val="continue"/>
            <w:tcBorders>
              <w:left w:val="single" w:color="000000" w:sz="4" w:space="0"/>
              <w:bottom w:val="single" w:color="000000" w:sz="4" w:space="0"/>
            </w:tcBorders>
          </w:tcPr>
          <w:p>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721.08</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720.85</w:t>
            </w:r>
          </w:p>
        </w:tc>
        <w:tc>
          <w:tcPr>
            <w:tcW w:w="168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0.23</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479.48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479.25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0.23</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20113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商贸事务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479.48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479.25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0.23</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2011301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346.05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346.05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2011302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2.79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2.56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0.23</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2011308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招商引资</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130.64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130.64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18.91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18.91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18.91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18.91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18.91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18.91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49.95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49.95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21699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49.95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49.95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2169999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49.95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49.95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172.74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172.74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172.74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172.74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54.54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54.54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118.19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118.19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bl>
    <w:p>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jc w:val="center"/>
              <w:rPr>
                <w:rFonts w:hint="eastAsia" w:ascii="仿宋" w:hAnsi="仿宋" w:eastAsia="仿宋" w:cs="仿宋"/>
              </w:rPr>
            </w:pPr>
          </w:p>
        </w:tc>
        <w:tc>
          <w:tcPr>
            <w:tcW w:w="2164" w:type="dxa"/>
            <w:vAlign w:val="center"/>
          </w:tcPr>
          <w:p>
            <w:pPr>
              <w:pStyle w:val="22"/>
              <w:jc w:val="center"/>
              <w:rPr>
                <w:rFonts w:hint="eastAsia" w:ascii="仿宋" w:hAnsi="仿宋" w:eastAsia="仿宋" w:cs="仿宋"/>
                <w:sz w:val="20"/>
              </w:rPr>
            </w:pPr>
          </w:p>
        </w:tc>
        <w:tc>
          <w:tcPr>
            <w:tcW w:w="1897" w:type="dxa"/>
            <w:vAlign w:val="center"/>
          </w:tcPr>
          <w:p>
            <w:pPr>
              <w:pStyle w:val="22"/>
              <w:jc w:val="center"/>
              <w:rPr>
                <w:rFonts w:hint="eastAsia" w:ascii="仿宋" w:hAnsi="仿宋" w:eastAsia="仿宋" w:cs="仿宋"/>
                <w:sz w:val="20"/>
              </w:rPr>
            </w:pPr>
          </w:p>
        </w:tc>
        <w:tc>
          <w:tcPr>
            <w:tcW w:w="1739" w:type="dxa"/>
            <w:vAlign w:val="center"/>
          </w:tcPr>
          <w:p>
            <w:pPr>
              <w:pStyle w:val="22"/>
              <w:jc w:val="center"/>
              <w:rPr>
                <w:rFonts w:hint="eastAsia" w:ascii="仿宋" w:hAnsi="仿宋" w:eastAsia="仿宋" w:cs="仿宋"/>
                <w:sz w:val="20"/>
              </w:rPr>
            </w:pPr>
          </w:p>
        </w:tc>
        <w:tc>
          <w:tcPr>
            <w:tcW w:w="1715" w:type="dxa"/>
            <w:vAlign w:val="center"/>
          </w:tcPr>
          <w:p>
            <w:pPr>
              <w:pStyle w:val="22"/>
              <w:jc w:val="center"/>
              <w:rPr>
                <w:rFonts w:hint="eastAsia" w:ascii="仿宋" w:hAnsi="仿宋" w:eastAsia="仿宋" w:cs="仿宋"/>
                <w:sz w:val="20"/>
              </w:rPr>
            </w:pP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pPr>
              <w:rPr>
                <w:rFonts w:hint="eastAsia" w:ascii="仿宋" w:hAnsi="仿宋" w:eastAsia="仿宋" w:cs="仿宋"/>
              </w:rPr>
            </w:pPr>
          </w:p>
        </w:tc>
        <w:tc>
          <w:tcPr>
            <w:tcW w:w="1897" w:type="dxa"/>
            <w:vMerge w:val="continue"/>
            <w:tcBorders>
              <w:left w:val="single" w:color="000000" w:sz="4" w:space="0"/>
              <w:bottom w:val="single" w:color="000000" w:sz="4" w:space="0"/>
            </w:tcBorders>
          </w:tcPr>
          <w:p>
            <w:pPr>
              <w:rPr>
                <w:rFonts w:hint="eastAsia" w:ascii="仿宋" w:hAnsi="仿宋" w:eastAsia="仿宋" w:cs="仿宋"/>
              </w:rPr>
            </w:pPr>
          </w:p>
        </w:tc>
        <w:tc>
          <w:tcPr>
            <w:tcW w:w="1739" w:type="dxa"/>
            <w:vMerge w:val="continue"/>
            <w:tcBorders>
              <w:left w:val="single" w:color="000000" w:sz="4" w:space="0"/>
              <w:bottom w:val="single" w:color="000000" w:sz="4" w:space="0"/>
            </w:tcBorders>
          </w:tcPr>
          <w:p>
            <w:pPr>
              <w:rPr>
                <w:rFonts w:hint="eastAsia" w:ascii="仿宋" w:hAnsi="仿宋" w:eastAsia="仿宋" w:cs="仿宋"/>
              </w:rPr>
            </w:pPr>
          </w:p>
        </w:tc>
        <w:tc>
          <w:tcPr>
            <w:tcW w:w="1715" w:type="dxa"/>
            <w:vMerge w:val="continue"/>
            <w:tcBorders>
              <w:left w:val="single" w:color="000000" w:sz="4" w:space="0"/>
              <w:bottom w:val="single" w:color="000000" w:sz="4" w:space="0"/>
            </w:tcBorders>
          </w:tcPr>
          <w:p>
            <w:pPr>
              <w:rPr>
                <w:rFonts w:hint="eastAsia" w:ascii="仿宋" w:hAnsi="仿宋" w:eastAsia="仿宋" w:cs="仿宋"/>
              </w:rPr>
            </w:pPr>
          </w:p>
        </w:tc>
        <w:tc>
          <w:tcPr>
            <w:tcW w:w="1633" w:type="dxa"/>
            <w:vMerge w:val="continue"/>
            <w:tcBorders>
              <w:left w:val="single" w:color="000000" w:sz="4" w:space="0"/>
              <w:bottom w:val="single" w:color="000000" w:sz="4" w:space="0"/>
            </w:tcBorders>
          </w:tcPr>
          <w:p>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721.00</w:t>
            </w:r>
          </w:p>
        </w:tc>
        <w:tc>
          <w:tcPr>
            <w:tcW w:w="1897"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537.69</w:t>
            </w:r>
          </w:p>
        </w:tc>
        <w:tc>
          <w:tcPr>
            <w:tcW w:w="1739"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183.30</w:t>
            </w:r>
          </w:p>
        </w:tc>
        <w:tc>
          <w:tcPr>
            <w:tcW w:w="1715"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479.40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346.05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133.35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20113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商贸事务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479.40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346.05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133.35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2011301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346.05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346.05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2011302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2.71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2.71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2011308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招商引资</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130.64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130.64</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18.91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18.91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18.91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18.91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2101101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行政单位医疗</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18.91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18.91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商业服务业等支出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49.95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49.95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21699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其他商业服务业等支出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49.95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49.95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2169999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其他商业服务业等支出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49.95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49.95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172.74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172.74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172.74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172.74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54.54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54.54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118.19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118.19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bl>
    <w:p>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rPr>
                <w:rFonts w:hint="eastAsia" w:ascii="仿宋" w:hAnsi="仿宋" w:eastAsia="仿宋" w:cs="仿宋"/>
                <w:sz w:val="20"/>
              </w:rPr>
            </w:pPr>
          </w:p>
        </w:tc>
        <w:tc>
          <w:tcPr>
            <w:tcW w:w="847" w:type="dxa"/>
          </w:tcPr>
          <w:p>
            <w:pPr>
              <w:pStyle w:val="22"/>
              <w:rPr>
                <w:rFonts w:hint="eastAsia" w:ascii="仿宋" w:hAnsi="仿宋" w:eastAsia="仿宋" w:cs="仿宋"/>
                <w:sz w:val="20"/>
              </w:rPr>
            </w:pPr>
          </w:p>
        </w:tc>
        <w:tc>
          <w:tcPr>
            <w:tcW w:w="1913" w:type="dxa"/>
          </w:tcPr>
          <w:p>
            <w:pPr>
              <w:pStyle w:val="22"/>
              <w:rPr>
                <w:rFonts w:hint="eastAsia" w:ascii="仿宋" w:hAnsi="仿宋" w:eastAsia="仿宋" w:cs="仿宋"/>
                <w:sz w:val="20"/>
              </w:rPr>
            </w:pPr>
          </w:p>
        </w:tc>
        <w:tc>
          <w:tcPr>
            <w:tcW w:w="2635" w:type="dxa"/>
            <w:gridSpan w:val="2"/>
          </w:tcPr>
          <w:p>
            <w:pPr>
              <w:pStyle w:val="22"/>
              <w:rPr>
                <w:rFonts w:hint="eastAsia" w:ascii="仿宋" w:hAnsi="仿宋" w:eastAsia="仿宋" w:cs="仿宋"/>
                <w:sz w:val="20"/>
              </w:rPr>
            </w:pPr>
          </w:p>
        </w:tc>
        <w:tc>
          <w:tcPr>
            <w:tcW w:w="1194" w:type="dxa"/>
          </w:tcPr>
          <w:p>
            <w:pPr>
              <w:pStyle w:val="22"/>
              <w:rPr>
                <w:rFonts w:hint="eastAsia" w:ascii="仿宋" w:hAnsi="仿宋" w:eastAsia="仿宋" w:cs="仿宋"/>
                <w:sz w:val="20"/>
              </w:rPr>
            </w:pP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rPr>
            </w:pPr>
            <w:r>
              <w:rPr>
                <w:rFonts w:hint="eastAsia" w:ascii="仿宋" w:hAnsi="仿宋" w:eastAsia="仿宋" w:cs="仿宋"/>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720.85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479.25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479.25</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49.95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49.95</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720.85</w:t>
            </w:r>
          </w:p>
        </w:tc>
        <w:tc>
          <w:tcPr>
            <w:tcW w:w="3667" w:type="dxa"/>
            <w:gridSpan w:val="3"/>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720.85</w:t>
            </w:r>
          </w:p>
        </w:tc>
        <w:tc>
          <w:tcPr>
            <w:tcW w:w="1415" w:type="dxa"/>
            <w:gridSpan w:val="2"/>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720.85</w:t>
            </w:r>
          </w:p>
        </w:tc>
        <w:tc>
          <w:tcPr>
            <w:tcW w:w="1500"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720.85</w:t>
            </w:r>
          </w:p>
        </w:tc>
        <w:tc>
          <w:tcPr>
            <w:tcW w:w="366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720.85</w:t>
            </w:r>
          </w:p>
        </w:tc>
        <w:tc>
          <w:tcPr>
            <w:tcW w:w="1415" w:type="dxa"/>
            <w:gridSpan w:val="2"/>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720.85</w:t>
            </w:r>
          </w:p>
        </w:tc>
        <w:tc>
          <w:tcPr>
            <w:tcW w:w="1500"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bl>
    <w:p>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rPr>
                <w:rFonts w:hint="eastAsia" w:ascii="仿宋" w:hAnsi="仿宋" w:eastAsia="仿宋" w:cs="仿宋"/>
                <w:sz w:val="20"/>
              </w:rPr>
            </w:pPr>
          </w:p>
        </w:tc>
        <w:tc>
          <w:tcPr>
            <w:tcW w:w="3184" w:type="dxa"/>
          </w:tcPr>
          <w:p>
            <w:pPr>
              <w:pStyle w:val="22"/>
              <w:rPr>
                <w:rFonts w:hint="eastAsia" w:ascii="仿宋" w:hAnsi="仿宋" w:eastAsia="仿宋" w:cs="仿宋"/>
                <w:sz w:val="27"/>
              </w:rPr>
            </w:pPr>
          </w:p>
        </w:tc>
        <w:tc>
          <w:tcPr>
            <w:tcW w:w="5933" w:type="dxa"/>
            <w:gridSpan w:val="2"/>
            <w:vAlign w:val="center"/>
          </w:tcPr>
          <w:p>
            <w:pPr>
              <w:pStyle w:val="22"/>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3184" w:type="dxa"/>
          </w:tcPr>
          <w:p>
            <w:pPr>
              <w:pStyle w:val="22"/>
              <w:rPr>
                <w:rFonts w:hint="eastAsia" w:ascii="仿宋" w:hAnsi="仿宋" w:eastAsia="仿宋" w:cs="仿宋"/>
                <w:sz w:val="27"/>
              </w:rPr>
            </w:pPr>
          </w:p>
        </w:tc>
        <w:tc>
          <w:tcPr>
            <w:tcW w:w="2778" w:type="dxa"/>
            <w:vAlign w:val="center"/>
          </w:tcPr>
          <w:p>
            <w:pPr>
              <w:pStyle w:val="22"/>
              <w:jc w:val="right"/>
              <w:rPr>
                <w:rFonts w:hint="eastAsia" w:ascii="仿宋" w:hAnsi="仿宋" w:eastAsia="仿宋" w:cs="仿宋"/>
                <w:sz w:val="27"/>
              </w:rPr>
            </w:pPr>
          </w:p>
        </w:tc>
        <w:tc>
          <w:tcPr>
            <w:tcW w:w="3155"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pPr>
              <w:rPr>
                <w:rFonts w:hint="eastAsia" w:ascii="仿宋" w:hAnsi="仿宋" w:eastAsia="仿宋" w:cs="仿宋"/>
              </w:rPr>
            </w:pPr>
          </w:p>
        </w:tc>
        <w:tc>
          <w:tcPr>
            <w:tcW w:w="2778" w:type="dxa"/>
            <w:vMerge w:val="continue"/>
            <w:tcBorders>
              <w:left w:val="single" w:color="000000" w:sz="6" w:space="0"/>
              <w:bottom w:val="single" w:color="000000" w:sz="6" w:space="0"/>
            </w:tcBorders>
          </w:tcPr>
          <w:p>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720.85</w:t>
            </w:r>
          </w:p>
        </w:tc>
        <w:tc>
          <w:tcPr>
            <w:tcW w:w="2778"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537.69</w:t>
            </w:r>
          </w:p>
        </w:tc>
        <w:tc>
          <w:tcPr>
            <w:tcW w:w="3155" w:type="dxa"/>
            <w:tcBorders>
              <w:left w:val="single" w:color="000000" w:sz="6" w:space="0"/>
              <w:bottom w:val="single" w:color="000000" w:sz="6" w:space="0"/>
              <w:right w:val="single" w:color="000000" w:sz="6" w:space="0"/>
            </w:tcBorders>
          </w:tcPr>
          <w:p>
            <w:pPr>
              <w:pStyle w:val="22"/>
              <w:jc w:val="right"/>
              <w:rPr>
                <w:rFonts w:hint="eastAsia" w:ascii="仿宋" w:hAnsi="仿宋" w:eastAsia="仿宋" w:cs="仿宋"/>
              </w:rPr>
            </w:pPr>
            <w:r>
              <w:rPr>
                <w:rFonts w:hint="eastAsia" w:ascii="仿宋" w:hAnsi="仿宋" w:eastAsia="仿宋" w:cs="仿宋"/>
              </w:rPr>
              <w:t>183.15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479.25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346.05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133.20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20113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商贸事务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479.25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346.05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133.20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2011301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346.05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346.05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2011302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2.56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2011308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招商引资</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130.64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130.64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49.95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49.95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21699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49.95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49.95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2169999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49.95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49.95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54.54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54.54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118.19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118.19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rPr>
                <w:rFonts w:hint="eastAsia" w:ascii="仿宋" w:hAnsi="仿宋" w:eastAsia="仿宋" w:cs="仿宋"/>
                <w:sz w:val="20"/>
              </w:rPr>
            </w:pPr>
          </w:p>
        </w:tc>
        <w:tc>
          <w:tcPr>
            <w:tcW w:w="2047" w:type="dxa"/>
          </w:tcPr>
          <w:p>
            <w:pPr>
              <w:pStyle w:val="22"/>
              <w:rPr>
                <w:rFonts w:hint="eastAsia" w:ascii="仿宋" w:hAnsi="仿宋" w:eastAsia="仿宋" w:cs="仿宋"/>
                <w:sz w:val="20"/>
              </w:rPr>
            </w:pPr>
          </w:p>
        </w:tc>
        <w:tc>
          <w:tcPr>
            <w:tcW w:w="2040" w:type="dxa"/>
          </w:tcPr>
          <w:p>
            <w:pPr>
              <w:pStyle w:val="22"/>
              <w:rPr>
                <w:rFonts w:hint="eastAsia" w:ascii="仿宋" w:hAnsi="仿宋" w:eastAsia="仿宋" w:cs="仿宋"/>
                <w:sz w:val="20"/>
              </w:rPr>
            </w:pP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537.69</w:t>
            </w:r>
          </w:p>
        </w:tc>
        <w:tc>
          <w:tcPr>
            <w:tcW w:w="204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523.94</w:t>
            </w:r>
          </w:p>
        </w:tc>
        <w:tc>
          <w:tcPr>
            <w:tcW w:w="1896"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13.76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523.94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523.94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70.89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70.89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221.30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99.62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99.62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38.79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38.79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19.40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54.54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13.76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3.65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rPr>
                <w:rFonts w:hint="eastAsia" w:ascii="仿宋" w:hAnsi="仿宋" w:eastAsia="仿宋" w:cs="仿宋"/>
                <w:sz w:val="20"/>
              </w:rPr>
            </w:pPr>
          </w:p>
        </w:tc>
        <w:tc>
          <w:tcPr>
            <w:tcW w:w="1969" w:type="dxa"/>
          </w:tcPr>
          <w:p>
            <w:pPr>
              <w:pStyle w:val="22"/>
              <w:rPr>
                <w:rFonts w:hint="eastAsia" w:ascii="仿宋" w:hAnsi="仿宋" w:eastAsia="仿宋" w:cs="仿宋"/>
                <w:sz w:val="20"/>
              </w:rPr>
            </w:pPr>
          </w:p>
        </w:tc>
        <w:tc>
          <w:tcPr>
            <w:tcW w:w="1499" w:type="dxa"/>
          </w:tcPr>
          <w:p>
            <w:pPr>
              <w:pStyle w:val="22"/>
              <w:rPr>
                <w:rFonts w:hint="eastAsia" w:ascii="仿宋" w:hAnsi="仿宋" w:eastAsia="仿宋" w:cs="仿宋"/>
                <w:sz w:val="20"/>
              </w:rPr>
            </w:pPr>
          </w:p>
        </w:tc>
        <w:tc>
          <w:tcPr>
            <w:tcW w:w="1512" w:type="dxa"/>
            <w:vAlign w:val="center"/>
          </w:tcPr>
          <w:p>
            <w:pPr>
              <w:pStyle w:val="22"/>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3011" w:type="dxa"/>
            <w:gridSpan w:val="2"/>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720.85</w:t>
            </w:r>
          </w:p>
        </w:tc>
        <w:tc>
          <w:tcPr>
            <w:tcW w:w="149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537.69</w:t>
            </w:r>
          </w:p>
        </w:tc>
        <w:tc>
          <w:tcPr>
            <w:tcW w:w="1512" w:type="dxa"/>
            <w:tcBorders>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183.15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479.25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346.05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133.20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20113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商贸事务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479.25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346.05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133.20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2011301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346.05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346.05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2011302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2.56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2.56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2011308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招商引资</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130.64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130.64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49.95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49.95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21699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其他商业服务业等支出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49.95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49.95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2169999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其他商业服务业等支出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49.95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49.95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172.74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54.54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54.54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118.19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118.19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jc w:val="right"/>
              <w:rPr>
                <w:rFonts w:hint="eastAsia" w:ascii="仿宋" w:hAnsi="仿宋" w:eastAsia="仿宋" w:cs="仿宋"/>
                <w:color w:val="000000"/>
              </w:rPr>
            </w:pPr>
          </w:p>
        </w:tc>
        <w:tc>
          <w:tcPr>
            <w:tcW w:w="1878" w:type="dxa"/>
            <w:vAlign w:val="center"/>
          </w:tcPr>
          <w:p>
            <w:pPr>
              <w:pStyle w:val="22"/>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1878"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537.69</w:t>
            </w:r>
          </w:p>
        </w:tc>
        <w:tc>
          <w:tcPr>
            <w:tcW w:w="170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523.94</w:t>
            </w:r>
          </w:p>
        </w:tc>
        <w:tc>
          <w:tcPr>
            <w:tcW w:w="187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13.76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523.94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523.94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70.89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70.89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221.30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221.30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99.62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99.62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38.79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38.79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19.40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19.40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18.91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54.54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54.54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13.76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13.76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3.65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8274" w:type="dxa"/>
            <w:gridSpan w:val="8"/>
            <w:tcBorders>
              <w:bottom w:val="single" w:color="auto" w:sz="4" w:space="0"/>
            </w:tcBorders>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lang w:val="en-US"/>
              </w:rPr>
            </w:pPr>
            <w:r>
              <w:rPr>
                <w:rFonts w:hint="eastAsia" w:ascii="仿宋" w:hAnsi="仿宋" w:eastAsia="仿宋" w:cs="仿宋"/>
                <w:lang w:val="en-US"/>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0.07</w:t>
            </w:r>
          </w:p>
        </w:tc>
        <w:tc>
          <w:tcPr>
            <w:tcW w:w="10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0.07</w:t>
            </w:r>
          </w:p>
        </w:tc>
      </w:tr>
    </w:tbl>
    <w:p>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50.00</w:t>
            </w:r>
          </w:p>
        </w:tc>
      </w:tr>
    </w:tbl>
    <w:p>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rPr>
                <w:rFonts w:hint="eastAsia" w:ascii="仿宋" w:hAnsi="仿宋" w:eastAsia="仿宋" w:cs="仿宋"/>
                <w:sz w:val="20"/>
              </w:rPr>
            </w:pPr>
          </w:p>
        </w:tc>
        <w:tc>
          <w:tcPr>
            <w:tcW w:w="2684" w:type="dxa"/>
          </w:tcPr>
          <w:p>
            <w:pPr>
              <w:pStyle w:val="22"/>
              <w:rPr>
                <w:rFonts w:hint="eastAsia" w:ascii="仿宋" w:hAnsi="仿宋" w:eastAsia="仿宋" w:cs="仿宋"/>
                <w:sz w:val="27"/>
              </w:rPr>
            </w:pPr>
          </w:p>
        </w:tc>
        <w:tc>
          <w:tcPr>
            <w:tcW w:w="2432" w:type="dxa"/>
          </w:tcPr>
          <w:p>
            <w:pPr>
              <w:pStyle w:val="22"/>
              <w:rPr>
                <w:rFonts w:hint="eastAsia" w:ascii="仿宋" w:hAnsi="仿宋" w:eastAsia="仿宋" w:cs="仿宋"/>
                <w:sz w:val="20"/>
              </w:rPr>
            </w:pP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pPr>
        <w:spacing w:before="25"/>
        <w:ind w:left="440" w:leftChars="200"/>
        <w:jc w:val="both"/>
        <w:rPr>
          <w:rFonts w:hint="eastAsia" w:ascii="仿宋" w:hAnsi="仿宋" w:eastAsia="仿宋" w:cs="仿宋"/>
          <w:lang w:val="en-US"/>
        </w:rPr>
      </w:pPr>
      <w:r>
        <w:rPr>
          <w:rFonts w:ascii="仿宋" w:hAnsi="仿宋" w:eastAsia="仿宋" w:cs="仿宋"/>
          <w:u w:color="auto"/>
        </w:rPr>
        <w:t>本部门无政府性基金预算收入支出决算，故本表为空。</w:t>
      </w:r>
    </w:p>
    <w:p>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rPr>
                <w:rFonts w:hint="eastAsia" w:ascii="仿宋" w:hAnsi="仿宋" w:eastAsia="仿宋" w:cs="仿宋"/>
                <w:sz w:val="20"/>
              </w:rPr>
            </w:pPr>
          </w:p>
        </w:tc>
        <w:tc>
          <w:tcPr>
            <w:tcW w:w="2510" w:type="dxa"/>
          </w:tcPr>
          <w:p>
            <w:pPr>
              <w:pStyle w:val="22"/>
              <w:rPr>
                <w:rFonts w:hint="eastAsia" w:ascii="仿宋" w:hAnsi="仿宋" w:eastAsia="仿宋" w:cs="仿宋"/>
                <w:sz w:val="27"/>
              </w:rPr>
            </w:pPr>
          </w:p>
        </w:tc>
        <w:tc>
          <w:tcPr>
            <w:tcW w:w="2309" w:type="dxa"/>
          </w:tcPr>
          <w:p>
            <w:pPr>
              <w:pStyle w:val="22"/>
              <w:rPr>
                <w:rFonts w:hint="eastAsia" w:ascii="仿宋" w:hAnsi="仿宋" w:eastAsia="仿宋" w:cs="仿宋"/>
                <w:sz w:val="20"/>
              </w:rPr>
            </w:pP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pPr>
        <w:ind w:left="440" w:leftChars="200"/>
        <w:jc w:val="both"/>
        <w:rPr>
          <w:rFonts w:hint="eastAsia" w:ascii="仿宋" w:hAnsi="仿宋" w:eastAsia="仿宋" w:cs="仿宋"/>
          <w:lang w:val="en-US"/>
        </w:rPr>
      </w:pPr>
      <w:r>
        <w:rPr>
          <w:rFonts w:ascii="仿宋" w:hAnsi="仿宋" w:eastAsia="仿宋" w:cs="仿宋"/>
          <w:u w:color="auto"/>
        </w:rPr>
        <w:t>本部门无</w:t>
      </w:r>
      <w:r>
        <w:rPr>
          <w:rFonts w:hint="eastAsia" w:ascii="仿宋" w:hAnsi="仿宋" w:eastAsia="仿宋" w:cs="仿宋"/>
        </w:rPr>
        <w:t>国有资本经营预算支出</w:t>
      </w:r>
      <w:r>
        <w:rPr>
          <w:rFonts w:hint="eastAsia" w:ascii="仿宋" w:hAnsi="仿宋" w:eastAsia="仿宋" w:cs="仿宋"/>
          <w:lang w:val="en-US"/>
        </w:rPr>
        <w:t>决算，故本表为空。</w:t>
      </w:r>
    </w:p>
    <w:p>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rPr>
                <w:rFonts w:hint="eastAsia" w:ascii="仿宋" w:hAnsi="仿宋" w:eastAsia="仿宋" w:cs="仿宋"/>
                <w:sz w:val="20"/>
              </w:rPr>
            </w:pPr>
          </w:p>
        </w:tc>
        <w:tc>
          <w:tcPr>
            <w:tcW w:w="3834"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3834"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13.76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13.76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3.65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0.09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1.27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0.29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0.07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0.43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4.73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1.04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2.08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rPr>
                <w:rFonts w:hint="eastAsia" w:ascii="仿宋" w:hAnsi="仿宋" w:eastAsia="仿宋" w:cs="仿宋"/>
              </w:rPr>
            </w:pPr>
          </w:p>
        </w:tc>
        <w:tc>
          <w:tcPr>
            <w:tcW w:w="722" w:type="dxa"/>
          </w:tcPr>
          <w:p>
            <w:pPr>
              <w:pStyle w:val="22"/>
              <w:rPr>
                <w:rFonts w:hint="eastAsia" w:ascii="仿宋" w:hAnsi="仿宋" w:eastAsia="仿宋" w:cs="仿宋"/>
              </w:rPr>
            </w:pPr>
          </w:p>
        </w:tc>
        <w:tc>
          <w:tcPr>
            <w:tcW w:w="1992" w:type="dxa"/>
          </w:tcPr>
          <w:p>
            <w:pPr>
              <w:pStyle w:val="22"/>
              <w:rPr>
                <w:rFonts w:hint="eastAsia" w:ascii="仿宋" w:hAnsi="仿宋" w:eastAsia="仿宋" w:cs="仿宋"/>
              </w:rPr>
            </w:pP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南京市玄武区投资促进局</w:t>
            </w: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2.56</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2.56</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2024年度收入、支出决算总计847.83万元。与上年相比，收、支总计各减少59.44万元，减少6.55%。其中：</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（一）收入决算总计847.83万元。包括：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1.本年收入决算合计721.08万元。与上年相比，减少59.66万元，减少7.64%，变动原因：本年度完成工作的计划下，合理压减预算支出。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3.年初结转和结余126.75万元。与上年相比，增加0.22万元，增长0.17%，变动原因：有利息收入。</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（二）支出决算总计847.83万元。包括：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1.本年支出决算合计721万元。与上年相比，减少59.52万元，减少7.63%，变动原因：通过优化支出结构，合理压缩支出。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3.年末结转和结余126.83万元。结转和结余事项：有待支付的项目。与上年相比，增加0.08万元，增长0.06%，变动原因：因部分项目未完成，资金结转下年度使用。</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二、收入决算情况说明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721.08万元，其中：财政拨款收入720.85万元，占99.97%；上级补助收入0万元，占0%；财政专户管理教育收费0万元，占0%；事业收入（不含专户管理教育收费）0万元，占0%；经营收入0万元，占0%；附属单位上缴收入0万元，占0%；其他收入0.23万元，占0.03%。</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三、支出决算情况说明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2024年度本年支出决算合计721万元，其中：基本支出537.69万元，占74.58%；项目支出183.3万元，占25.42%；上缴上级支出0万元，占0%；经营支出0万元，占0%；对附属单位补助支出0万元，占0%。</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2024年度财政拨款收入、支出决算总计720.85万元。与上年相比，收、支总计各减少59.59万元，减少7.64%，变动原因：为落实过紧日子，合理压减支出。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2024年度财政拨款支出决算720.85万元，占本年支出合计的99.98%。与2024年度财政拨款支出年初预算835.74万元相比，完成年初预算的86.25%。其中：</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（一）一般公共服务支出（类）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1.商贸事务（款）行政运行（项）。年初预算420.19万元，支出决算346.05万元，完成年初预算的82.36%。决算数与年初预算数的差异原因：政策性调整，合理压减预算支出。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2.商贸事务（款）一般行政管理事务（项）。年初预算4.4万元，支出决算2.56万元，完成年初预算的58.18%。决算数与年初预算数的差异原因：本年度完成工作的计划下，合理压减预算支出。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3.商贸事务（款）招商引资（项）。年初预算212万元，支出决算130.64万元，完成年初预算的61.62%。决算数与年初预算数的差异原因：</w:t>
      </w:r>
      <w:r>
        <w:rPr>
          <w:rFonts w:hint="eastAsia" w:ascii="仿宋" w:hAnsi="仿宋" w:eastAsia="仿宋" w:cs="仿宋"/>
          <w:u w:color="auto"/>
          <w:lang w:eastAsia="zh-CN"/>
        </w:rPr>
        <w:t>厉行</w:t>
      </w:r>
      <w:r>
        <w:rPr>
          <w:rFonts w:ascii="仿宋" w:hAnsi="仿宋" w:eastAsia="仿宋" w:cs="仿宋"/>
          <w:u w:color="auto"/>
        </w:rPr>
        <w:t>勤俭节约，合理压减部分支出。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（二）卫生健康支出（类）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行政事业单位医疗（款）行政单位医疗（项）。年初预算19.46万元，支出决算18.91万元，完成年初预算的97.17%。决算数与年初预算数的差异原因：政策性调整，合理压减预算支出。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（三）商业服务业等支出（类）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其他商业服务业等支出（款）其他商业服务业等支出（项）。年初预算0万元，支出决算49.95万元，（年初预算数为0万元，无法计算完成比率）决算数与年初预算数的差异原因：因上年无此预算，本年度新增项目预算。</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（四）住房保障支出（类）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1.住房改革支出（款）住房公积金（项）。年初预算56.74万元，支出决算54.54万元，完成年初预算的96.12%。决算数与年初预算数的差异原因：人员调动。</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2.住房改革支出（款）提租补贴（项）。年初预算122.95万元，支出决算118.19万元，完成年初预算的96.13%。决算数与年初预算数的差异原因：人员变动。</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2024年度财政拨款基本支出决算537.69万元，其中：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（一）人员经费523.94万元。</w:t>
      </w:r>
      <w:r>
        <w:rPr>
          <w:rFonts w:ascii="仿宋" w:hAnsi="仿宋" w:eastAsia="仿宋" w:cs="仿宋"/>
          <w:u w:color="auto"/>
        </w:rPr>
        <w:t>主要包括：基本工资、津贴补贴、奖金、机关事业单位基本养老保险缴费、职业年金缴费、职工基本医疗保险缴费、其他社会保障缴费、住房公积金。</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（二）公用经费13.76万元。</w:t>
      </w:r>
      <w:r>
        <w:rPr>
          <w:rFonts w:ascii="仿宋" w:hAnsi="仿宋" w:eastAsia="仿宋" w:cs="仿宋"/>
          <w:u w:color="auto"/>
        </w:rPr>
        <w:t>主要包括：办公费、印刷费、邮电费、差旅费、维修（护）费、培训费、劳务费、工会经费、福利费、其他商品和服务支出。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2024年度一般公共预算财政拨款支出决算720.85万元。与上年相比，减少59.59万元，减少7.64%，变动原因：政策性调整，合理压减预算支出。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2024年度一般公共预算财政拨款基本支出决算537.69万元，其中：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（一）人员经费523.94万元。</w:t>
      </w:r>
      <w:r>
        <w:rPr>
          <w:rFonts w:ascii="仿宋" w:hAnsi="仿宋" w:eastAsia="仿宋" w:cs="仿宋"/>
          <w:u w:color="auto"/>
        </w:rPr>
        <w:t>主要包括：基本工资、津贴补贴、奖金、机关事业单位基本养老保险缴费、职业年金缴费、职工基本医疗保险缴费、其他社会保障缴费、住房公积金。</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（二）公用经费13.76万元。</w:t>
      </w:r>
      <w:r>
        <w:rPr>
          <w:rFonts w:ascii="仿宋" w:hAnsi="仿宋" w:eastAsia="仿宋" w:cs="仿宋"/>
          <w:u w:color="auto"/>
        </w:rPr>
        <w:t>主要包括：办公费、印刷费、邮电费、差旅费、维修（护）费、培训费、劳务费、工会经费、福利费、其他商品和服务支出。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2024年度财政拨款“三公”经费支出决算0万元（其中：一般公共预算支出0万元；政府性基金预算支出0万元；国有资本经营预算支出0万元）。与上年相比，减少13.08万元，变动原因：落实过紧日子，压减支出。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0.07万元（其中：一般公共预算支出0.07万元；政府性基金预算支出0万元；国有资本经营预算支出0万元），支出决算0.07万元（其中：一般公共预算支出0.07万元；政府性基金预算支出0万元；国有资本经营预算支出0万元），完成调整后预算的100%，决算数与预算数相同。2024年度全年组织培训1个，组织培训50人次，开支内容：干部进高校培训。</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2024年度机关运行经费支出决算13.76万元（其中：一般公共预算支出13.76万元；政府性基金预算支出0万元；国有资本经营预算支出0万元）。与上年相比，减少3.59万元，减少20.69%，变动原因：</w:t>
      </w:r>
      <w:r>
        <w:rPr>
          <w:rFonts w:hint="eastAsia" w:ascii="仿宋" w:hAnsi="仿宋" w:eastAsia="仿宋" w:cs="仿宋"/>
          <w:u w:color="auto"/>
          <w:lang w:eastAsia="zh-CN"/>
        </w:rPr>
        <w:t>厉行</w:t>
      </w:r>
      <w:bookmarkStart w:id="0" w:name="_GoBack"/>
      <w:bookmarkEnd w:id="0"/>
      <w:r>
        <w:rPr>
          <w:rFonts w:ascii="仿宋" w:hAnsi="仿宋" w:eastAsia="仿宋" w:cs="仿宋"/>
          <w:u w:color="auto"/>
        </w:rPr>
        <w:t>节约，合理安排支出。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2.56万元，其中：政府采购货物支出2.56万元、政府采购工程支出0万元、政府采购服务支出0万元。政府采购授予中小企业合同金额0万元，占政府采购支出总额的0%，其中：授予小微企业合同金额0万元。</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部门共有车辆0辆，其中：副部(省)级及以上领导用车0辆、主要领导干部用车0辆、机要通信用车0辆、应急保障用车0辆、执法执勤用车0辆、特种专业技术用车0辆、离退休干部用车0辆、其他用车0辆；单价100万元（含）以上的设备0台（套）。</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2024年度，本部门共0个项目开展了财政重点绩效评价，涉及财政性资金合计0万元；本部门未开展部门整体支出财政重点绩效评价，涉及财政性资金0万元。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本部门组织所属单位共对上年度已实施完成的7个项目开展了绩效自评价，涉及财政性资金合计126.75万元；本部门组织所属单位共开展1项单位整体支出绩效自评价，涉及财政性资金合计721.08万元。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本部门共0个项目开展了部门评价，涉及财政性资金合计0万元；本部门未开展部门整体支出部门评价，涉及财政性资金0万元。</w:t>
      </w:r>
    </w:p>
    <w:p>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pPr>
        <w:pStyle w:val="8"/>
        <w:tabs>
          <w:tab w:val="left" w:pos="3864"/>
          <w:tab w:val="left" w:pos="6248"/>
          <w:tab w:val="left" w:pos="7386"/>
        </w:tabs>
        <w:ind w:left="440" w:leftChars="200" w:firstLine="659" w:firstLineChars="206"/>
        <w:jc w:val="both"/>
        <w:rPr>
          <w:rFonts w:hint="eastAsia" w:ascii="仿宋" w:hAnsi="仿宋" w:eastAsia="仿宋" w:cs="仿宋"/>
        </w:rPr>
      </w:pP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十九、一般公共服务支出(类)商贸事务(款)行政运行(项)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二十、一般公共服务支出(类)商贸事务(款)一般行政管理事务(项)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二十一、一般公共服务支出(类)商贸事务(款)招商引资(项)</w:t>
      </w:r>
      <w:r>
        <w:rPr>
          <w:rFonts w:ascii="仿宋" w:hAnsi="仿宋" w:eastAsia="仿宋" w:cs="仿宋"/>
          <w:b/>
          <w:u w:color="auto"/>
        </w:rPr>
        <w:t>：</w:t>
      </w:r>
      <w:r>
        <w:rPr>
          <w:rFonts w:hint="eastAsia" w:ascii="仿宋" w:hAnsi="仿宋" w:eastAsia="仿宋" w:cs="仿宋"/>
        </w:rPr>
        <w:t>反映用于招商引资、优化经济环境等方面的支出。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二十二、卫生健康支出(类)行政事业单位医疗(款)行政单位医疗(项)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二十三、商业服务业等支出(类)其他商业服务业等支出(款)其他商业服务业等支出(项)</w:t>
      </w:r>
      <w:r>
        <w:rPr>
          <w:rFonts w:ascii="仿宋" w:hAnsi="仿宋" w:eastAsia="仿宋" w:cs="仿宋"/>
          <w:b/>
          <w:u w:color="auto"/>
        </w:rPr>
        <w:t>：</w:t>
      </w:r>
      <w:r>
        <w:rPr>
          <w:rFonts w:hint="eastAsia" w:ascii="仿宋" w:hAnsi="仿宋" w:eastAsia="仿宋" w:cs="仿宋"/>
        </w:rPr>
        <w:t>反映其他商业服务业等支出中除上述项目以外的其他支出。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二十四、住房保障支出(类)住房改革支出(款)住房公积金(项)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二十五、住房保障支出(类)住房改革支出(款)提租补贴(项)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A00002AF" w:usb1="500078FB" w:usb2="00000000" w:usb3="00000000" w:csb0="6000009F" w:csb1="DFD70000"/>
  </w:font>
  <w:font w:name="Liberation Mono">
    <w:panose1 w:val="02070409020205020404"/>
    <w:charset w:val="86"/>
    <w:family w:val="roman"/>
    <w:pitch w:val="default"/>
    <w:sig w:usb0="A00002AF" w:usb1="400078FB" w:usb2="00000000" w:usb3="00000000" w:csb0="6000009F" w:csb1="DFD70000"/>
  </w:font>
  <w:font w:name="新宋体">
    <w:altName w:val="方正书宋_GBK"/>
    <w:panose1 w:val="02010609030101010101"/>
    <w:charset w:val="86"/>
    <w:family w:val="modern"/>
    <w:pitch w:val="default"/>
    <w:sig w:usb0="00000000" w:usb1="00000000" w:usb2="0000000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RDXfXLAQAAnAMAAA4AAABkcnMv&#10;ZTJvRG9jLnhtbK1TzY7TMBC+I/EOlu/UaSVQFTVd7apahIQAaeEBXMduLPlPHrdJXwDegBMX7jxX&#10;n4Oxk3RhueyBSzKemXzzfZ8n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U2gxHGLF375/u3y49fl51eyrFavs0N9gBobHwK2puHOD7l7ygMms/BBRZvfKIlgHf09X/2V&#10;QyIif7RerdcVlgTW5gPisMfPQ4T0VnpLctDQiBdYfOWn95DG1rklT3P+XhuDeV4b91cCMXOGZe4j&#10;xxylYT9MxPe+PaOeHu++oQ5XnRLzzqG1eU3mIM7Bfg6OIepDh9SWhReE22NCEoVbnjDCToPx0oq6&#10;acHyVvx5Ll2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0Q131ywEAAJwDAAAOAAAA&#10;AAAAAAEAIAAAADQBAABkcnMvZTJvRG9jLnhtbFBLBQYAAAAABgAGAFkBAABxBQAA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0RWzHLAQAAnQMAAA4AAABkcnMv&#10;ZTJvRG9jLnhtbK1TzY7TMBC+I/EOlu/UaZFQFTVd7apahIQAaeEBXMduLPlPHrdJXwDegBMX7jxX&#10;n4Oxk3RhueyBSzKemXzzfd84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ZuAljhuceOX798uP35dfn4ly+r1KlvUB6ix8yFgbxru/IDtcx4wmZUPKtr8Rk0E64h2vhos&#10;h0RE/mi9Wq8rLAmszQfEZ4+fhwjprfSW5KChETdYjOWn95DG1rklT3P+XhtTtmjcXwnEzBmWuY8c&#10;c5SG/TAJ2vv2jHp6XH5DHd51Ssw7h94ivzQHcQ72c3AMUR86pLYsvCDcHhOSKNzyhBF2GoxbK+qm&#10;G5avxZ/n0vX4V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dEVsxywEAAJ0DAAAOAAAA&#10;AAAAAAEAIAAAADQBAABkcnMvZTJvRG9jLnhtbFBLBQYAAAAABgAGAFkBAABx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xzAh8wBAACdAwAADgAA&#10;AAAAAAABACAAAAA0AQAAZHJzL2Uyb0RvYy54bWxQSwUGAAAAAAYABgBZAQAAcg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MGFHqywEAAJ0DAAAOAAAA&#10;AAAAAAEAIAAAADQBAABkcnMvZTJvRG9jLnhtbFBLBQYAAAAABgAGAFkBAABx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y2xO8MwBAACdAwAADgAA&#10;AAAAAAABACAAAAA0AQAAZHJzL2Uyb0RvYy54bWxQSwUGAAAAAAYABgBZAQAAcg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B8YBXMwBAACcAwAADgAA&#10;AAAAAAABACAAAAA0AQAAZHJzL2Uyb0RvYy54bWxQSwUGAAAAAAYABgBZAQAAcgUAA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8i3e1ywEAAJwDAAAOAAAA&#10;AAAAAAEAIAAAADQBAABkcnMvZTJvRG9jLnhtbFBLBQYAAAAABgAGAFkBAABx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PQEdywEAAJwDAAAOAAAA&#10;AAAAAAEAIAAAADQBAABkcnMvZTJvRG9jLnhtbFBLBQYAAAAABgAGAFkBAABx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Z4EkZywEAAJwDAAAOAAAA&#10;AAAAAAEAIAAAADQBAABkcnMvZTJvRG9jLnhtbFBLBQYAAAAABgAGAFkBAABx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zEKuywEAAJwDAAAOAAAA&#10;AAAAAAEAIAAAADQBAABkcnMvZTJvRG9jLnhtbFBLBQYAAAAABgAGAFkBAABx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AwdkYywEAAJwDAAAOAAAA&#10;AAAAAAEAIAAAADQBAABkcnMvZTJvRG9jLnhtbFBLBQYAAAAABgAGAFkBAABx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NmyCN8kBAACcAwAADgAAAAAA&#10;AAABACAAAAA0AQAAZHJzL2Uyb0RvYy54bWxQSwUGAAAAAAYABgBZAQAAbw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GEZgcwBAACcAwAADgAA&#10;AAAAAAABACAAAAA0AQAAZHJzL2Uyb0RvYy54bWxQSwUGAAAAAAYABgBZAQAAcg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eastAsia"/>
        <w:lang w:val="en-US"/>
      </w:rPr>
    </w:pPr>
    <w:r>
      <w:rPr>
        <w:rFonts w:hint="eastAsia"/>
        <w:lang w:val="en-US"/>
      </w:rPr>
      <w:t>南京市玄武区投资促进局</w:t>
    </w:r>
    <w:r>
      <w:rPr>
        <w:rFonts w:hint="eastAsia"/>
        <w:lang w:val="en-US" w:eastAsia="zh-CN"/>
      </w:rPr>
      <w:t>2024</w:t>
    </w:r>
    <w:r>
      <w:rPr>
        <w:rFonts w:hint="eastAsia"/>
        <w:lang w:val="en-US"/>
      </w:rPr>
      <w:t>年度</w:t>
    </w:r>
    <w:r>
      <w:rPr>
        <w:u w:color="auto"/>
      </w:rPr>
      <w:t>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CF3C9"/>
    <w:multiLevelType w:val="singleLevel"/>
    <w:tmpl w:val="BF4CF3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156BE"/>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6669E5"/>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A743D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477B1E"/>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110F8"/>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CB24A4"/>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6015D"/>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9C6FE1"/>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292877"/>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4E6327"/>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1591</Words>
  <Characters>1659</Characters>
  <Lines>58</Lines>
  <Paragraphs>16</Paragraphs>
  <TotalTime>41</TotalTime>
  <ScaleCrop>false</ScaleCrop>
  <LinksUpToDate>false</LinksUpToDate>
  <CharactersWithSpaces>1666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2021-04-16T11:22:00Z</dcterms:created>
  <dc:creator>陈长军(本处室套红)</dc:creator>
  <cp:lastModifiedBy>user</cp:lastModifiedBy>
  <dcterms:modified xsi:type="dcterms:W3CDTF">2026-01-07T15:36:20Z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3206B7CF1FE74E7D9A527E05DA6EB958_13</vt:lpwstr>
  </property>
  <property fmtid="{D5CDD505-2E9C-101B-9397-08002B2CF9AE}" pid="5" name="KSOProductBuildVer">
    <vt:lpwstr>2052-11.8.2.1122</vt:lpwstr>
  </property>
  <property fmtid="{D5CDD505-2E9C-101B-9397-08002B2CF9AE}" pid="6" name="LastSaved">
    <vt:filetime>2021-04-15T00:00:00Z</vt:filetime>
  </property>
  <property fmtid="{D5CDD505-2E9C-101B-9397-08002B2CF9AE}" pid="7" name="KSOTemplateDocerSaveRecord">
    <vt:lpwstr>eyJoZGlkIjoiNTcyZDdjMzE3OTE5YzZhZWUxYmJlNGQ4NzU3NjJhMTEiLCJ1c2VySWQiOiIzMzIyOTIzNDYifQ==</vt:lpwstr>
  </property>
</Properties>
</file>