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8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22"/>
        </w:rPr>
      </w:pPr>
    </w:p>
    <w:p w14:paraId="7F5257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05" w:firstLineChars="50"/>
        <w:jc w:val="center"/>
        <w:textAlignment w:val="auto"/>
        <w:rPr>
          <w:rFonts w:ascii="Times New Roman" w:hAnsi="Times New Roman" w:eastAsia="宋体" w:cs="Times New Roman"/>
          <w:szCs w:val="32"/>
        </w:rPr>
      </w:pPr>
    </w:p>
    <w:p w14:paraId="2C6DAB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32"/>
        </w:rPr>
      </w:pPr>
    </w:p>
    <w:p w14:paraId="468221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32"/>
        </w:rPr>
      </w:pPr>
    </w:p>
    <w:p w14:paraId="12C187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32"/>
        </w:rPr>
      </w:pPr>
    </w:p>
    <w:p w14:paraId="1C7723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E85D1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089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玄政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6C8F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6D8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0BE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pacing w:val="0"/>
          <w:w w:val="10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0"/>
          <w:w w:val="100"/>
          <w:sz w:val="44"/>
          <w:szCs w:val="44"/>
        </w:rPr>
        <w:t>关于印发《</w:t>
      </w:r>
      <w:r>
        <w:rPr>
          <w:rFonts w:hint="eastAsia" w:ascii="Times New Roman" w:hAnsi="Times New Roman" w:eastAsia="方正小标宋_GBK" w:cs="Times New Roman"/>
          <w:spacing w:val="0"/>
          <w:w w:val="100"/>
          <w:sz w:val="44"/>
          <w:szCs w:val="44"/>
        </w:rPr>
        <w:t>玄武区关于促进大模型产业发展的若干措施</w:t>
      </w:r>
      <w:r>
        <w:rPr>
          <w:rFonts w:ascii="Times New Roman" w:hAnsi="Times New Roman" w:eastAsia="方正小标宋_GBK" w:cs="Times New Roman"/>
          <w:spacing w:val="0"/>
          <w:w w:val="100"/>
          <w:sz w:val="44"/>
          <w:szCs w:val="44"/>
        </w:rPr>
        <w:t>》的通知</w:t>
      </w:r>
    </w:p>
    <w:p w14:paraId="079ED4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szCs w:val="32"/>
        </w:rPr>
      </w:pPr>
    </w:p>
    <w:p w14:paraId="729BE1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各街道办事处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，区各委办局，区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各直属单位：</w:t>
      </w:r>
    </w:p>
    <w:p w14:paraId="329B8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现将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玄武区关于促进大模型产业发展的若干措施</w:t>
      </w:r>
      <w:r>
        <w:rPr>
          <w:rFonts w:ascii="Times New Roman" w:hAnsi="Times New Roman" w:eastAsia="方正仿宋_GBK" w:cs="Times New Roman"/>
          <w:sz w:val="32"/>
          <w:szCs w:val="32"/>
        </w:rPr>
        <w:t>》印发给你们，请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认真遵照执行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74F355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03C459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5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14EA68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南京市玄武区人民政府                   </w:t>
      </w:r>
    </w:p>
    <w:p w14:paraId="3ACAE1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                      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</w:t>
      </w:r>
      <w:bookmarkStart w:id="2" w:name="_GoBack"/>
      <w:bookmarkEnd w:id="2"/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日</w:t>
      </w:r>
    </w:p>
    <w:p w14:paraId="39B75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</w:p>
    <w:p w14:paraId="79ED12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8FFC7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</w:pPr>
    </w:p>
    <w:p w14:paraId="5B3469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</w:pPr>
      <w:r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  <w:t>玄武区关于促进大模型产业发展的</w:t>
      </w:r>
      <w:r>
        <w:rPr>
          <w:rFonts w:hint="eastAsia"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  <w:t>若干措施</w:t>
      </w:r>
    </w:p>
    <w:p w14:paraId="69E8CC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2312"/>
          <w:strike w:val="0"/>
          <w:dstrike w:val="0"/>
          <w:color w:val="auto"/>
          <w:sz w:val="32"/>
          <w:szCs w:val="32"/>
        </w:rPr>
      </w:pPr>
    </w:p>
    <w:p w14:paraId="166CAEE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bookmarkStart w:id="0" w:name="OLE_LINK2"/>
      <w:bookmarkStart w:id="1" w:name="OLE_LINK1"/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贯彻落实国家、省、市关于发展新一代人工智能决策部署，抢抓人工智能加速发展历史机遇，进一步促进大模型产业发展，根据上级相关文件，结合我区实际，</w:t>
      </w:r>
      <w:bookmarkEnd w:id="0"/>
      <w:bookmarkEnd w:id="1"/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制定本政策。</w:t>
      </w:r>
    </w:p>
    <w:p w14:paraId="742C7A60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支持人工智能公共服务平台建设</w:t>
      </w:r>
    </w:p>
    <w:p w14:paraId="55A91F5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坚持将构建自主可控的大模型生态体系作为战略导向，着力推动大模型前沿技术创新应用与先进工具链的系统化集成，面向软件产业、先进制造业、金融科技业态等关键领域，全面提供涵盖全链条、多维度的软件智能化赋能服务，全力打造具有示范引领效应的标杆案例，为区域数字经济发展注入强劲动能。重点扶持与积极培育人工智能公共服务平台的建设与发展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对于承担该平台运营和产业生态体系构建的主体，经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后给予奖励。</w:t>
      </w:r>
    </w:p>
    <w:p w14:paraId="42E6B613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提升算力赋能产业水平</w:t>
      </w:r>
    </w:p>
    <w:p w14:paraId="35C553F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snapToGrid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全区每年面向企业投放总额不超过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万元的“算力券”，经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后，按照单个项目算力资源总费用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的50%，年度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给予最高不超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过100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万元支持。</w:t>
      </w:r>
    </w:p>
    <w:p w14:paraId="6C6298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加快发展行业专用模型</w:t>
      </w:r>
    </w:p>
    <w:p w14:paraId="792F2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对通过国家网信办《生成式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服务管理暂行办法》备案的企业、高校、科研院所等各类企事业单位，给予20万元一次性区级奖励。</w:t>
      </w:r>
    </w:p>
    <w:p w14:paraId="445958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打造高质量行业数据集和特色应用场景</w:t>
      </w:r>
    </w:p>
    <w:p w14:paraId="035DD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鼓励构建高质量自然语言、多模态等行业数据集和语料库，支持训练、验证、测试、语料等数据集通过江苏数据交易所挂牌，对于成功交易的，按数据规模给予每款最高不超过5万元开发奖励，同一主体年度奖励金额最高不超过20万元。支持企业、高校、科研院所等在江苏国际数据港组建联合实验室，重点围绕工业制造、对外贸易、跨境电商、金融、文旅、物流等领域建设一批行业典型应用场景，并在公共服务平台投入应用，经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后给予联合实验室奖励。</w:t>
      </w:r>
    </w:p>
    <w:p w14:paraId="3D05F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支持重点企业招引培育</w:t>
      </w:r>
    </w:p>
    <w:p w14:paraId="74F76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瞄准国际国内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大模型</w:t>
      </w: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领军企业开展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专项</w:t>
      </w: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招商，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支持符合市级总部企业标准的大模型企业申报国家、省、市各类产业政策，并围绕其上下游配套企业开展精准招商，推动大模型产业生态加速集聚。</w:t>
      </w:r>
    </w:p>
    <w:p w14:paraId="1A613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加大科技研发力度</w:t>
      </w:r>
    </w:p>
    <w:p w14:paraId="50843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鼓励企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业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联合高校、科研院所建设大模型领域省级以上重点实验室等研究机构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围绕芯片、核心算法、开源框架、操作系统及其他基础软件、智能传感器等基础核心技术和关键共性技术开展攻关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。</w:t>
      </w:r>
    </w:p>
    <w:p w14:paraId="527FA9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支持企业做大做强</w:t>
      </w:r>
    </w:p>
    <w:p w14:paraId="4FA59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支持大模型企业申报市级独角兽、培育独角兽、瞪羚、专精特新企业，对新入选企业按规定给予支持。加强大模型领域企业的跟踪辅导，鼓励企业通过上市、并购等资本运作方式做大做强。重点支持大模型企业参与各类场景应用建设，助力企业拓展市场。</w:t>
      </w:r>
    </w:p>
    <w:p w14:paraId="6B1F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强化专业人才供给</w:t>
      </w:r>
    </w:p>
    <w:p w14:paraId="727D5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深入实施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省、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市人才政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策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加快引进大模型顶尖人才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，鼓励企业加大大模型领域院士、国际国内知名奖项获得者、国家级人才计划入选者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等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招引力度，给予人才及其团队研发补助，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优化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资源配套、生活保障。支持区内高校与行业企业合作建设大模型产教融合基地、人才实训基地。</w:t>
      </w:r>
    </w:p>
    <w:p w14:paraId="71ECB8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鼓励行业交流合作</w:t>
      </w:r>
    </w:p>
    <w:p w14:paraId="68457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支持企事业单位举办包括行业峰会、论坛、沙龙、创新创业大赛、人才培训等大模型领域重要交流合作活动。对国家、省、市重点支持的大模型合作交流活动，按活动规格和规模给予相应支持，并协助提供举办场地。鼓励大模型领域学会、协会等行业组织在本区发挥积极作用。</w:t>
      </w:r>
    </w:p>
    <w:p w14:paraId="2466DB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加大产业基金和专项贷款支持力度</w:t>
      </w:r>
    </w:p>
    <w:p w14:paraId="10581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联合省市政府投资基金和社会资本，组建大模型产业专项基金，引导各类资本投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向</w:t>
      </w: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大模型企业。充分发挥银行大模型科创贷示范引领作用，加大对大模型产业项目、关键核心技术企业的资金支持力度，联合各类金融机构开发大模型产业专项贷款。加大大型模型重点企业服务力度，精准保障企业发展需求。</w:t>
      </w:r>
    </w:p>
    <w:p w14:paraId="4875B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附则</w:t>
      </w:r>
    </w:p>
    <w:p w14:paraId="44AD8E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highlight w:val="none"/>
        </w:rPr>
        <w:t>本政策所指的各类企事业单位、科研机构、平台等均指在玄武区注册、运营的相关主体。</w:t>
      </w:r>
    </w:p>
    <w:p w14:paraId="6ACAE6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</w:rPr>
        <w:t>本政策所述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</w:rPr>
        <w:t>，指申报单位提供相应资料后，由区发改委、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</w:rPr>
        <w:t>财政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局、</w:t>
      </w:r>
      <w:r>
        <w:rPr>
          <w:rFonts w:hint="default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区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科技局、</w:t>
      </w:r>
      <w:r>
        <w:rPr>
          <w:rFonts w:hint="default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区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数据局等相关部门组成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小组，并根据需要邀请第三方专业机构，对申报单位、平台、模型、数据集、应用场景，围绕建设成效、示范引领作用、财务规范等方面进行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。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申报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对其所提供材料的真实性负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责，对弄虚作假或者以其他不正当手段谋取利益的，取消其申报资格；对已经认定的，撤销政策支持、追回奖励资金，公开通报并建议其主管部门依据有关规定予以处理。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参与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的人员与申报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单位有利害关系的，应当主动申请回避。申报单位应当主动申明申报材料中涉及的商业秘密或者技术秘密，参与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的部门、机构和人员应当依法保守知悉的商业秘密和技术秘密。对滥用职权、玩忽职守、徇私舞弊、造成不良后果的责任人员，取消其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资格，并提请主管部门或者所在单位给予纪律处分。构成犯罪的，依法追究刑事责任。</w:t>
      </w:r>
    </w:p>
    <w:p w14:paraId="7F8575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ascii="方正仿宋_GBK" w:hAnsi="方正仿宋_GBK" w:eastAsia="方正仿宋_GBK" w:cs="方正仿宋_GBK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本政策执行期间，与省、市、区其他支持政策存在重复的，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原则上按照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“就高、不重复”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执行；如遇国家、省、市有关政策调整，则按新的政策作出相应调整。</w:t>
      </w:r>
    </w:p>
    <w:p w14:paraId="53390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本政策自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5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日起实施，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有效期一年。</w:t>
      </w:r>
    </w:p>
    <w:p w14:paraId="26C6C888">
      <w:pPr>
        <w:pStyle w:val="2"/>
        <w:rPr>
          <w:rFonts w:hint="eastAsia"/>
        </w:rPr>
      </w:pPr>
    </w:p>
    <w:p w14:paraId="3D508E35">
      <w:pPr>
        <w:pBdr>
          <w:top w:val="single" w:color="auto" w:sz="6" w:space="1"/>
          <w:bottom w:val="single" w:color="auto" w:sz="6" w:space="1"/>
        </w:pBdr>
        <w:adjustRightInd w:val="0"/>
        <w:snapToGrid w:val="0"/>
        <w:spacing w:line="56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仿宋_GBK"/>
          <w:sz w:val="28"/>
          <w:szCs w:val="28"/>
        </w:rPr>
        <w:t>南京市</w:t>
      </w:r>
      <w:r>
        <w:rPr>
          <w:rFonts w:eastAsia="方正仿宋_GBK"/>
          <w:sz w:val="28"/>
          <w:szCs w:val="28"/>
        </w:rPr>
        <w:t xml:space="preserve">玄武区人民政府办公室     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eastAsia="方正仿宋_GBK"/>
          <w:sz w:val="28"/>
          <w:szCs w:val="28"/>
        </w:rPr>
        <w:t>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FB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E18C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</w:p>
                        <w:p w14:paraId="3A86A67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E18C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</w:p>
                  <w:p w14:paraId="3A86A67A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BE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97F4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97F48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C6C7D"/>
    <w:multiLevelType w:val="singleLevel"/>
    <w:tmpl w:val="871C6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D6AFE9"/>
    <w:multiLevelType w:val="singleLevel"/>
    <w:tmpl w:val="13D6AFE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5369"/>
    <w:rsid w:val="11D10D87"/>
    <w:rsid w:val="1A2B6E86"/>
    <w:rsid w:val="1FCA4D36"/>
    <w:rsid w:val="275A5369"/>
    <w:rsid w:val="2C1E07CB"/>
    <w:rsid w:val="30E54407"/>
    <w:rsid w:val="31E05393"/>
    <w:rsid w:val="4BE41645"/>
    <w:rsid w:val="4F7B2FAF"/>
    <w:rsid w:val="5083372F"/>
    <w:rsid w:val="5FEE1FA1"/>
    <w:rsid w:val="7DCA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中华人民共和国人大常务委员会</Company>
  <Pages>5</Pages>
  <Words>2027</Words>
  <Characters>2052</Characters>
  <Lines>0</Lines>
  <Paragraphs>0</Paragraphs>
  <TotalTime>16</TotalTime>
  <ScaleCrop>false</ScaleCrop>
  <LinksUpToDate>false</LinksUpToDate>
  <CharactersWithSpaces>2120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2025-08-27T08:13:00Z</dcterms:created>
  <dc:creator>9d</dc:creator>
  <cp:lastModifiedBy>南城半凉1426065969</cp:lastModifiedBy>
  <cp:lastPrinted>2025-10-28T09:00:36Z</cp:lastPrinted>
  <dcterms:modified xsi:type="dcterms:W3CDTF">2025-10-28T09:02:34Z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3141739F7BEA494EACA1F6BCB280AC6C_13</vt:lpwstr>
  </property>
  <property fmtid="{D5CDD505-2E9C-101B-9397-08002B2CF9AE}" pid="4" name="KSOTemplateDocerSaveRecord">
    <vt:lpwstr>eyJoZGlkIjoiZWQ5YWUxZGI0Njk2YTBjM2U0NjJmZTkzNjUyNjU4ZDIiLCJ1c2VySWQiOiIzMTAyNDczMCJ9</vt:lpwstr>
  </property>
</Properties>
</file>