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54852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宋体" w:cs="Times New Roman"/>
          <w:szCs w:val="22"/>
        </w:rPr>
      </w:pPr>
    </w:p>
    <w:p w14:paraId="7F5257E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105" w:firstLineChars="50"/>
        <w:jc w:val="center"/>
        <w:textAlignment w:val="auto"/>
        <w:rPr>
          <w:rFonts w:ascii="Times New Roman" w:hAnsi="Times New Roman" w:eastAsia="宋体" w:cs="Times New Roman"/>
          <w:szCs w:val="32"/>
        </w:rPr>
      </w:pPr>
    </w:p>
    <w:p w14:paraId="2C6DAB5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宋体" w:cs="Times New Roman"/>
          <w:szCs w:val="32"/>
        </w:rPr>
      </w:pPr>
    </w:p>
    <w:p w14:paraId="4682210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宋体" w:cs="Times New Roman"/>
          <w:szCs w:val="32"/>
        </w:rPr>
      </w:pPr>
    </w:p>
    <w:p w14:paraId="12C187A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textAlignment w:val="auto"/>
        <w:rPr>
          <w:rFonts w:ascii="Times New Roman" w:hAnsi="Times New Roman" w:eastAsia="宋体" w:cs="Times New Roman"/>
          <w:szCs w:val="32"/>
        </w:rPr>
      </w:pPr>
    </w:p>
    <w:p w14:paraId="1C77238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160" w:firstLineChars="50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6E85D15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160" w:firstLineChars="50"/>
        <w:jc w:val="center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</w:p>
    <w:p w14:paraId="4089A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" w:firstLineChars="5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玄政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规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〔202</w:t>
      </w:r>
      <w:r>
        <w:rPr>
          <w:rFonts w:hint="default" w:ascii="Times New Roman" w:hAnsi="Times New Roman" w:eastAsia="方正楷体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楷体_GBK" w:cs="Times New Roman"/>
          <w:sz w:val="32"/>
          <w:szCs w:val="32"/>
        </w:rPr>
        <w:t>〕</w:t>
      </w:r>
      <w:r>
        <w:rPr>
          <w:rFonts w:hint="eastAsia" w:ascii="Times New Roman" w:hAnsi="Times New Roman" w:eastAsia="方正楷体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号</w:t>
      </w:r>
    </w:p>
    <w:p w14:paraId="6C8F7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" w:firstLineChars="5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46D85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160" w:firstLineChars="5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</w:p>
    <w:p w14:paraId="50BE71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textAlignment w:val="auto"/>
        <w:rPr>
          <w:rFonts w:ascii="Times New Roman" w:hAnsi="Times New Roman" w:eastAsia="方正小标宋_GBK" w:cs="Times New Roman"/>
          <w:spacing w:val="0"/>
          <w:w w:val="100"/>
          <w:sz w:val="44"/>
          <w:szCs w:val="44"/>
        </w:rPr>
      </w:pPr>
      <w:r>
        <w:rPr>
          <w:rFonts w:ascii="Times New Roman" w:hAnsi="Times New Roman" w:eastAsia="方正小标宋_GBK" w:cs="Times New Roman"/>
          <w:spacing w:val="0"/>
          <w:w w:val="100"/>
          <w:sz w:val="44"/>
          <w:szCs w:val="44"/>
        </w:rPr>
        <w:t>关于印发《</w:t>
      </w:r>
      <w:r>
        <w:rPr>
          <w:rFonts w:hint="eastAsia" w:ascii="Times New Roman" w:hAnsi="Times New Roman" w:eastAsia="方正小标宋_GBK" w:cs="Times New Roman"/>
          <w:spacing w:val="0"/>
          <w:w w:val="100"/>
          <w:sz w:val="44"/>
          <w:szCs w:val="44"/>
        </w:rPr>
        <w:t>玄武区关于促进大模型产业发展的若干措施</w:t>
      </w:r>
      <w:r>
        <w:rPr>
          <w:rFonts w:ascii="Times New Roman" w:hAnsi="Times New Roman" w:eastAsia="方正小标宋_GBK" w:cs="Times New Roman"/>
          <w:spacing w:val="0"/>
          <w:w w:val="100"/>
          <w:sz w:val="44"/>
          <w:szCs w:val="44"/>
        </w:rPr>
        <w:t>》的通知</w:t>
      </w:r>
    </w:p>
    <w:p w14:paraId="079ED49B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方正仿宋_GBK" w:cs="Times New Roman"/>
          <w:szCs w:val="32"/>
        </w:rPr>
      </w:pPr>
    </w:p>
    <w:p w14:paraId="729BE15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各街道办事处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，区各委办局，区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各直属单位：</w:t>
      </w:r>
    </w:p>
    <w:p w14:paraId="329B85C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/>
        <w:jc w:val="left"/>
        <w:textAlignment w:val="auto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现将</w:t>
      </w:r>
      <w:r>
        <w:rPr>
          <w:rFonts w:ascii="Times New Roman" w:hAnsi="Times New Roman" w:eastAsia="方正仿宋_GBK" w:cs="Times New Roman"/>
          <w:sz w:val="32"/>
          <w:szCs w:val="32"/>
        </w:rPr>
        <w:t>《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玄武区关于促进大模型产业发展的若干措施</w:t>
      </w:r>
      <w:r>
        <w:rPr>
          <w:rFonts w:ascii="Times New Roman" w:hAnsi="Times New Roman" w:eastAsia="方正仿宋_GBK" w:cs="Times New Roman"/>
          <w:sz w:val="32"/>
          <w:szCs w:val="32"/>
        </w:rPr>
        <w:t>》印发给你们，请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认真遵照执行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</w:p>
    <w:p w14:paraId="74F355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03C459A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5"/>
        <w:textAlignment w:val="auto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p w14:paraId="14EA688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5120" w:firstLineChars="1600"/>
        <w:textAlignment w:val="auto"/>
        <w:rPr>
          <w:rFonts w:ascii="Times New Roman" w:hAnsi="Times New Roman" w:eastAsia="方正仿宋_GBK" w:cs="Times New Roman"/>
          <w:bCs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 xml:space="preserve">南京市玄武区人民政府                   </w:t>
      </w:r>
    </w:p>
    <w:p w14:paraId="3ACAE11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ind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 xml:space="preserve">                               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 w:cs="Times New Roman"/>
          <w:kern w:val="0"/>
          <w:sz w:val="32"/>
          <w:szCs w:val="32"/>
        </w:rPr>
        <w:t>日</w:t>
      </w:r>
    </w:p>
    <w:p w14:paraId="39B7509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textAlignment w:val="auto"/>
        <w:rPr>
          <w:rFonts w:ascii="Times New Roman" w:hAnsi="Times New Roman" w:eastAsia="方正小标宋_GBK" w:cs="Times New Roman"/>
          <w:sz w:val="36"/>
          <w:szCs w:val="36"/>
        </w:rPr>
      </w:pPr>
    </w:p>
    <w:p w14:paraId="79ED128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bCs/>
          <w:strike w:val="0"/>
          <w:dstrike w:val="0"/>
          <w:color w:val="auto"/>
          <w:sz w:val="44"/>
          <w:szCs w:val="44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 w14:paraId="38FFC73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bCs/>
          <w:strike w:val="0"/>
          <w:dstrike w:val="0"/>
          <w:color w:val="auto"/>
          <w:sz w:val="44"/>
          <w:szCs w:val="44"/>
        </w:rPr>
      </w:pPr>
    </w:p>
    <w:p w14:paraId="5B34695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ascii="Times New Roman" w:hAnsi="Times New Roman" w:eastAsia="方正小标宋_GBK"/>
          <w:bCs/>
          <w:strike w:val="0"/>
          <w:dstrike w:val="0"/>
          <w:color w:val="auto"/>
          <w:sz w:val="44"/>
          <w:szCs w:val="44"/>
        </w:rPr>
      </w:pPr>
      <w:r>
        <w:rPr>
          <w:rFonts w:ascii="Times New Roman" w:hAnsi="Times New Roman" w:eastAsia="方正小标宋_GBK"/>
          <w:bCs/>
          <w:strike w:val="0"/>
          <w:dstrike w:val="0"/>
          <w:color w:val="auto"/>
          <w:sz w:val="44"/>
          <w:szCs w:val="44"/>
        </w:rPr>
        <w:t>玄武区关于促进大模型产业发展的</w:t>
      </w:r>
      <w:r>
        <w:rPr>
          <w:rFonts w:hint="eastAsia" w:ascii="Times New Roman" w:hAnsi="Times New Roman" w:eastAsia="方正小标宋_GBK"/>
          <w:bCs/>
          <w:strike w:val="0"/>
          <w:dstrike w:val="0"/>
          <w:color w:val="auto"/>
          <w:sz w:val="44"/>
          <w:szCs w:val="44"/>
        </w:rPr>
        <w:t>若干措施</w:t>
      </w:r>
    </w:p>
    <w:p w14:paraId="69E8CC2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center"/>
        <w:textAlignment w:val="auto"/>
        <w:rPr>
          <w:rFonts w:ascii="Times New Roman" w:hAnsi="Times New Roman" w:eastAsia="方正仿宋_GB2312"/>
          <w:strike w:val="0"/>
          <w:dstrike w:val="0"/>
          <w:color w:val="auto"/>
          <w:sz w:val="32"/>
          <w:szCs w:val="32"/>
        </w:rPr>
      </w:pPr>
    </w:p>
    <w:p w14:paraId="166CAEE1"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</w:pPr>
      <w:bookmarkStart w:id="0" w:name="OLE_LINK2"/>
      <w:bookmarkStart w:id="1" w:name="OLE_LINK1"/>
      <w:r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  <w:t>为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贯彻落实国家、省、市关于发展新一代人工智能决策部署，抢抓人工智能加速发展历史机遇，进一步促进大模型产业发展，根据上级相关文件，结合我区实际，</w:t>
      </w:r>
      <w:bookmarkEnd w:id="0"/>
      <w:bookmarkEnd w:id="1"/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制定本政策。</w:t>
      </w:r>
    </w:p>
    <w:p w14:paraId="742C7A60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  <w:t>支持人工智能公共服务平台建设</w:t>
      </w:r>
    </w:p>
    <w:p w14:paraId="55A91F54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坚持将构建自主可控的大模型生态体系作为战略导向，着力推动大模型前沿技术创新应用与先进工具链的系统化集成，面向软件产业、先进制造业、金融科技业态等关键领域，全面提供涵盖全链条、多维度的软件智能化赋能服务，全力打造具有示范引领效应的标杆案例，为区域数字经济发展注入强劲动能。重点扶持与积极培育人工智能公共服务平台的建设与发展，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对于承担该平台运营和产业生态体系构建的主体，经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后给予奖励。</w:t>
      </w:r>
    </w:p>
    <w:p w14:paraId="42E6B613">
      <w:pPr>
        <w:keepNext w:val="0"/>
        <w:keepLines w:val="0"/>
        <w:pageBreakBefore w:val="0"/>
        <w:widowControl w:val="0"/>
        <w:numPr>
          <w:ilvl w:val="0"/>
          <w:numId w:val="1"/>
        </w:numPr>
        <w:suppressAutoHyphens/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  <w:t>提升算力赋能产业水平</w:t>
      </w:r>
    </w:p>
    <w:p w14:paraId="35C553F0">
      <w:pPr>
        <w:keepNext w:val="0"/>
        <w:keepLines w:val="0"/>
        <w:pageBreakBefore w:val="0"/>
        <w:widowControl w:val="0"/>
        <w:numPr>
          <w:ilvl w:val="0"/>
          <w:numId w:val="0"/>
        </w:numPr>
        <w:suppressAutoHyphens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trike w:val="0"/>
          <w:dstrike w:val="0"/>
          <w:snapToGrid w:val="0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bCs/>
          <w:strike w:val="0"/>
          <w:dstrike w:val="0"/>
          <w:color w:val="auto"/>
          <w:sz w:val="32"/>
          <w:szCs w:val="32"/>
        </w:rPr>
        <w:t>全区每年面向企业投放总额不超过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2000</w:t>
      </w:r>
      <w:r>
        <w:rPr>
          <w:rFonts w:hint="eastAsia" w:ascii="方正仿宋_GBK" w:hAnsi="方正仿宋_GBK" w:eastAsia="方正仿宋_GBK" w:cs="方正仿宋_GBK"/>
          <w:bCs/>
          <w:strike w:val="0"/>
          <w:dstrike w:val="0"/>
          <w:color w:val="auto"/>
          <w:sz w:val="32"/>
          <w:szCs w:val="32"/>
        </w:rPr>
        <w:t>万元的“算力券”，经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方正仿宋_GBK" w:hAnsi="方正仿宋_GBK" w:eastAsia="方正仿宋_GBK" w:cs="方正仿宋_GBK"/>
          <w:bCs/>
          <w:strike w:val="0"/>
          <w:dstrike w:val="0"/>
          <w:color w:val="auto"/>
          <w:sz w:val="32"/>
          <w:szCs w:val="32"/>
        </w:rPr>
        <w:t>后，按照单个项目算力资源总费用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的50%，年度</w:t>
      </w:r>
      <w:r>
        <w:rPr>
          <w:rFonts w:hint="eastAsia" w:ascii="方正仿宋_GBK" w:hAnsi="方正仿宋_GBK" w:eastAsia="方正仿宋_GBK" w:cs="方正仿宋_GBK"/>
          <w:bCs/>
          <w:strike w:val="0"/>
          <w:dstrike w:val="0"/>
          <w:color w:val="auto"/>
          <w:sz w:val="32"/>
          <w:szCs w:val="32"/>
        </w:rPr>
        <w:t>给予最高不超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过100</w:t>
      </w:r>
      <w:r>
        <w:rPr>
          <w:rFonts w:hint="eastAsia" w:ascii="方正仿宋_GBK" w:hAnsi="方正仿宋_GBK" w:eastAsia="方正仿宋_GBK" w:cs="方正仿宋_GBK"/>
          <w:bCs/>
          <w:strike w:val="0"/>
          <w:dstrike w:val="0"/>
          <w:color w:val="auto"/>
          <w:sz w:val="32"/>
          <w:szCs w:val="32"/>
        </w:rPr>
        <w:t>万元支持。</w:t>
      </w:r>
    </w:p>
    <w:p w14:paraId="6C62988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加快发展行业专用模型</w:t>
      </w:r>
    </w:p>
    <w:p w14:paraId="792F25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  <w:highlight w:val="yellow"/>
        </w:rPr>
      </w:pP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对通过国家网信办《生成式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人工智能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服务管理暂行办法》备案的企业、高校、科研院所等各类企事业单位，给予20万元一次性区级奖励。</w:t>
      </w:r>
    </w:p>
    <w:p w14:paraId="445958F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打造高质量行业数据集和特色应用场景</w:t>
      </w:r>
    </w:p>
    <w:p w14:paraId="035DDC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鼓励构建高质量自然语言、多模态等行业数据集和语料库，支持训练、验证、测试、语料等数据集通过江苏数据交易所挂牌，对于成功交易的，按数据规模给予每款最高不超过5万元开发奖励，同一主体年度奖励金额最高不超过20万元。支持企业、高校、科研院所等在江苏国际数据港组建联合实验室，重点围绕工业制造、对外贸易、跨境电商、金融、文旅、物流等领域建设一批行业典型应用场景，并在公共服务平台投入应用，经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后给予联合实验室奖励。</w:t>
      </w:r>
    </w:p>
    <w:p w14:paraId="3D05FDF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  <w:t>支持重点企业招引培育</w:t>
      </w:r>
    </w:p>
    <w:p w14:paraId="74F76E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</w:pPr>
      <w:r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  <w:t>瞄准国际国内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大模型</w:t>
      </w:r>
      <w:r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  <w:t>领军企业开展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专项</w:t>
      </w:r>
      <w:r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  <w:t>招商，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支持符合市级总部企业标准的大模型企业申报国家、省、市各类产业政策，并围绕其上下游配套企业开展精准招商，推动大模型产业生态加速集聚。</w:t>
      </w:r>
    </w:p>
    <w:p w14:paraId="1A613C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加大科技研发力度</w:t>
      </w:r>
    </w:p>
    <w:p w14:paraId="508431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</w:pP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鼓励企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业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联合高校、科研院所建设大模型领域省级以上重点实验室等研究机构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，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围绕芯片、核心算法、开源框架、操作系统及其他基础软件、智能传感器等基础核心技术和关键共性技术开展攻关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。</w:t>
      </w:r>
    </w:p>
    <w:p w14:paraId="527FA9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color w:val="auto"/>
          <w:sz w:val="32"/>
          <w:szCs w:val="32"/>
        </w:rPr>
        <w:t>支持企业做大做强</w:t>
      </w:r>
    </w:p>
    <w:p w14:paraId="4FA592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支持大模型企业申报市级独角兽、培育独角兽、瞪羚、专精特新企业，对新入选企业按规定给予支持。加强大模型领域企业的跟踪辅导，鼓励企业通过上市、并购等资本运作方式做大做强。重点支持大模型企业参与各类场景应用建设，助力企业拓展市场。</w:t>
      </w:r>
    </w:p>
    <w:p w14:paraId="6B1F3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强化专业人才供给</w:t>
      </w:r>
    </w:p>
    <w:p w14:paraId="727D59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</w:pP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深入实施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省、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市人才政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策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，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加快引进大模型顶尖人才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，鼓励企业加大大模型领域院士、国际国内知名奖项获得者、国家级人才计划入选者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等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招引力度，给予人才及其团队研发补助，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优化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资源配套、生活保障。支持区内高校与行业企业合作建设大模型产教融合基地、人才实训基地。</w:t>
      </w:r>
    </w:p>
    <w:p w14:paraId="71ECB86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鼓励行业交流合作</w:t>
      </w:r>
    </w:p>
    <w:p w14:paraId="684577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支持企事业单位举办包括行业峰会、论坛、沙龙、创新创业大赛、人才培训等大模型领域重要交流合作活动。对国家、省、市重点支持的大模型合作交流活动，按活动规格和规模给予相应支持，并协助提供举办场地。鼓励大模型领域学会、协会等行业组织在本区发挥积极作用。</w:t>
      </w:r>
    </w:p>
    <w:p w14:paraId="2466DB2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加大产业基金和专项贷款支持力度</w:t>
      </w:r>
    </w:p>
    <w:p w14:paraId="105810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</w:pPr>
      <w:r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  <w:t>联合省市政府投资基金和社会资本，组建大模型产业专项基金，引导各类资本投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向</w:t>
      </w:r>
      <w:r>
        <w:rPr>
          <w:rFonts w:ascii="Times New Roman" w:hAnsi="Times New Roman" w:eastAsia="方正仿宋_GBK"/>
          <w:strike w:val="0"/>
          <w:dstrike w:val="0"/>
          <w:color w:val="auto"/>
          <w:sz w:val="32"/>
          <w:szCs w:val="32"/>
        </w:rPr>
        <w:t>大模型企业。充分发挥银行大模型科创贷示范引领作用，加大对大模型产业项目、关键核心技术企业的资金支持力度，联合各类金融机构开发大模型产业专项贷款。加大大型模型重点企业服务力度，精准保障企业发展需求。</w:t>
      </w:r>
    </w:p>
    <w:p w14:paraId="4875B0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trike w:val="0"/>
          <w:dstrike w:val="0"/>
          <w:snapToGrid w:val="0"/>
          <w:color w:val="auto"/>
          <w:kern w:val="0"/>
          <w:sz w:val="32"/>
          <w:szCs w:val="32"/>
        </w:rPr>
        <w:t>附则</w:t>
      </w:r>
    </w:p>
    <w:p w14:paraId="44AD8EB8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highlight w:val="none"/>
        </w:rPr>
        <w:t>本政策所指的各类企事业单位、科研机构、平台等均指在玄武区注册、运营的相关主体。</w:t>
      </w:r>
    </w:p>
    <w:p w14:paraId="6ACAE67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  <w:highlight w:val="none"/>
        </w:rPr>
        <w:t>本政策所述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  <w:highlight w:val="none"/>
        </w:rPr>
        <w:t>，指申报单位提供相应资料后，由区发改委、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  <w:highlight w:val="none"/>
        </w:rPr>
        <w:t>财政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局、</w:t>
      </w:r>
      <w:r>
        <w:rPr>
          <w:rFonts w:hint="default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区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科技局、</w:t>
      </w:r>
      <w:r>
        <w:rPr>
          <w:rFonts w:hint="default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区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数据局等相关部门组成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小组，并根据需要邀请第三方专业机构，对申报单位、平台、模型、数据集、应用场景，围绕建设成效、示范引领作用、财务规范等方面进行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。</w:t>
      </w:r>
      <w:r>
        <w:rPr>
          <w:rFonts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申报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  <w:lang w:val="en-US" w:eastAsia="zh-CN"/>
        </w:rPr>
        <w:t>单位</w:t>
      </w:r>
      <w:r>
        <w:rPr>
          <w:rFonts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对其所提供材料的真实性负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责，对弄虚作假或者以其他不正当手段谋取利益的，取消其申报资格；对已经认定的，撤销政策支持、追回奖励资金，公开通报并建议其主管部门依据有关规定予以处理。</w:t>
      </w:r>
      <w:r>
        <w:rPr>
          <w:rFonts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参与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的人员与申报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单位有利害关系的，应当主动申请回避。申报单位应当主动申明申报材料中涉及的商业秘密或者技术秘密，参与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的部门、机构和人员应当依法保守知悉的商业秘密和技术秘密。对滥用职权、玩忽职守、徇私舞弊、造成不良后果的责任人员，取消其</w:t>
      </w: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  <w:lang w:eastAsia="zh-CN"/>
        </w:rPr>
        <w:t>联合评审</w:t>
      </w:r>
      <w:r>
        <w:rPr>
          <w:rFonts w:hint="eastAsia" w:ascii="方正仿宋_GBK" w:hAnsi="Times New Roman" w:eastAsia="方正仿宋_GBK"/>
          <w:strike w:val="0"/>
          <w:dstrike w:val="0"/>
          <w:snapToGrid w:val="0"/>
          <w:color w:val="auto"/>
          <w:kern w:val="0"/>
          <w:sz w:val="32"/>
          <w:szCs w:val="32"/>
        </w:rPr>
        <w:t>资格，并提请主管部门或者所在单位给予纪律处分。构成犯罪的，依法追究刑事责任。</w:t>
      </w:r>
    </w:p>
    <w:p w14:paraId="7F8575D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60" w:lineRule="exact"/>
        <w:ind w:left="0" w:leftChars="0" w:firstLine="640" w:firstLineChars="200"/>
        <w:textAlignment w:val="auto"/>
        <w:rPr>
          <w:rFonts w:ascii="方正仿宋_GBK" w:hAnsi="方正仿宋_GBK" w:eastAsia="方正仿宋_GBK" w:cs="方正仿宋_GBK"/>
          <w:bCs/>
          <w:strike w:val="0"/>
          <w:dstrike w:val="0"/>
          <w:snapToGrid w:val="0"/>
          <w:color w:val="auto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strike w:val="0"/>
          <w:dstrike w:val="0"/>
          <w:color w:val="auto"/>
          <w:sz w:val="32"/>
          <w:szCs w:val="32"/>
        </w:rPr>
        <w:t>本政策执行期间，与省、市、区其他支持政策存在重复的，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原则上按照</w:t>
      </w:r>
      <w:r>
        <w:rPr>
          <w:rFonts w:hint="eastAsia" w:ascii="方正仿宋_GBK" w:hAnsi="方正仿宋_GBK" w:eastAsia="方正仿宋_GBK" w:cs="方正仿宋_GBK"/>
          <w:bCs/>
          <w:strike w:val="0"/>
          <w:dstrike w:val="0"/>
          <w:color w:val="auto"/>
          <w:sz w:val="32"/>
          <w:szCs w:val="32"/>
        </w:rPr>
        <w:t>“就高、不重复”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执行；如遇国家、省、市有关政策调整，则按新的政策作出相应调整。</w:t>
      </w:r>
    </w:p>
    <w:p w14:paraId="533907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</w:pP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本政策自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5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10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日起实施，</w:t>
      </w:r>
      <w:r>
        <w:rPr>
          <w:rFonts w:hint="eastAsia" w:ascii="Times New Roman" w:hAnsi="Times New Roman" w:eastAsia="方正仿宋_GBK"/>
          <w:bCs/>
          <w:strike w:val="0"/>
          <w:dstrike w:val="0"/>
          <w:color w:val="auto"/>
          <w:sz w:val="32"/>
          <w:szCs w:val="32"/>
        </w:rPr>
        <w:t>有效期一年。</w:t>
      </w:r>
    </w:p>
    <w:p w14:paraId="26C6C888">
      <w:pPr>
        <w:pStyle w:val="2"/>
        <w:rPr>
          <w:rFonts w:hint="eastAsia"/>
        </w:rPr>
      </w:pPr>
      <w:bookmarkStart w:id="2" w:name="_GoBack"/>
      <w:bookmarkEnd w:id="2"/>
    </w:p>
    <w:p w14:paraId="3D508E35">
      <w:pPr>
        <w:pBdr>
          <w:top w:val="single" w:color="auto" w:sz="6" w:space="1"/>
          <w:bottom w:val="single" w:color="auto" w:sz="6" w:space="1"/>
        </w:pBdr>
        <w:adjustRightInd w:val="0"/>
        <w:snapToGrid w:val="0"/>
        <w:spacing w:line="560" w:lineRule="exact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eastAsia="方正仿宋_GBK"/>
          <w:sz w:val="28"/>
          <w:szCs w:val="28"/>
        </w:rPr>
        <w:t>南京市</w:t>
      </w:r>
      <w:r>
        <w:rPr>
          <w:rFonts w:eastAsia="方正仿宋_GBK"/>
          <w:sz w:val="28"/>
          <w:szCs w:val="28"/>
        </w:rPr>
        <w:t xml:space="preserve">玄武区人民政府办公室         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 xml:space="preserve">   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202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月1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日</w:t>
      </w:r>
      <w:r>
        <w:rPr>
          <w:rFonts w:eastAsia="方正仿宋_GBK"/>
          <w:sz w:val="28"/>
          <w:szCs w:val="28"/>
        </w:rPr>
        <w:t>印发</w:t>
      </w: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8CFB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33E18C0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>—</w:t>
                          </w:r>
                        </w:p>
                        <w:p w14:paraId="3A86A67A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33E18C0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>—</w:t>
                    </w:r>
                  </w:p>
                  <w:p w14:paraId="3A86A67A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A2BE3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9197F48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fyKa9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197F48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1C6C7D"/>
    <w:multiLevelType w:val="singleLevel"/>
    <w:tmpl w:val="871C6C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3D6AFE9"/>
    <w:multiLevelType w:val="singleLevel"/>
    <w:tmpl w:val="13D6AFE9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A5369"/>
    <w:rsid w:val="11D10D87"/>
    <w:rsid w:val="1A2B6E86"/>
    <w:rsid w:val="1FCA4D36"/>
    <w:rsid w:val="275A5369"/>
    <w:rsid w:val="2C1E07CB"/>
    <w:rsid w:val="30E54407"/>
    <w:rsid w:val="31E05393"/>
    <w:rsid w:val="4BE41645"/>
    <w:rsid w:val="4F7B2FAF"/>
    <w:rsid w:val="5FEE1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中华人民共和国人大常务委员会</Company>
  <Pages>5</Pages>
  <Words>2003</Words>
  <Characters>2021</Characters>
  <Lines>0</Lines>
  <Paragraphs>0</Paragraphs>
  <TotalTime>14</TotalTime>
  <ScaleCrop>false</ScaleCrop>
  <LinksUpToDate>false</LinksUpToDate>
  <CharactersWithSpaces>2076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2025-08-27T08:13:00Z</dcterms:created>
  <dc:creator>9d</dc:creator>
  <cp:lastModifiedBy>南城半凉1426065969</cp:lastModifiedBy>
  <cp:lastPrinted>2025-09-11T07:32:53Z</cp:lastPrinted>
  <dcterms:modified xsi:type="dcterms:W3CDTF">2025-09-11T07:46:37Z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82563C7549F0464BADB3A486CF7736E5_13</vt:lpwstr>
  </property>
  <property fmtid="{D5CDD505-2E9C-101B-9397-08002B2CF9AE}" pid="4" name="KSOTemplateDocerSaveRecord">
    <vt:lpwstr>eyJoZGlkIjoiZWQ5YWUxZGI0Njk2YTBjM2U0NjJmZTkzNjUyNjU4ZDIiLCJ1c2VySWQiOiIzMTAyNDczMCJ9</vt:lpwstr>
  </property>
</Properties>
</file>