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atLeast"/>
        <w:jc w:val="center"/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</w:pPr>
      <w:r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  <w:t>2025年玄武</w:t>
      </w:r>
      <w:r>
        <w:rPr>
          <w:rFonts w:ascii="Times New Roman" w:hAnsi="Times New Roman" w:eastAsia="方正小标宋_GBK"/>
          <w:b w:val="0"/>
          <w:bCs w:val="0"/>
          <w:snapToGrid w:val="0"/>
          <w:sz w:val="44"/>
          <w:szCs w:val="32"/>
        </w:rPr>
        <w:t>区</w:t>
      </w:r>
      <w:r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  <w:t>汽车消费</w:t>
      </w:r>
      <w:r>
        <w:rPr>
          <w:rFonts w:ascii="Times New Roman" w:hAnsi="Times New Roman" w:eastAsia="方正小标宋_GBK"/>
          <w:b w:val="0"/>
          <w:bCs w:val="0"/>
          <w:snapToGrid w:val="0"/>
          <w:sz w:val="44"/>
          <w:szCs w:val="32"/>
        </w:rPr>
        <w:t>促进</w:t>
      </w:r>
      <w:r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  <w:t>活动</w:t>
      </w:r>
    </w:p>
    <w:p>
      <w:pPr>
        <w:pStyle w:val="2"/>
        <w:widowControl/>
        <w:spacing w:beforeAutospacing="0" w:afterAutospacing="0" w:line="520" w:lineRule="atLeast"/>
        <w:jc w:val="center"/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</w:pPr>
      <w:r>
        <w:rPr>
          <w:rFonts w:hint="default" w:ascii="Times New Roman" w:hAnsi="Times New Roman" w:eastAsia="方正小标宋_GBK"/>
          <w:b w:val="0"/>
          <w:bCs w:val="0"/>
          <w:snapToGrid w:val="0"/>
          <w:sz w:val="44"/>
          <w:szCs w:val="32"/>
        </w:rPr>
        <w:t>补贴发放机构评选公告</w:t>
      </w:r>
    </w:p>
    <w:p>
      <w:pPr>
        <w:pStyle w:val="3"/>
        <w:widowControl/>
        <w:spacing w:beforeAutospacing="0" w:afterAutospacing="0" w:line="520" w:lineRule="atLeas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</w:rPr>
      </w:pPr>
    </w:p>
    <w:p>
      <w:pPr>
        <w:pStyle w:val="3"/>
        <w:widowControl/>
        <w:spacing w:beforeAutospacing="0" w:afterAutospacing="0" w:line="520" w:lineRule="atLeas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为落实省、市、区消费活动部署，促进汽车消费，计划向符合条件的个人消费者发放汽车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eastAsia="zh-CN"/>
        </w:rPr>
        <w:t>消费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补贴。现将补贴发放机构评选的有关事项公告如下：</w:t>
      </w:r>
    </w:p>
    <w:p>
      <w:pPr>
        <w:autoSpaceDE w:val="0"/>
        <w:autoSpaceDN w:val="0"/>
        <w:snapToGrid w:val="0"/>
        <w:spacing w:line="520" w:lineRule="atLeast"/>
        <w:ind w:firstLine="640" w:firstLineChars="200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  <w:highlight w:val="none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20"/>
          <w:highlight w:val="none"/>
        </w:rPr>
        <w:t>一、项目主题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2025年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</w:rPr>
        <w:t>玄武区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汽车消费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</w:rPr>
        <w:t>促进活动补贴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eastAsia="zh-CN"/>
        </w:rPr>
        <w:t>发放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黑体_GBK"/>
          <w:snapToGrid w:val="0"/>
          <w:sz w:val="32"/>
          <w:szCs w:val="20"/>
        </w:rPr>
      </w:pPr>
      <w:r>
        <w:rPr>
          <w:rFonts w:ascii="Times New Roman" w:hAnsi="Times New Roman" w:eastAsia="方正黑体_GBK"/>
          <w:snapToGrid w:val="0"/>
          <w:sz w:val="32"/>
          <w:szCs w:val="20"/>
        </w:rPr>
        <w:t>二、项目概况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本项目采用直补消费者现金的方式。消费者在相关企业购买活动范围内的汽车新车后，根据价格</w:t>
      </w:r>
      <w:r>
        <w:rPr>
          <w:rFonts w:hint="eastAsia" w:ascii="Times New Roman" w:hAnsi="Times New Roman" w:eastAsia="方正仿宋_GBK"/>
          <w:color w:val="111111"/>
          <w:sz w:val="32"/>
          <w:szCs w:val="32"/>
          <w:lang w:eastAsia="zh-CN"/>
        </w:rPr>
        <w:t>（含税价）</w:t>
      </w:r>
      <w:r>
        <w:rPr>
          <w:rFonts w:ascii="Times New Roman" w:hAnsi="Times New Roman" w:eastAsia="方正仿宋_GBK"/>
          <w:color w:val="111111"/>
          <w:sz w:val="32"/>
          <w:szCs w:val="32"/>
        </w:rPr>
        <w:t>发放消费补贴，补贴资金先到先得，发完即止。计划通过评选确定一家发放机构进行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申领系统开发及消费补贴</w:t>
      </w:r>
      <w:r>
        <w:rPr>
          <w:rFonts w:ascii="Times New Roman" w:hAnsi="Times New Roman" w:eastAsia="方正仿宋_GBK"/>
          <w:color w:val="111111"/>
          <w:sz w:val="32"/>
          <w:szCs w:val="32"/>
        </w:rPr>
        <w:t>发放。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黑体_GBK"/>
          <w:snapToGrid w:val="0"/>
          <w:sz w:val="32"/>
          <w:szCs w:val="20"/>
        </w:rPr>
      </w:pPr>
      <w:r>
        <w:rPr>
          <w:rFonts w:ascii="Times New Roman" w:hAnsi="Times New Roman" w:eastAsia="方正黑体_GBK"/>
          <w:snapToGrid w:val="0"/>
          <w:sz w:val="32"/>
          <w:szCs w:val="20"/>
        </w:rPr>
        <w:t>三、项目执行周期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拟于2025年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111111"/>
          <w:sz w:val="32"/>
          <w:szCs w:val="32"/>
        </w:rPr>
        <w:t>月启动。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黑体_GBK"/>
          <w:snapToGrid w:val="0"/>
          <w:sz w:val="32"/>
          <w:szCs w:val="20"/>
        </w:rPr>
      </w:pPr>
      <w:r>
        <w:rPr>
          <w:rFonts w:ascii="Times New Roman" w:hAnsi="Times New Roman" w:eastAsia="方正黑体_GBK"/>
          <w:snapToGrid w:val="0"/>
          <w:sz w:val="32"/>
          <w:szCs w:val="20"/>
        </w:rPr>
        <w:t>四、评选说明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b/>
          <w:bCs/>
          <w:color w:val="111111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111111"/>
          <w:sz w:val="32"/>
          <w:szCs w:val="32"/>
        </w:rPr>
        <w:t>（一）评选方式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采取综合评选方式，运用综合评分法进行评选。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b/>
          <w:bCs/>
          <w:color w:val="111111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111111"/>
          <w:sz w:val="32"/>
          <w:szCs w:val="32"/>
        </w:rPr>
        <w:t>（二）发放机构应具备的资格要求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应在中华人民共和国境内注册，具有独立法人资格、独立承担民事责任和履行合同能力，具有良好的商业信誉和健全的财务会计制度，有依法缴纳税收和社会保障资金的良好记录，在近三年内的经营活动中没有重大违法记录的金融支付平台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b/>
          <w:bCs/>
          <w:color w:val="111111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111111"/>
          <w:sz w:val="32"/>
          <w:szCs w:val="32"/>
        </w:rPr>
        <w:t>（三）报名及参与方式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1．报名。符合相关资格的供应商从公告之日起向南京市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玄武</w:t>
      </w:r>
      <w:r>
        <w:rPr>
          <w:rFonts w:ascii="Times New Roman" w:hAnsi="Times New Roman" w:eastAsia="方正仿宋_GBK"/>
          <w:color w:val="111111"/>
          <w:sz w:val="32"/>
          <w:szCs w:val="32"/>
        </w:rPr>
        <w:t>区商务局报名参与项目评选。通过电子邮件形式发送报名函（附件2）。报名邮箱地址：</w:t>
      </w:r>
      <w:r>
        <w:rPr>
          <w:rFonts w:hint="eastAsia" w:ascii="Times New Roman" w:hAnsi="Times New Roman" w:eastAsia="方正仿宋_GBK"/>
          <w:color w:val="111111"/>
          <w:sz w:val="32"/>
          <w:szCs w:val="32"/>
          <w:lang w:val="en-US" w:eastAsia="zh-CN"/>
        </w:rPr>
        <w:t>1052284685@qq.com</w:t>
      </w:r>
      <w:r>
        <w:rPr>
          <w:rFonts w:ascii="Times New Roman" w:hAnsi="Times New Roman" w:eastAsia="方正仿宋_GBK"/>
          <w:color w:val="111111"/>
          <w:sz w:val="32"/>
          <w:szCs w:val="32"/>
        </w:rPr>
        <w:t>。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报名截止时间为2025年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lang w:val="en-US" w:eastAsia="zh-CN"/>
        </w:rPr>
        <w:t>18:00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</w:rPr>
        <w:t>时前。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2．参与评选。报名单位提交报名函后获取项目实施方案，并根据实施方案制作相应工作方案，一式8份。我局将开展现场评选工作。供应商需安排1-2人参加评选会并提交相应工作方案。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3．评选会时间：以具体通知为准。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五、咨询及联系方式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hint="default" w:ascii="Times New Roman" w:hAnsi="Times New Roman" w:eastAsia="方正仿宋_GBK"/>
          <w:color w:val="111111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玄武</w:t>
      </w:r>
      <w:r>
        <w:rPr>
          <w:rFonts w:ascii="Times New Roman" w:hAnsi="Times New Roman" w:eastAsia="方正仿宋_GBK"/>
          <w:color w:val="111111"/>
          <w:sz w:val="32"/>
          <w:szCs w:val="32"/>
        </w:rPr>
        <w:t>区商务局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经济</w:t>
      </w:r>
      <w:r>
        <w:rPr>
          <w:rFonts w:ascii="Times New Roman" w:hAnsi="Times New Roman" w:eastAsia="方正仿宋_GBK"/>
          <w:color w:val="111111"/>
          <w:sz w:val="32"/>
          <w:szCs w:val="32"/>
        </w:rPr>
        <w:t>运行科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111111"/>
          <w:sz w:val="32"/>
          <w:szCs w:val="32"/>
        </w:rPr>
        <w:t>联系电话：025-</w:t>
      </w:r>
      <w:r>
        <w:rPr>
          <w:rFonts w:hint="eastAsia" w:ascii="Times New Roman" w:hAnsi="Times New Roman" w:eastAsia="方正仿宋_GBK"/>
          <w:color w:val="111111"/>
          <w:sz w:val="32"/>
          <w:szCs w:val="32"/>
          <w:lang w:val="en-US" w:eastAsia="zh-CN"/>
        </w:rPr>
        <w:t>83212682</w:t>
      </w: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</w:p>
    <w:p>
      <w:pPr>
        <w:pStyle w:val="3"/>
        <w:widowControl/>
        <w:spacing w:beforeAutospacing="0" w:afterAutospacing="0" w:line="520" w:lineRule="atLeas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附件：1．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2025年玄武</w:t>
      </w:r>
      <w:r>
        <w:rPr>
          <w:rFonts w:ascii="Times New Roman" w:hAnsi="Times New Roman" w:eastAsia="方正仿宋_GBK"/>
          <w:color w:val="111111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汽车</w:t>
      </w:r>
      <w:r>
        <w:rPr>
          <w:rFonts w:ascii="Times New Roman" w:hAnsi="Times New Roman" w:eastAsia="方正仿宋_GBK"/>
          <w:color w:val="111111"/>
          <w:sz w:val="32"/>
          <w:szCs w:val="32"/>
        </w:rPr>
        <w:t>消费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促进活动</w:t>
      </w:r>
      <w:r>
        <w:rPr>
          <w:rFonts w:ascii="Times New Roman" w:hAnsi="Times New Roman" w:eastAsia="方正仿宋_GBK"/>
          <w:color w:val="111111"/>
          <w:sz w:val="32"/>
          <w:szCs w:val="32"/>
        </w:rPr>
        <w:t>补贴发放机构评选实施办法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atLeast"/>
        <w:ind w:firstLine="1280" w:firstLineChars="40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2025年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玄武区</w:t>
      </w:r>
      <w:r>
        <w:rPr>
          <w:rFonts w:ascii="Times New Roman" w:hAnsi="Times New Roman" w:eastAsia="方正仿宋_GBK"/>
          <w:color w:val="111111"/>
          <w:sz w:val="32"/>
          <w:szCs w:val="32"/>
        </w:rPr>
        <w:t>汽车消费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促进活动</w:t>
      </w:r>
      <w:r>
        <w:rPr>
          <w:rFonts w:ascii="Times New Roman" w:hAnsi="Times New Roman" w:eastAsia="方正仿宋_GBK"/>
          <w:color w:val="111111"/>
          <w:sz w:val="32"/>
          <w:szCs w:val="32"/>
        </w:rPr>
        <w:t>补贴发放机构评选报名函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20" w:lineRule="atLeast"/>
        <w:rPr>
          <w:rFonts w:ascii="Times New Roman" w:hAnsi="Times New Roman" w:eastAsia="方正仿宋_GBK"/>
          <w:color w:val="111111"/>
          <w:sz w:val="32"/>
          <w:szCs w:val="32"/>
        </w:rPr>
      </w:pPr>
    </w:p>
    <w:p>
      <w:pPr>
        <w:pStyle w:val="3"/>
        <w:widowControl/>
        <w:spacing w:beforeAutospacing="0" w:afterAutospacing="0" w:line="368" w:lineRule="atLeas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附件1</w:t>
      </w:r>
    </w:p>
    <w:p>
      <w:pPr>
        <w:pStyle w:val="3"/>
        <w:widowControl/>
        <w:spacing w:beforeAutospacing="0" w:afterAutospacing="0" w:line="368" w:lineRule="atLeas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2025年玄武区汽车消费促进活动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补贴发放机构评选办法</w:t>
      </w:r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根据相关要求，为公平、公正、公开反映各机构执行消费补贴发放的能力，确保发放工作有序有效，现结合实际，制定评选实施办法。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一、评选对象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参与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玄武区汽车消费促进活动补贴发放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的机构。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二、指标体系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评选采用百分制，共包括机构资质（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15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分）、活动流程设计（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55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分）及活动配套资源（30分）三项评分因素，根据评分标准对机构方案进行量化评分。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三、评选方式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拟由南京市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玄武区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商务局会同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区发改委、区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财政局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  <w:lang w:eastAsia="zh-CN"/>
        </w:rPr>
        <w:t>江苏省汽车流通协会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</w:rPr>
        <w:t>，根据各参与消费补贴发放机构的执行方案、现场陈述等进行综合打分；邀请南京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玄武区纪委监委派驻第三纪检监察组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全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</w:rPr>
        <w:t>程监督评选会。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111111"/>
          <w:sz w:val="32"/>
          <w:szCs w:val="32"/>
          <w:highlight w:val="none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highlight w:val="none"/>
          <w:shd w:val="clear" w:color="auto" w:fill="FFFFFF"/>
        </w:rPr>
        <w:t>四、结果运用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sectPr>
          <w:pgSz w:w="11906" w:h="16838"/>
          <w:pgMar w:top="2098" w:right="1474" w:bottom="1701" w:left="158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</w:rPr>
        <w:t>根据机构得分情况，研究确定汽车</w:t>
      </w:r>
      <w:r>
        <w:rPr>
          <w:rFonts w:hint="eastAsia"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  <w:lang w:eastAsia="zh-CN"/>
        </w:rPr>
        <w:t>消费</w:t>
      </w:r>
      <w:r>
        <w:rPr>
          <w:rFonts w:ascii="Times New Roman" w:hAnsi="Times New Roman" w:eastAsia="方正仿宋_GBK"/>
          <w:color w:val="111111"/>
          <w:sz w:val="32"/>
          <w:szCs w:val="32"/>
          <w:highlight w:val="none"/>
          <w:shd w:val="clear" w:color="auto" w:fill="FFFFFF"/>
        </w:rPr>
        <w:t>补贴发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放机构</w:t>
      </w:r>
    </w:p>
    <w:p>
      <w:pPr>
        <w:pStyle w:val="3"/>
        <w:widowControl/>
        <w:spacing w:beforeAutospacing="0" w:afterAutospacing="0" w:line="368" w:lineRule="atLeas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附件2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ascii="Times New Roman" w:hAnsi="Times New Roman" w:eastAsia="方正小标宋_GBK"/>
          <w:sz w:val="44"/>
          <w:szCs w:val="44"/>
        </w:rPr>
        <w:t>5</w:t>
      </w:r>
      <w:r>
        <w:rPr>
          <w:rFonts w:hint="eastAsia" w:ascii="Times New Roman" w:hAnsi="Times New Roman" w:eastAsia="方正小标宋_GBK"/>
          <w:sz w:val="44"/>
          <w:szCs w:val="44"/>
        </w:rPr>
        <w:t>年玄武汽车消费补贴活动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补贴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发放机构</w:t>
      </w:r>
      <w:r>
        <w:rPr>
          <w:rFonts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评选报名函</w:t>
      </w:r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jc w:val="both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玄武区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商务局：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贵单位发布的《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2025年玄武汽车消费促进活动补贴发放机构评选公告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》我公司已阅览。经研究，我公司决定报名参加贵单位汽车消费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促进活动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补贴发放机构评选，并按要求提供相关响应文件。</w:t>
      </w:r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报名单位名称（公章）：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地址：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联系人及电话：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邮箱地址：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日期：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E576D"/>
    <w:multiLevelType w:val="singleLevel"/>
    <w:tmpl w:val="C68E57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149D"/>
    <w:rsid w:val="004254D4"/>
    <w:rsid w:val="004A5188"/>
    <w:rsid w:val="00864AB6"/>
    <w:rsid w:val="008F6395"/>
    <w:rsid w:val="00A15F1B"/>
    <w:rsid w:val="00A561F4"/>
    <w:rsid w:val="00A66A52"/>
    <w:rsid w:val="00CB4A0F"/>
    <w:rsid w:val="00DE1EEF"/>
    <w:rsid w:val="013C06BC"/>
    <w:rsid w:val="1776002C"/>
    <w:rsid w:val="1C4D407B"/>
    <w:rsid w:val="1EAF02C7"/>
    <w:rsid w:val="23773E1A"/>
    <w:rsid w:val="23D04B22"/>
    <w:rsid w:val="25D7149D"/>
    <w:rsid w:val="28001F21"/>
    <w:rsid w:val="28ED2118"/>
    <w:rsid w:val="29363ABF"/>
    <w:rsid w:val="2B3A0CBA"/>
    <w:rsid w:val="32AB107A"/>
    <w:rsid w:val="381669A8"/>
    <w:rsid w:val="462203F4"/>
    <w:rsid w:val="49FD5066"/>
    <w:rsid w:val="4EAD7AD0"/>
    <w:rsid w:val="69535BCA"/>
    <w:rsid w:val="6AD95A7D"/>
    <w:rsid w:val="775F3697"/>
    <w:rsid w:val="7B8B4B71"/>
    <w:rsid w:val="DB3F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1194</Characters>
  <Lines>44</Lines>
  <Paragraphs>46</Paragraphs>
  <TotalTime>161</TotalTime>
  <ScaleCrop>false</ScaleCrop>
  <LinksUpToDate>false</LinksUpToDate>
  <CharactersWithSpaces>1196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2025-09-04T16:04:00Z</dcterms:created>
  <dc:creator>冰冰菲儿</dc:creator>
  <cp:lastModifiedBy>lenovo</cp:lastModifiedBy>
  <cp:lastPrinted>2025-09-08T09:26:00Z</cp:lastPrinted>
  <dcterms:modified xsi:type="dcterms:W3CDTF">2025-09-08T14:52:29Z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44294943441C4A20BD10430D4C81D3E2_11</vt:lpwstr>
  </property>
  <property fmtid="{D5CDD505-2E9C-101B-9397-08002B2CF9AE}" pid="4" name="KSOTemplateDocerSaveRecord">
    <vt:lpwstr>eyJoZGlkIjoiNmE5ODFlYmE2YWE0YzNkNTVmY2M0NmYxYzMxZmQxY2IiLCJ1c2VySWQiOiIyMTE4MDY5ODUifQ==</vt:lpwstr>
  </property>
</Properties>
</file>