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663B0">
      <w:pPr>
        <w:pStyle w:val="11"/>
        <w:spacing w:line="640" w:lineRule="exact"/>
      </w:pPr>
      <w:bookmarkStart w:id="0" w:name="_GoBack"/>
      <w:bookmarkEnd w:id="0"/>
      <w:r>
        <w:rPr>
          <w:rFonts w:hint="eastAsia"/>
        </w:rPr>
        <w:t>附件：南京市玄武区关于</w:t>
      </w:r>
      <w:r>
        <w:rPr>
          <w:rFonts w:ascii="Times New Roman" w:hAnsi="Times New Roman" w:cs="Times New Roman"/>
        </w:rPr>
        <w:t>2024</w:t>
      </w:r>
      <w:r>
        <w:rPr>
          <w:rFonts w:hint="eastAsia"/>
        </w:rPr>
        <w:t>年中央生态环境保护督察</w:t>
      </w:r>
    </w:p>
    <w:p w14:paraId="1836F6F1">
      <w:pPr>
        <w:pStyle w:val="11"/>
        <w:spacing w:line="640" w:lineRule="exact"/>
      </w:pPr>
      <w:r>
        <w:rPr>
          <w:rFonts w:hint="eastAsia"/>
        </w:rPr>
        <w:t>整改情况公示表（第二批）</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2671"/>
        <w:gridCol w:w="696"/>
        <w:gridCol w:w="831"/>
        <w:gridCol w:w="2296"/>
        <w:gridCol w:w="6011"/>
        <w:gridCol w:w="894"/>
      </w:tblGrid>
      <w:tr w14:paraId="6F0C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775" w:type="dxa"/>
            <w:vAlign w:val="center"/>
          </w:tcPr>
          <w:p w14:paraId="27E6C782">
            <w:pPr>
              <w:snapToGrid w:val="0"/>
              <w:jc w:val="center"/>
              <w:rPr>
                <w:rFonts w:ascii="Times New Roman" w:hAnsi="Times New Roman" w:eastAsia="宋体"/>
                <w:b/>
                <w:bCs/>
                <w:color w:val="auto"/>
                <w:sz w:val="18"/>
                <w:szCs w:val="15"/>
              </w:rPr>
            </w:pPr>
            <w:r>
              <w:rPr>
                <w:rFonts w:hint="eastAsia" w:ascii="Times New Roman" w:hAnsi="Times New Roman" w:eastAsia="宋体"/>
                <w:b/>
                <w:bCs/>
                <w:color w:val="auto"/>
                <w:sz w:val="18"/>
                <w:szCs w:val="15"/>
              </w:rPr>
              <w:t>批次和编号</w:t>
            </w:r>
          </w:p>
        </w:tc>
        <w:tc>
          <w:tcPr>
            <w:tcW w:w="2671" w:type="dxa"/>
            <w:vAlign w:val="center"/>
          </w:tcPr>
          <w:p w14:paraId="38999E4B">
            <w:pPr>
              <w:snapToGrid w:val="0"/>
              <w:jc w:val="center"/>
              <w:rPr>
                <w:rFonts w:ascii="Times New Roman" w:hAnsi="Times New Roman" w:eastAsia="宋体"/>
                <w:b/>
                <w:bCs/>
                <w:color w:val="auto"/>
                <w:sz w:val="18"/>
                <w:szCs w:val="15"/>
              </w:rPr>
            </w:pPr>
            <w:r>
              <w:rPr>
                <w:rFonts w:hint="eastAsia" w:ascii="Times New Roman" w:hAnsi="Times New Roman" w:eastAsia="宋体"/>
                <w:b/>
                <w:bCs/>
                <w:color w:val="auto"/>
                <w:sz w:val="18"/>
                <w:szCs w:val="15"/>
              </w:rPr>
              <w:t>受理编号及举报内容</w:t>
            </w:r>
          </w:p>
        </w:tc>
        <w:tc>
          <w:tcPr>
            <w:tcW w:w="696" w:type="dxa"/>
            <w:vAlign w:val="center"/>
          </w:tcPr>
          <w:p w14:paraId="7FFE6513">
            <w:pPr>
              <w:snapToGrid w:val="0"/>
              <w:jc w:val="center"/>
              <w:rPr>
                <w:rFonts w:ascii="Times New Roman" w:hAnsi="Times New Roman" w:eastAsia="宋体"/>
                <w:b/>
                <w:bCs/>
                <w:color w:val="auto"/>
                <w:sz w:val="18"/>
                <w:szCs w:val="15"/>
              </w:rPr>
            </w:pPr>
            <w:r>
              <w:rPr>
                <w:rFonts w:hint="eastAsia" w:ascii="Times New Roman" w:hAnsi="Times New Roman" w:eastAsia="宋体"/>
                <w:b/>
                <w:bCs/>
                <w:color w:val="auto"/>
                <w:sz w:val="18"/>
                <w:szCs w:val="15"/>
              </w:rPr>
              <w:t>责任单位</w:t>
            </w:r>
          </w:p>
        </w:tc>
        <w:tc>
          <w:tcPr>
            <w:tcW w:w="831" w:type="dxa"/>
            <w:vAlign w:val="center"/>
          </w:tcPr>
          <w:p w14:paraId="2A55983C">
            <w:pPr>
              <w:snapToGrid w:val="0"/>
              <w:jc w:val="center"/>
              <w:rPr>
                <w:rFonts w:ascii="Times New Roman" w:hAnsi="Times New Roman" w:eastAsia="宋体"/>
                <w:b/>
                <w:bCs/>
                <w:color w:val="auto"/>
                <w:sz w:val="18"/>
                <w:szCs w:val="15"/>
              </w:rPr>
            </w:pPr>
            <w:r>
              <w:rPr>
                <w:rFonts w:hint="eastAsia" w:ascii="Times New Roman" w:hAnsi="Times New Roman" w:eastAsia="宋体"/>
                <w:b/>
                <w:bCs/>
                <w:color w:val="auto"/>
                <w:sz w:val="18"/>
                <w:szCs w:val="15"/>
              </w:rPr>
              <w:t>整改</w:t>
            </w:r>
          </w:p>
          <w:p w14:paraId="3224D41B">
            <w:pPr>
              <w:snapToGrid w:val="0"/>
              <w:jc w:val="center"/>
              <w:rPr>
                <w:rFonts w:ascii="Times New Roman" w:hAnsi="Times New Roman" w:eastAsia="宋体"/>
                <w:b/>
                <w:bCs/>
                <w:color w:val="auto"/>
                <w:sz w:val="18"/>
                <w:szCs w:val="15"/>
              </w:rPr>
            </w:pPr>
            <w:r>
              <w:rPr>
                <w:rFonts w:hint="eastAsia" w:ascii="Times New Roman" w:hAnsi="Times New Roman" w:eastAsia="宋体"/>
                <w:b/>
                <w:bCs/>
                <w:color w:val="auto"/>
                <w:sz w:val="18"/>
                <w:szCs w:val="15"/>
              </w:rPr>
              <w:t>时限</w:t>
            </w:r>
          </w:p>
        </w:tc>
        <w:tc>
          <w:tcPr>
            <w:tcW w:w="2296" w:type="dxa"/>
            <w:vAlign w:val="center"/>
          </w:tcPr>
          <w:p w14:paraId="42500170">
            <w:pPr>
              <w:snapToGrid w:val="0"/>
              <w:jc w:val="center"/>
              <w:rPr>
                <w:rFonts w:ascii="Times New Roman" w:hAnsi="Times New Roman" w:eastAsia="宋体"/>
                <w:b/>
                <w:bCs/>
                <w:color w:val="auto"/>
                <w:sz w:val="18"/>
                <w:szCs w:val="15"/>
              </w:rPr>
            </w:pPr>
            <w:r>
              <w:rPr>
                <w:rFonts w:hint="eastAsia" w:ascii="Times New Roman" w:hAnsi="Times New Roman" w:eastAsia="宋体"/>
                <w:b/>
                <w:bCs/>
                <w:color w:val="auto"/>
                <w:sz w:val="18"/>
                <w:szCs w:val="15"/>
              </w:rPr>
              <w:t>整改措施</w:t>
            </w:r>
          </w:p>
        </w:tc>
        <w:tc>
          <w:tcPr>
            <w:tcW w:w="6011" w:type="dxa"/>
            <w:vAlign w:val="center"/>
          </w:tcPr>
          <w:p w14:paraId="01D353E3">
            <w:pPr>
              <w:snapToGrid w:val="0"/>
              <w:jc w:val="center"/>
              <w:rPr>
                <w:rFonts w:ascii="Times New Roman" w:hAnsi="Times New Roman" w:eastAsia="宋体"/>
                <w:b/>
                <w:bCs/>
                <w:color w:val="auto"/>
                <w:sz w:val="18"/>
                <w:szCs w:val="15"/>
              </w:rPr>
            </w:pPr>
            <w:r>
              <w:rPr>
                <w:rFonts w:hint="eastAsia" w:ascii="Times New Roman" w:hAnsi="Times New Roman" w:eastAsia="宋体"/>
                <w:b/>
                <w:bCs/>
                <w:color w:val="auto"/>
                <w:sz w:val="18"/>
                <w:szCs w:val="15"/>
              </w:rPr>
              <w:t>整改完成情况</w:t>
            </w:r>
          </w:p>
        </w:tc>
        <w:tc>
          <w:tcPr>
            <w:tcW w:w="894" w:type="dxa"/>
            <w:vAlign w:val="center"/>
          </w:tcPr>
          <w:p w14:paraId="6E546818">
            <w:pPr>
              <w:snapToGrid w:val="0"/>
              <w:jc w:val="center"/>
              <w:rPr>
                <w:rFonts w:ascii="Times New Roman" w:hAnsi="Times New Roman" w:eastAsia="宋体"/>
                <w:b/>
                <w:bCs/>
                <w:color w:val="auto"/>
                <w:sz w:val="18"/>
                <w:szCs w:val="15"/>
              </w:rPr>
            </w:pPr>
            <w:r>
              <w:rPr>
                <w:rFonts w:hint="eastAsia" w:ascii="Times New Roman" w:hAnsi="Times New Roman" w:eastAsia="宋体"/>
                <w:b/>
                <w:bCs/>
                <w:color w:val="auto"/>
                <w:sz w:val="18"/>
                <w:szCs w:val="15"/>
              </w:rPr>
              <w:t>是否完成整改</w:t>
            </w:r>
          </w:p>
        </w:tc>
      </w:tr>
      <w:tr w14:paraId="5C5D6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75" w:type="dxa"/>
            <w:shd w:val="clear" w:color="auto" w:fill="auto"/>
            <w:vAlign w:val="center"/>
          </w:tcPr>
          <w:p w14:paraId="2136D7E3">
            <w:pPr>
              <w:snapToGrid w:val="0"/>
              <w:jc w:val="center"/>
              <w:rPr>
                <w:rFonts w:ascii="Times New Roman" w:hAnsi="Times New Roman" w:eastAsia="宋体"/>
                <w:color w:val="auto"/>
                <w:sz w:val="18"/>
                <w:szCs w:val="15"/>
              </w:rPr>
            </w:pPr>
            <w:r>
              <w:rPr>
                <w:rFonts w:hint="eastAsia" w:ascii="Times New Roman" w:hAnsi="Times New Roman" w:eastAsia="宋体"/>
                <w:color w:val="auto"/>
                <w:sz w:val="18"/>
                <w:szCs w:val="15"/>
              </w:rPr>
              <w:t>第二十二批122号</w:t>
            </w:r>
          </w:p>
        </w:tc>
        <w:tc>
          <w:tcPr>
            <w:tcW w:w="2671" w:type="dxa"/>
            <w:shd w:val="clear" w:color="auto" w:fill="auto"/>
            <w:vAlign w:val="center"/>
          </w:tcPr>
          <w:p w14:paraId="4335CF93">
            <w:pPr>
              <w:snapToGrid w:val="0"/>
              <w:jc w:val="left"/>
              <w:rPr>
                <w:rFonts w:ascii="Times New Roman" w:hAnsi="Times New Roman" w:eastAsia="宋体"/>
                <w:color w:val="auto"/>
                <w:sz w:val="18"/>
                <w:szCs w:val="15"/>
              </w:rPr>
            </w:pPr>
            <w:r>
              <w:rPr>
                <w:rFonts w:hint="eastAsia" w:ascii="Times New Roman" w:hAnsi="Times New Roman" w:eastAsia="宋体"/>
                <w:color w:val="auto"/>
                <w:sz w:val="18"/>
                <w:szCs w:val="15"/>
              </w:rPr>
              <w:t>D3JS202411090004，南京市玄武区玄武大道299号紫金橄榄苑小区1、2、3栋紧靠玄武大道高架桥，每天24小时大量车辆通过，噪音扰民。举报人要求高架桥上加装隔声屏。</w:t>
            </w:r>
          </w:p>
        </w:tc>
        <w:tc>
          <w:tcPr>
            <w:tcW w:w="696" w:type="dxa"/>
            <w:shd w:val="clear" w:color="auto" w:fill="auto"/>
            <w:vAlign w:val="center"/>
          </w:tcPr>
          <w:p w14:paraId="219D7B5A">
            <w:pPr>
              <w:snapToGrid w:val="0"/>
              <w:jc w:val="center"/>
              <w:rPr>
                <w:rFonts w:ascii="Times New Roman" w:hAnsi="Times New Roman" w:eastAsia="宋体"/>
                <w:color w:val="auto"/>
                <w:sz w:val="18"/>
                <w:szCs w:val="15"/>
              </w:rPr>
            </w:pPr>
            <w:r>
              <w:rPr>
                <w:rFonts w:hint="eastAsia" w:ascii="Times New Roman" w:hAnsi="Times New Roman" w:eastAsia="宋体"/>
                <w:color w:val="auto"/>
                <w:sz w:val="18"/>
                <w:szCs w:val="15"/>
              </w:rPr>
              <w:t>玄武区政府</w:t>
            </w:r>
          </w:p>
        </w:tc>
        <w:tc>
          <w:tcPr>
            <w:tcW w:w="831" w:type="dxa"/>
            <w:shd w:val="clear" w:color="auto" w:fill="auto"/>
            <w:vAlign w:val="center"/>
          </w:tcPr>
          <w:p w14:paraId="67AA3C34">
            <w:pPr>
              <w:snapToGrid w:val="0"/>
              <w:jc w:val="center"/>
              <w:rPr>
                <w:rFonts w:ascii="Times New Roman" w:hAnsi="Times New Roman" w:eastAsia="宋体"/>
                <w:color w:val="auto"/>
                <w:sz w:val="18"/>
                <w:szCs w:val="15"/>
              </w:rPr>
            </w:pPr>
            <w:r>
              <w:rPr>
                <w:rFonts w:hint="eastAsia" w:ascii="Times New Roman" w:hAnsi="Times New Roman" w:eastAsia="宋体"/>
                <w:color w:val="auto"/>
                <w:sz w:val="18"/>
                <w:szCs w:val="15"/>
              </w:rPr>
              <w:t>2025年12月底</w:t>
            </w:r>
          </w:p>
        </w:tc>
        <w:tc>
          <w:tcPr>
            <w:tcW w:w="2296" w:type="dxa"/>
            <w:shd w:val="clear" w:color="auto" w:fill="auto"/>
            <w:vAlign w:val="center"/>
          </w:tcPr>
          <w:p w14:paraId="0D097AD2">
            <w:pPr>
              <w:numPr>
                <w:ilvl w:val="0"/>
                <w:numId w:val="1"/>
              </w:numPr>
              <w:snapToGrid w:val="0"/>
              <w:jc w:val="left"/>
              <w:rPr>
                <w:rFonts w:ascii="Times New Roman" w:hAnsi="Times New Roman" w:eastAsia="宋体"/>
                <w:color w:val="auto"/>
                <w:sz w:val="18"/>
                <w:szCs w:val="15"/>
              </w:rPr>
            </w:pPr>
            <w:r>
              <w:rPr>
                <w:rFonts w:hint="eastAsia" w:ascii="Times New Roman" w:hAnsi="Times New Roman" w:eastAsia="宋体"/>
                <w:color w:val="auto"/>
                <w:sz w:val="18"/>
                <w:szCs w:val="15"/>
              </w:rPr>
              <w:t>督促养护单位加强玄武大道养护，及时修复路面病害，保持玄武大道路面平整。</w:t>
            </w:r>
            <w:r>
              <w:rPr>
                <w:rFonts w:hint="eastAsia" w:ascii="Times New Roman" w:hAnsi="Times New Roman" w:eastAsia="宋体"/>
                <w:color w:val="auto"/>
                <w:sz w:val="18"/>
                <w:szCs w:val="15"/>
              </w:rPr>
              <w:br w:type="textWrapping"/>
            </w:r>
            <w:r>
              <w:rPr>
                <w:rFonts w:hint="eastAsia" w:ascii="Times New Roman" w:hAnsi="Times New Roman" w:eastAsia="宋体"/>
                <w:color w:val="auto"/>
                <w:sz w:val="18"/>
                <w:szCs w:val="15"/>
              </w:rPr>
              <w:t>2.</w:t>
            </w:r>
            <w:r>
              <w:rPr>
                <w:rFonts w:hint="eastAsia" w:ascii="Times New Roman" w:hAnsi="Times New Roman" w:eastAsia="宋体"/>
                <w:color w:val="auto"/>
                <w:sz w:val="18"/>
                <w:szCs w:val="15"/>
                <w:lang w:val="en-US" w:eastAsia="zh-CN"/>
              </w:rPr>
              <w:t xml:space="preserve"> </w:t>
            </w:r>
            <w:r>
              <w:rPr>
                <w:rFonts w:hint="eastAsia" w:ascii="Times New Roman" w:hAnsi="Times New Roman" w:eastAsia="宋体"/>
                <w:color w:val="auto"/>
                <w:sz w:val="18"/>
                <w:szCs w:val="15"/>
              </w:rPr>
              <w:t>加大夜间巡查检查力度，对车辆违规运输、超速行驶等行为进行查处。</w:t>
            </w:r>
            <w:r>
              <w:rPr>
                <w:rFonts w:hint="eastAsia" w:ascii="Times New Roman" w:hAnsi="Times New Roman" w:eastAsia="宋体"/>
                <w:color w:val="auto"/>
                <w:sz w:val="18"/>
                <w:szCs w:val="15"/>
              </w:rPr>
              <w:br w:type="textWrapping"/>
            </w:r>
            <w:r>
              <w:rPr>
                <w:rFonts w:hint="eastAsia" w:ascii="Times New Roman" w:hAnsi="Times New Roman" w:eastAsia="宋体"/>
                <w:color w:val="auto"/>
                <w:sz w:val="18"/>
                <w:szCs w:val="15"/>
              </w:rPr>
              <w:t>3.</w:t>
            </w:r>
            <w:r>
              <w:rPr>
                <w:rFonts w:hint="eastAsia" w:ascii="Times New Roman" w:hAnsi="Times New Roman" w:eastAsia="宋体"/>
                <w:color w:val="auto"/>
                <w:sz w:val="18"/>
                <w:szCs w:val="15"/>
                <w:lang w:val="en-US" w:eastAsia="zh-CN"/>
              </w:rPr>
              <w:t xml:space="preserve"> </w:t>
            </w:r>
            <w:r>
              <w:rPr>
                <w:rFonts w:hint="eastAsia" w:ascii="Times New Roman" w:hAnsi="Times New Roman" w:eastAsia="宋体"/>
                <w:color w:val="auto"/>
                <w:sz w:val="18"/>
                <w:szCs w:val="15"/>
              </w:rPr>
              <w:t>聘请交通方面专家，结合玄武大道路网现状及周边情况进行降噪措施科学论证。</w:t>
            </w:r>
            <w:r>
              <w:rPr>
                <w:rFonts w:hint="eastAsia" w:ascii="Times New Roman" w:hAnsi="Times New Roman" w:eastAsia="宋体"/>
                <w:color w:val="auto"/>
                <w:sz w:val="18"/>
                <w:szCs w:val="15"/>
              </w:rPr>
              <w:br w:type="textWrapping"/>
            </w:r>
            <w:r>
              <w:rPr>
                <w:rFonts w:hint="eastAsia" w:ascii="Times New Roman" w:hAnsi="Times New Roman" w:eastAsia="宋体"/>
                <w:color w:val="auto"/>
                <w:sz w:val="18"/>
                <w:szCs w:val="15"/>
              </w:rPr>
              <w:t>4.</w:t>
            </w:r>
            <w:r>
              <w:rPr>
                <w:rFonts w:hint="eastAsia" w:ascii="Times New Roman" w:hAnsi="Times New Roman" w:eastAsia="宋体"/>
                <w:color w:val="auto"/>
                <w:sz w:val="18"/>
                <w:szCs w:val="15"/>
                <w:lang w:val="en-US" w:eastAsia="zh-CN"/>
              </w:rPr>
              <w:t xml:space="preserve"> </w:t>
            </w:r>
            <w:r>
              <w:rPr>
                <w:rFonts w:hint="eastAsia" w:ascii="Times New Roman" w:hAnsi="Times New Roman" w:eastAsia="宋体"/>
                <w:color w:val="auto"/>
                <w:sz w:val="18"/>
                <w:szCs w:val="15"/>
              </w:rPr>
              <w:t>建立健全与群众沟通交流机制，及时回应群众诉求。</w:t>
            </w:r>
          </w:p>
        </w:tc>
        <w:tc>
          <w:tcPr>
            <w:tcW w:w="6011" w:type="dxa"/>
            <w:shd w:val="clear" w:color="auto" w:fill="auto"/>
          </w:tcPr>
          <w:p w14:paraId="1FE72920">
            <w:pPr>
              <w:snapToGrid w:val="0"/>
              <w:jc w:val="left"/>
              <w:rPr>
                <w:rFonts w:ascii="Times New Roman" w:hAnsi="Times New Roman" w:eastAsia="宋体"/>
                <w:color w:val="auto"/>
                <w:sz w:val="18"/>
                <w:szCs w:val="15"/>
              </w:rPr>
            </w:pPr>
            <w:r>
              <w:rPr>
                <w:rFonts w:hint="eastAsia" w:ascii="Times New Roman" w:hAnsi="Times New Roman" w:eastAsia="宋体"/>
                <w:color w:val="auto"/>
                <w:sz w:val="18"/>
                <w:szCs w:val="15"/>
              </w:rPr>
              <w:t>1. 已加强王家湾跨线桥的日常管养，并对噪声影响较大的伸缩缝进行了整修处理；设置了限速和禁鸣标志；加强渣土车违规运输进行日常巡查；属地街道加强与小区居民沟通解释工作。</w:t>
            </w:r>
            <w:r>
              <w:rPr>
                <w:rFonts w:hint="eastAsia" w:ascii="Times New Roman" w:hAnsi="Times New Roman" w:eastAsia="宋体"/>
                <w:color w:val="auto"/>
                <w:sz w:val="18"/>
                <w:szCs w:val="15"/>
              </w:rPr>
              <w:br w:type="textWrapping"/>
            </w:r>
            <w:r>
              <w:rPr>
                <w:rFonts w:hint="eastAsia" w:ascii="Times New Roman" w:hAnsi="Times New Roman" w:eastAsia="宋体"/>
                <w:color w:val="auto"/>
                <w:sz w:val="18"/>
                <w:szCs w:val="15"/>
              </w:rPr>
              <w:t>2. 玄武区牵头召开整改推进协调</w:t>
            </w:r>
            <w:r>
              <w:rPr>
                <w:rFonts w:hint="eastAsia" w:ascii="Times New Roman" w:hAnsi="Times New Roman" w:eastAsia="宋体"/>
                <w:color w:val="auto"/>
                <w:sz w:val="18"/>
                <w:szCs w:val="15"/>
                <w:lang w:val="en-US" w:eastAsia="zh-CN"/>
              </w:rPr>
              <w:t>会</w:t>
            </w:r>
            <w:r>
              <w:rPr>
                <w:rFonts w:hint="eastAsia" w:ascii="Times New Roman" w:hAnsi="Times New Roman" w:eastAsia="宋体"/>
                <w:color w:val="auto"/>
                <w:sz w:val="18"/>
                <w:szCs w:val="15"/>
              </w:rPr>
              <w:t>，市督改和攻坚办、建委、交通局、城建集团参会研究，会议认为结合目前财政状况等因素，建议采取先易后难，分中远期实施的原则来推动问题整改，即：先铺设降噪沥青缓解噪声干扰，未来条件成熟时再推动声屏障安装等工程措施。</w:t>
            </w:r>
            <w:r>
              <w:rPr>
                <w:rFonts w:hint="eastAsia" w:ascii="Times New Roman" w:hAnsi="Times New Roman" w:eastAsia="宋体"/>
                <w:color w:val="auto"/>
                <w:sz w:val="18"/>
                <w:szCs w:val="15"/>
              </w:rPr>
              <w:br w:type="textWrapping"/>
            </w:r>
            <w:r>
              <w:rPr>
                <w:rFonts w:hint="eastAsia" w:ascii="Times New Roman" w:hAnsi="Times New Roman" w:eastAsia="宋体"/>
                <w:color w:val="auto"/>
                <w:sz w:val="18"/>
                <w:szCs w:val="15"/>
              </w:rPr>
              <w:t xml:space="preserve">3. 已在王家湾跨线桥西向东上桥口至第三道伸缩缝双幅桥面摊铺了降噪沥青。                        </w:t>
            </w:r>
          </w:p>
          <w:p w14:paraId="5ECBF4FB">
            <w:pPr>
              <w:snapToGrid w:val="0"/>
              <w:jc w:val="left"/>
              <w:rPr>
                <w:rFonts w:ascii="Times New Roman" w:hAnsi="Times New Roman" w:eastAsia="宋体"/>
                <w:color w:val="auto"/>
                <w:sz w:val="18"/>
                <w:szCs w:val="15"/>
              </w:rPr>
            </w:pPr>
            <w:r>
              <w:rPr>
                <w:rFonts w:hint="eastAsia" w:ascii="Times New Roman" w:hAnsi="Times New Roman" w:eastAsia="宋体"/>
                <w:color w:val="auto"/>
                <w:sz w:val="18"/>
                <w:szCs w:val="15"/>
              </w:rPr>
              <w:t>4. 组织对整改后的交通噪声进行现场监测。监测结果对比。环境噪声敏感点：监测结果显示，昼间噪声值各点位下降1-4分贝；夜间噪声值各点位下降4-5分贝。对室内噪声监测数据进行对比：在居民家中关窗情况下，昼间噪声值下降3.8-4.2分贝；夜间噪声值下降4.9-5.3分贝。经过采取系列措施后，噪声值下降明显，有效降低了玄武大道交通噪声对居民的影响。</w:t>
            </w:r>
          </w:p>
        </w:tc>
        <w:tc>
          <w:tcPr>
            <w:tcW w:w="894" w:type="dxa"/>
            <w:shd w:val="clear" w:color="auto" w:fill="auto"/>
            <w:vAlign w:val="center"/>
          </w:tcPr>
          <w:p w14:paraId="3D81DDFB">
            <w:pPr>
              <w:snapToGrid w:val="0"/>
              <w:jc w:val="center"/>
              <w:rPr>
                <w:rFonts w:ascii="Times New Roman" w:hAnsi="Times New Roman" w:eastAsia="宋体"/>
                <w:color w:val="auto"/>
                <w:sz w:val="18"/>
                <w:szCs w:val="15"/>
              </w:rPr>
            </w:pPr>
            <w:r>
              <w:rPr>
                <w:rFonts w:hint="eastAsia" w:ascii="Times New Roman" w:hAnsi="Times New Roman" w:eastAsia="宋体"/>
                <w:color w:val="auto"/>
                <w:sz w:val="18"/>
                <w:szCs w:val="15"/>
              </w:rPr>
              <w:t>是</w:t>
            </w:r>
          </w:p>
        </w:tc>
      </w:tr>
      <w:tr w14:paraId="3785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75" w:type="dxa"/>
            <w:shd w:val="clear" w:color="auto" w:fill="auto"/>
            <w:vAlign w:val="center"/>
          </w:tcPr>
          <w:p w14:paraId="71D9B3B4">
            <w:pPr>
              <w:snapToGrid w:val="0"/>
              <w:jc w:val="center"/>
              <w:rPr>
                <w:rFonts w:ascii="Times New Roman" w:hAnsi="Times New Roman" w:eastAsia="宋体"/>
                <w:color w:val="auto"/>
                <w:sz w:val="18"/>
                <w:szCs w:val="15"/>
              </w:rPr>
            </w:pPr>
            <w:r>
              <w:rPr>
                <w:rFonts w:hint="eastAsia" w:ascii="Times New Roman" w:hAnsi="Times New Roman" w:eastAsia="宋体"/>
                <w:color w:val="auto"/>
                <w:sz w:val="18"/>
                <w:szCs w:val="15"/>
              </w:rPr>
              <w:t>第二十七批72号</w:t>
            </w:r>
          </w:p>
        </w:tc>
        <w:tc>
          <w:tcPr>
            <w:tcW w:w="2671" w:type="dxa"/>
            <w:shd w:val="clear" w:color="auto" w:fill="auto"/>
            <w:vAlign w:val="center"/>
          </w:tcPr>
          <w:p w14:paraId="719F0947">
            <w:pPr>
              <w:snapToGrid w:val="0"/>
              <w:jc w:val="left"/>
              <w:rPr>
                <w:rFonts w:ascii="Times New Roman" w:hAnsi="Times New Roman" w:eastAsia="宋体"/>
                <w:color w:val="auto"/>
                <w:sz w:val="18"/>
                <w:szCs w:val="15"/>
              </w:rPr>
            </w:pPr>
            <w:r>
              <w:rPr>
                <w:rFonts w:hint="eastAsia" w:ascii="Times New Roman" w:hAnsi="Times New Roman" w:eastAsia="宋体"/>
                <w:color w:val="auto"/>
                <w:sz w:val="18"/>
                <w:szCs w:val="15"/>
              </w:rPr>
              <w:t>X3JS202411140067，南京市玄武区玄武大道299号紫金橄榄苑居民自2009年入住小区以来，一直受玄武大道噪音之害，由于小区楼栋与玄武大道高架桥之间距离太近，前期整改效果并不理想，尤其是夜间车辆川流不息噪声环绕，有重车经过时更是轰轰烈烈，严重影响小区居民的生活。</w:t>
            </w:r>
          </w:p>
        </w:tc>
        <w:tc>
          <w:tcPr>
            <w:tcW w:w="696" w:type="dxa"/>
            <w:shd w:val="clear" w:color="auto" w:fill="auto"/>
            <w:vAlign w:val="center"/>
          </w:tcPr>
          <w:p w14:paraId="24A21DF6">
            <w:pPr>
              <w:snapToGrid w:val="0"/>
              <w:jc w:val="center"/>
              <w:rPr>
                <w:rFonts w:ascii="Times New Roman" w:hAnsi="Times New Roman" w:eastAsia="宋体"/>
                <w:color w:val="auto"/>
                <w:sz w:val="18"/>
                <w:szCs w:val="15"/>
              </w:rPr>
            </w:pPr>
            <w:r>
              <w:rPr>
                <w:rFonts w:hint="eastAsia" w:ascii="Times New Roman" w:hAnsi="Times New Roman" w:eastAsia="宋体"/>
                <w:color w:val="auto"/>
                <w:sz w:val="18"/>
                <w:szCs w:val="15"/>
              </w:rPr>
              <w:t>玄武区政府</w:t>
            </w:r>
          </w:p>
        </w:tc>
        <w:tc>
          <w:tcPr>
            <w:tcW w:w="831" w:type="dxa"/>
            <w:shd w:val="clear" w:color="auto" w:fill="auto"/>
            <w:vAlign w:val="center"/>
          </w:tcPr>
          <w:p w14:paraId="304225B7">
            <w:pPr>
              <w:snapToGrid w:val="0"/>
              <w:jc w:val="center"/>
              <w:rPr>
                <w:rFonts w:ascii="Times New Roman" w:hAnsi="Times New Roman" w:eastAsia="宋体"/>
                <w:color w:val="auto"/>
                <w:sz w:val="18"/>
                <w:szCs w:val="15"/>
              </w:rPr>
            </w:pPr>
            <w:r>
              <w:rPr>
                <w:rFonts w:hint="eastAsia" w:ascii="Times New Roman" w:hAnsi="Times New Roman" w:eastAsia="宋体"/>
                <w:color w:val="auto"/>
                <w:sz w:val="18"/>
                <w:szCs w:val="15"/>
              </w:rPr>
              <w:t>2025年12月底</w:t>
            </w:r>
          </w:p>
        </w:tc>
        <w:tc>
          <w:tcPr>
            <w:tcW w:w="2296" w:type="dxa"/>
            <w:shd w:val="clear" w:color="auto" w:fill="auto"/>
            <w:vAlign w:val="center"/>
          </w:tcPr>
          <w:p w14:paraId="1CD6BA83">
            <w:pPr>
              <w:numPr>
                <w:ilvl w:val="0"/>
                <w:numId w:val="2"/>
              </w:numPr>
              <w:snapToGrid w:val="0"/>
              <w:jc w:val="left"/>
              <w:rPr>
                <w:rFonts w:ascii="Times New Roman" w:hAnsi="Times New Roman" w:eastAsia="宋体"/>
                <w:color w:val="auto"/>
                <w:sz w:val="18"/>
                <w:szCs w:val="15"/>
              </w:rPr>
            </w:pPr>
            <w:r>
              <w:rPr>
                <w:rFonts w:hint="eastAsia" w:ascii="Times New Roman" w:hAnsi="Times New Roman" w:eastAsia="宋体"/>
                <w:color w:val="auto"/>
                <w:sz w:val="18"/>
                <w:szCs w:val="15"/>
              </w:rPr>
              <w:t>按照《关于南京市城建项目建设管理有限公司玄武大道快速化改造工程环境影响报告表的批复》要求，组织市相关部门及专家研究制定进一步解决方案，报市政府决策后实施。</w:t>
            </w:r>
            <w:r>
              <w:rPr>
                <w:rFonts w:hint="eastAsia" w:ascii="Times New Roman" w:hAnsi="Times New Roman" w:eastAsia="宋体"/>
                <w:color w:val="auto"/>
                <w:sz w:val="18"/>
                <w:szCs w:val="15"/>
              </w:rPr>
              <w:br w:type="textWrapping"/>
            </w:r>
            <w:r>
              <w:rPr>
                <w:rFonts w:hint="eastAsia" w:ascii="Times New Roman" w:hAnsi="Times New Roman" w:eastAsia="宋体"/>
                <w:color w:val="auto"/>
                <w:sz w:val="18"/>
                <w:szCs w:val="15"/>
              </w:rPr>
              <w:t>2.</w:t>
            </w:r>
            <w:r>
              <w:rPr>
                <w:rFonts w:hint="eastAsia" w:ascii="Times New Roman" w:hAnsi="Times New Roman" w:eastAsia="宋体"/>
                <w:color w:val="auto"/>
                <w:sz w:val="18"/>
                <w:szCs w:val="15"/>
                <w:lang w:val="en-US" w:eastAsia="zh-CN"/>
              </w:rPr>
              <w:t xml:space="preserve"> </w:t>
            </w:r>
            <w:r>
              <w:rPr>
                <w:rFonts w:hint="eastAsia" w:ascii="Times New Roman" w:hAnsi="Times New Roman" w:eastAsia="宋体"/>
                <w:color w:val="auto"/>
                <w:sz w:val="18"/>
                <w:szCs w:val="15"/>
              </w:rPr>
              <w:t>加大夜间巡查检查力度，对车辆违规运输、超速行驶等行为进行查处。</w:t>
            </w:r>
            <w:r>
              <w:rPr>
                <w:rFonts w:hint="eastAsia" w:ascii="Times New Roman" w:hAnsi="Times New Roman" w:eastAsia="宋体"/>
                <w:color w:val="auto"/>
                <w:sz w:val="18"/>
                <w:szCs w:val="15"/>
              </w:rPr>
              <w:br w:type="textWrapping"/>
            </w:r>
            <w:r>
              <w:rPr>
                <w:rFonts w:hint="eastAsia" w:ascii="Times New Roman" w:hAnsi="Times New Roman" w:eastAsia="宋体"/>
                <w:color w:val="auto"/>
                <w:sz w:val="18"/>
                <w:szCs w:val="15"/>
              </w:rPr>
              <w:t>3.</w:t>
            </w:r>
            <w:r>
              <w:rPr>
                <w:rFonts w:hint="eastAsia" w:ascii="Times New Roman" w:hAnsi="Times New Roman" w:eastAsia="宋体"/>
                <w:color w:val="auto"/>
                <w:sz w:val="18"/>
                <w:szCs w:val="15"/>
                <w:lang w:val="en-US" w:eastAsia="zh-CN"/>
              </w:rPr>
              <w:t xml:space="preserve"> </w:t>
            </w:r>
            <w:r>
              <w:rPr>
                <w:rFonts w:hint="eastAsia" w:ascii="Times New Roman" w:hAnsi="Times New Roman" w:eastAsia="宋体"/>
                <w:color w:val="auto"/>
                <w:sz w:val="18"/>
                <w:szCs w:val="15"/>
              </w:rPr>
              <w:t>建立健全与群众沟通交流机制，及时回应群众诉求，积极主动做好周边居民的沟通调解工作。</w:t>
            </w:r>
          </w:p>
        </w:tc>
        <w:tc>
          <w:tcPr>
            <w:tcW w:w="6011" w:type="dxa"/>
            <w:shd w:val="clear" w:color="auto" w:fill="auto"/>
            <w:vAlign w:val="center"/>
          </w:tcPr>
          <w:p w14:paraId="7E32EB8C">
            <w:pPr>
              <w:snapToGrid w:val="0"/>
              <w:jc w:val="left"/>
              <w:rPr>
                <w:rFonts w:ascii="Times New Roman" w:hAnsi="Times New Roman" w:eastAsia="宋体"/>
                <w:color w:val="auto"/>
                <w:sz w:val="18"/>
                <w:szCs w:val="15"/>
              </w:rPr>
            </w:pPr>
            <w:r>
              <w:rPr>
                <w:rFonts w:hint="eastAsia" w:ascii="Times New Roman" w:hAnsi="Times New Roman" w:eastAsia="宋体"/>
                <w:color w:val="auto"/>
                <w:sz w:val="18"/>
                <w:szCs w:val="15"/>
              </w:rPr>
              <w:t>1. 已加强王家湾跨线桥的日常管养，并对噪声影响较大的伸缩缝进行了整修处理；设置了限速和禁鸣标志；加强渣土车违规运输进行日常巡查；属地街道加强与小区居民沟通解释工作。</w:t>
            </w:r>
            <w:r>
              <w:rPr>
                <w:rFonts w:hint="eastAsia" w:ascii="Times New Roman" w:hAnsi="Times New Roman" w:eastAsia="宋体"/>
                <w:color w:val="auto"/>
                <w:sz w:val="18"/>
                <w:szCs w:val="15"/>
              </w:rPr>
              <w:br w:type="textWrapping"/>
            </w:r>
            <w:r>
              <w:rPr>
                <w:rFonts w:hint="eastAsia" w:ascii="Times New Roman" w:hAnsi="Times New Roman" w:eastAsia="宋体"/>
                <w:color w:val="auto"/>
                <w:sz w:val="18"/>
                <w:szCs w:val="15"/>
              </w:rPr>
              <w:t>2. 玄武区牵头召开整改推进协调</w:t>
            </w:r>
            <w:r>
              <w:rPr>
                <w:rFonts w:hint="eastAsia" w:ascii="Times New Roman" w:hAnsi="Times New Roman" w:eastAsia="宋体"/>
                <w:color w:val="auto"/>
                <w:sz w:val="18"/>
                <w:szCs w:val="15"/>
                <w:lang w:val="en-US" w:eastAsia="zh-CN"/>
              </w:rPr>
              <w:t>会</w:t>
            </w:r>
            <w:r>
              <w:rPr>
                <w:rFonts w:hint="eastAsia" w:ascii="Times New Roman" w:hAnsi="Times New Roman" w:eastAsia="宋体"/>
                <w:color w:val="auto"/>
                <w:sz w:val="18"/>
                <w:szCs w:val="15"/>
              </w:rPr>
              <w:t>，市督改和攻坚办、建委、交通局、城建集团参会研究，会议认为结合目前财政状况等因素，建议采取先易后难，分中远期实施的原则来推动问题整改，即：先铺设降噪沥青缓解噪声干扰，未来条件成熟时再推动声屏障安装等工程措施。</w:t>
            </w:r>
            <w:r>
              <w:rPr>
                <w:rFonts w:hint="eastAsia" w:ascii="Times New Roman" w:hAnsi="Times New Roman" w:eastAsia="宋体"/>
                <w:color w:val="auto"/>
                <w:sz w:val="18"/>
                <w:szCs w:val="15"/>
              </w:rPr>
              <w:br w:type="textWrapping"/>
            </w:r>
            <w:r>
              <w:rPr>
                <w:rFonts w:hint="eastAsia" w:ascii="Times New Roman" w:hAnsi="Times New Roman" w:eastAsia="宋体"/>
                <w:color w:val="auto"/>
                <w:sz w:val="18"/>
                <w:szCs w:val="15"/>
              </w:rPr>
              <w:t xml:space="preserve">3. 已在王家湾跨线桥西向东上桥口至第三道伸缩缝双幅桥面摊铺了降噪沥青。                        </w:t>
            </w:r>
          </w:p>
          <w:p w14:paraId="0A390BFB">
            <w:pPr>
              <w:snapToGrid w:val="0"/>
              <w:jc w:val="left"/>
              <w:rPr>
                <w:rFonts w:ascii="Times New Roman" w:hAnsi="Times New Roman" w:eastAsia="宋体"/>
                <w:color w:val="auto"/>
                <w:sz w:val="18"/>
                <w:szCs w:val="15"/>
              </w:rPr>
            </w:pPr>
            <w:r>
              <w:rPr>
                <w:rFonts w:hint="eastAsia" w:ascii="Times New Roman" w:hAnsi="Times New Roman" w:eastAsia="宋体"/>
                <w:color w:val="auto"/>
                <w:sz w:val="18"/>
                <w:szCs w:val="15"/>
              </w:rPr>
              <w:t>4. 已组织对整改后的交通噪声进行现场监测。监测结果对比。环境噪声敏感点：监测结果显示，昼间噪声值各点位下降1-4分贝；夜间噪声值各点位下降4-5分贝。对室内噪声监测数据进行对比：在居民家中关窗情况下，昼间噪声值下降3.8-4.2分贝；夜间噪声值下降4.9-5.3分贝。经过采取系列措施后，噪声值下降明显，有效降低了玄武大道交通噪声对居民的影响。</w:t>
            </w:r>
          </w:p>
        </w:tc>
        <w:tc>
          <w:tcPr>
            <w:tcW w:w="894" w:type="dxa"/>
            <w:shd w:val="clear" w:color="auto" w:fill="auto"/>
            <w:vAlign w:val="center"/>
          </w:tcPr>
          <w:p w14:paraId="53147BE6">
            <w:pPr>
              <w:snapToGrid w:val="0"/>
              <w:jc w:val="center"/>
              <w:rPr>
                <w:rFonts w:ascii="Times New Roman" w:hAnsi="Times New Roman" w:eastAsia="宋体"/>
                <w:color w:val="auto"/>
                <w:sz w:val="18"/>
                <w:szCs w:val="15"/>
              </w:rPr>
            </w:pPr>
            <w:r>
              <w:rPr>
                <w:rFonts w:hint="eastAsia" w:ascii="Times New Roman" w:hAnsi="Times New Roman" w:eastAsia="宋体"/>
                <w:color w:val="auto"/>
                <w:sz w:val="18"/>
                <w:szCs w:val="15"/>
              </w:rPr>
              <w:t>是</w:t>
            </w:r>
          </w:p>
        </w:tc>
      </w:tr>
    </w:tbl>
    <w:p w14:paraId="65ACB1EE">
      <w:pPr>
        <w:rPr>
          <w:rFonts w:ascii="Times New Roman" w:hAnsi="Times New Roman"/>
          <w:sz w:val="15"/>
          <w:szCs w:val="15"/>
        </w:rPr>
      </w:pPr>
    </w:p>
    <w:sectPr>
      <w:footerReference r:id="rId3" w:type="default"/>
      <w:pgSz w:w="16838" w:h="11906" w:orient="landscape"/>
      <w:pgMar w:top="1531" w:right="1440" w:bottom="153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71F41">
    <w:pPr>
      <w:pStyle w:val="3"/>
      <w:jc w:val="both"/>
      <w:rPr>
        <w:rFonts w:ascii="宋体" w:hAnsi="宋体"/>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-83185</wp:posOffset>
              </wp:positionV>
              <wp:extent cx="778510" cy="2209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78510" cy="220980"/>
                      </a:xfrm>
                      <a:prstGeom prst="rect">
                        <a:avLst/>
                      </a:prstGeom>
                      <a:noFill/>
                      <a:ln w="6350">
                        <a:noFill/>
                      </a:ln>
                      <a:effectLst/>
                    </wps:spPr>
                    <wps:txbx>
                      <w:txbxContent>
                        <w:p w14:paraId="241F4003">
                          <w:pPr>
                            <w:pStyle w:val="3"/>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6.55pt;height:17.4pt;width:61.3pt;mso-position-horizontal:outside;mso-position-horizontal-relative:margin;z-index:251659264;mso-width-relative:page;mso-height-relative:page;" filled="f" stroked="f" coordsize="21600,21600" o:gfxdata="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1nVPK9YAAAAHAQAADwAAAAAAAAABACAAAAAiAAAAZHJzL2Rvd25y&#10;ZXYueG1sUEsBAhQAFAAAAAgAh07iQNF95bs5AgAAYwQAAA4AAAAAAAAAAQAgAAAAJQEAAGRycy9l&#10;Mm9Eb2MueG1sUEsFBgAAAAAGAAYAWQEAANAFAAAAAA==&#10;">
              <v:fill on="f" focussize="0,0"/>
              <v:stroke on="f" weight="0.5pt"/>
              <v:imagedata o:title=""/>
              <o:lock v:ext="edit" aspectratio="f"/>
              <v:textbox inset="0mm,0mm,0mm,0mm">
                <w:txbxContent>
                  <w:p w14:paraId="241F4003">
                    <w:pPr>
                      <w:pStyle w:val="3"/>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C9FD1C"/>
    <w:multiLevelType w:val="singleLevel"/>
    <w:tmpl w:val="EFC9FD1C"/>
    <w:lvl w:ilvl="0" w:tentative="0">
      <w:start w:val="1"/>
      <w:numFmt w:val="decimal"/>
      <w:suff w:val="space"/>
      <w:lvlText w:val="%1."/>
      <w:lvlJc w:val="left"/>
    </w:lvl>
  </w:abstractNum>
  <w:abstractNum w:abstractNumId="1">
    <w:nsid w:val="13C56D4F"/>
    <w:multiLevelType w:val="singleLevel"/>
    <w:tmpl w:val="13C56D4F"/>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83D"/>
    <w:rsid w:val="00024FA8"/>
    <w:rsid w:val="001134FE"/>
    <w:rsid w:val="001232AA"/>
    <w:rsid w:val="00152834"/>
    <w:rsid w:val="00186DDC"/>
    <w:rsid w:val="001B02C4"/>
    <w:rsid w:val="00205D09"/>
    <w:rsid w:val="002D176F"/>
    <w:rsid w:val="002D5B13"/>
    <w:rsid w:val="00391ECC"/>
    <w:rsid w:val="003B02D3"/>
    <w:rsid w:val="003D5BD6"/>
    <w:rsid w:val="003E362F"/>
    <w:rsid w:val="004828E2"/>
    <w:rsid w:val="004B6C2B"/>
    <w:rsid w:val="004D790B"/>
    <w:rsid w:val="0054478D"/>
    <w:rsid w:val="005807F7"/>
    <w:rsid w:val="005C2335"/>
    <w:rsid w:val="005F60C7"/>
    <w:rsid w:val="00662701"/>
    <w:rsid w:val="00666494"/>
    <w:rsid w:val="00691394"/>
    <w:rsid w:val="007033B3"/>
    <w:rsid w:val="007042DE"/>
    <w:rsid w:val="00707195"/>
    <w:rsid w:val="007272DF"/>
    <w:rsid w:val="007B1DE9"/>
    <w:rsid w:val="007F4CDE"/>
    <w:rsid w:val="00866E13"/>
    <w:rsid w:val="00874EAE"/>
    <w:rsid w:val="008C0818"/>
    <w:rsid w:val="008C3A59"/>
    <w:rsid w:val="00971390"/>
    <w:rsid w:val="00AE33CD"/>
    <w:rsid w:val="00B23AA7"/>
    <w:rsid w:val="00B35897"/>
    <w:rsid w:val="00BB581D"/>
    <w:rsid w:val="00BB7732"/>
    <w:rsid w:val="00BE4917"/>
    <w:rsid w:val="00C072E0"/>
    <w:rsid w:val="00C9299F"/>
    <w:rsid w:val="00CC5818"/>
    <w:rsid w:val="00CC7E51"/>
    <w:rsid w:val="00D32FB7"/>
    <w:rsid w:val="00D610B7"/>
    <w:rsid w:val="00DE5B69"/>
    <w:rsid w:val="00EA637A"/>
    <w:rsid w:val="00F015C6"/>
    <w:rsid w:val="00F54811"/>
    <w:rsid w:val="00F5683D"/>
    <w:rsid w:val="03D81515"/>
    <w:rsid w:val="05505D14"/>
    <w:rsid w:val="06236965"/>
    <w:rsid w:val="0A7B04A7"/>
    <w:rsid w:val="0AE01160"/>
    <w:rsid w:val="0BD718A8"/>
    <w:rsid w:val="0D353B3E"/>
    <w:rsid w:val="0E7A7E31"/>
    <w:rsid w:val="10EE623F"/>
    <w:rsid w:val="11D45915"/>
    <w:rsid w:val="135B074D"/>
    <w:rsid w:val="18FA5D80"/>
    <w:rsid w:val="1E645513"/>
    <w:rsid w:val="201E2D9B"/>
    <w:rsid w:val="21DA565B"/>
    <w:rsid w:val="263F16B0"/>
    <w:rsid w:val="27637EA1"/>
    <w:rsid w:val="2863476E"/>
    <w:rsid w:val="2903204E"/>
    <w:rsid w:val="296B5B2D"/>
    <w:rsid w:val="2DD01CD1"/>
    <w:rsid w:val="2DD77A18"/>
    <w:rsid w:val="32891C00"/>
    <w:rsid w:val="34775193"/>
    <w:rsid w:val="36393E81"/>
    <w:rsid w:val="369C691B"/>
    <w:rsid w:val="3BC9766C"/>
    <w:rsid w:val="3D994BA3"/>
    <w:rsid w:val="3EF975E9"/>
    <w:rsid w:val="3F2D1E7C"/>
    <w:rsid w:val="3F2D6D41"/>
    <w:rsid w:val="401F0744"/>
    <w:rsid w:val="41B53688"/>
    <w:rsid w:val="426268AC"/>
    <w:rsid w:val="4C226976"/>
    <w:rsid w:val="4C595F4F"/>
    <w:rsid w:val="513277F7"/>
    <w:rsid w:val="552175CF"/>
    <w:rsid w:val="594A61B3"/>
    <w:rsid w:val="59F7709B"/>
    <w:rsid w:val="5C897912"/>
    <w:rsid w:val="5F4452E0"/>
    <w:rsid w:val="5F4F4501"/>
    <w:rsid w:val="62CD2097"/>
    <w:rsid w:val="67EF4E24"/>
    <w:rsid w:val="69CF5B77"/>
    <w:rsid w:val="6ED84BE7"/>
    <w:rsid w:val="6FDB2C3A"/>
    <w:rsid w:val="724A4D8F"/>
    <w:rsid w:val="73DD7D96"/>
    <w:rsid w:val="776C5E7A"/>
    <w:rsid w:val="790B7D54"/>
    <w:rsid w:val="7A762425"/>
    <w:rsid w:val="7FA53E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index heading"/>
    <w:basedOn w:val="1"/>
    <w:next w:val="6"/>
    <w:unhideWhenUsed/>
    <w:qFormat/>
    <w:uiPriority w:val="99"/>
    <w:pPr>
      <w:widowControl/>
      <w:spacing w:line="560" w:lineRule="exact"/>
      <w:ind w:firstLine="200" w:firstLineChars="200"/>
    </w:pPr>
    <w:rPr>
      <w:rFonts w:ascii="Cambria" w:hAnsi="Cambria" w:eastAsia="方正仿宋_GBK"/>
      <w:b/>
      <w:bCs/>
      <w:kern w:val="0"/>
      <w:sz w:val="32"/>
      <w:szCs w:val="32"/>
    </w:rPr>
  </w:style>
  <w:style w:type="paragraph" w:styleId="6">
    <w:name w:val="index 1"/>
    <w:basedOn w:val="1"/>
    <w:next w:val="1"/>
    <w:unhideWhenUsed/>
    <w:qFormat/>
    <w:uiPriority w:val="99"/>
    <w:rPr>
      <w:rFonts w:ascii="Calibri" w:hAnsi="Calibri" w:eastAsia="宋体" w:cs="Times New Roman"/>
      <w:szCs w:val="22"/>
    </w:rPr>
  </w:style>
  <w:style w:type="paragraph" w:styleId="7">
    <w:name w:val="Body Text 2"/>
    <w:basedOn w:val="1"/>
    <w:qFormat/>
    <w:uiPriority w:val="0"/>
    <w:pPr>
      <w:spacing w:line="480" w:lineRule="auto"/>
    </w:pPr>
    <w:rPr>
      <w:rFonts w:ascii="Calibri" w:hAnsi="Calibri"/>
      <w:szCs w:val="2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标题1"/>
    <w:basedOn w:val="1"/>
    <w:next w:val="1"/>
    <w:autoRedefine/>
    <w:qFormat/>
    <w:uiPriority w:val="0"/>
    <w:pPr>
      <w:tabs>
        <w:tab w:val="left" w:pos="9193"/>
        <w:tab w:val="left" w:pos="9827"/>
      </w:tabs>
      <w:spacing w:after="120" w:line="660" w:lineRule="exact"/>
      <w:jc w:val="center"/>
    </w:pPr>
    <w:rPr>
      <w:rFonts w:eastAsia="方正小标宋_GBK"/>
      <w:kern w:val="0"/>
      <w:sz w:val="44"/>
      <w:szCs w:val="20"/>
    </w:rPr>
  </w:style>
  <w:style w:type="paragraph" w:customStyle="1" w:styleId="12">
    <w:name w:val="标题2"/>
    <w:basedOn w:val="1"/>
    <w:next w:val="1"/>
    <w:autoRedefine/>
    <w:qFormat/>
    <w:uiPriority w:val="0"/>
    <w:pPr>
      <w:jc w:val="center"/>
    </w:pPr>
    <w:rPr>
      <w:rFonts w:eastAsia="方正楷体_GBK"/>
    </w:rPr>
  </w:style>
  <w:style w:type="character" w:customStyle="1" w:styleId="13">
    <w:name w:val="页眉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1597</Words>
  <Characters>1755</Characters>
  <Lines>13</Lines>
  <Paragraphs>3</Paragraphs>
  <TotalTime>2</TotalTime>
  <ScaleCrop>false</ScaleCrop>
  <LinksUpToDate>false</LinksUpToDate>
  <CharactersWithSpaces>1816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2025-07-04T09:09:00Z</dcterms:created>
  <dc:creator>Administrator</dc:creator>
  <cp:lastModifiedBy>jç</cp:lastModifiedBy>
  <cp:lastPrinted>2025-06-24T03:11:00Z</cp:lastPrinted>
  <dcterms:modified xsi:type="dcterms:W3CDTF">2025-09-02T06:38:10Z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eyJoZGlkIjoiMDZjZGVjZjgzMzkyODM2NGIxY2VmZDk3NWExODhiOTEiLCJ1c2VySWQiOiIyNTE2MDY1MjYifQ==</vt:lpwstr>
  </property>
  <property fmtid="{D5CDD505-2E9C-101B-9397-08002B2CF9AE}" pid="4" name="ICV">
    <vt:lpwstr>45401201F051403498E9517AB30556D8_13</vt:lpwstr>
  </property>
</Properties>
</file>