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0" w:firstLineChars="0"/>
        <w:rPr>
          <w:rFonts w:ascii="Times New Roman" w:hAnsi="Times New Roman" w:eastAsia="方正黑体_GBK"/>
          <w:sz w:val="30"/>
          <w:szCs w:val="30"/>
          <w:highlight w:val="none"/>
        </w:rPr>
      </w:pPr>
      <w:r>
        <w:rPr>
          <w:rFonts w:hint="eastAsia" w:ascii="Times New Roman" w:hAnsi="Times New Roman" w:eastAsia="方正黑体_GBK"/>
          <w:sz w:val="30"/>
          <w:szCs w:val="30"/>
          <w:highlight w:val="none"/>
        </w:rPr>
        <w:t>玄武区十九届人大</w:t>
      </w:r>
    </w:p>
    <w:p>
      <w:pPr>
        <w:spacing w:line="460" w:lineRule="exact"/>
        <w:ind w:firstLine="0" w:firstLineChars="0"/>
        <w:rPr>
          <w:rFonts w:ascii="Times New Roman" w:hAnsi="Times New Roman" w:eastAsia="方正黑体_GBK"/>
          <w:sz w:val="30"/>
          <w:szCs w:val="30"/>
          <w:highlight w:val="none"/>
        </w:rPr>
      </w:pPr>
      <w:r>
        <w:rPr>
          <w:rFonts w:hint="eastAsia" w:ascii="Times New Roman" w:hAnsi="Times New Roman" w:eastAsia="方正黑体_GBK"/>
          <w:sz w:val="30"/>
          <w:szCs w:val="30"/>
          <w:highlight w:val="none"/>
        </w:rPr>
        <w:t>四次会议文件之一</w:t>
      </w:r>
    </w:p>
    <w:p>
      <w:pPr>
        <w:rPr>
          <w:rFonts w:ascii="Times New Roman" w:hAnsi="Times New Roman"/>
          <w:highlight w:val="none"/>
        </w:rPr>
      </w:pPr>
    </w:p>
    <w:p>
      <w:pPr>
        <w:pStyle w:val="26"/>
        <w:spacing w:before="240" w:beforeLines="100"/>
        <w:rPr>
          <w:rFonts w:ascii="Times New Roman" w:hAnsi="Times New Roman"/>
          <w:highlight w:val="none"/>
        </w:rPr>
      </w:pPr>
      <w:r>
        <w:rPr>
          <w:rFonts w:hint="eastAsia" w:ascii="Times New Roman" w:hAnsi="Times New Roman"/>
          <w:highlight w:val="none"/>
        </w:rPr>
        <w:t>玄武区人民政府工作报告</w:t>
      </w:r>
    </w:p>
    <w:p>
      <w:pPr>
        <w:pStyle w:val="27"/>
        <w:spacing w:before="120" w:beforeLines="50"/>
        <w:rPr>
          <w:rFonts w:ascii="Times New Roman" w:hAnsi="Times New Roman"/>
          <w:highlight w:val="none"/>
        </w:rPr>
      </w:pPr>
      <w:r>
        <w:rPr>
          <w:rFonts w:hint="eastAsia" w:ascii="Times New Roman" w:hAnsi="Times New Roman"/>
          <w:highlight w:val="none"/>
        </w:rPr>
        <w:t>（2025年1月7日）</w:t>
      </w:r>
    </w:p>
    <w:p>
      <w:pPr>
        <w:pStyle w:val="27"/>
        <w:spacing w:before="120" w:beforeLines="50"/>
        <w:rPr>
          <w:rFonts w:ascii="Times New Roman" w:hAnsi="Times New Roman"/>
          <w:highlight w:val="none"/>
        </w:rPr>
      </w:pPr>
      <w:r>
        <w:rPr>
          <w:rFonts w:hint="eastAsia" w:ascii="Times New Roman" w:hAnsi="Times New Roman"/>
          <w:highlight w:val="none"/>
        </w:rPr>
        <w:t>张 志 超</w:t>
      </w:r>
    </w:p>
    <w:p>
      <w:pPr>
        <w:rPr>
          <w:rFonts w:ascii="Times New Roman" w:hAnsi="Times New Roman"/>
          <w:highlight w:val="none"/>
        </w:rPr>
      </w:pPr>
    </w:p>
    <w:p>
      <w:pPr>
        <w:ind w:firstLine="0" w:firstLineChars="0"/>
        <w:rPr>
          <w:rFonts w:ascii="Times New Roman" w:hAnsi="Times New Roman"/>
          <w:highlight w:val="none"/>
        </w:rPr>
      </w:pPr>
      <w:r>
        <w:rPr>
          <w:rFonts w:hint="eastAsia" w:ascii="Times New Roman" w:hAnsi="Times New Roman"/>
          <w:highlight w:val="none"/>
        </w:rPr>
        <w:t>各位代表：</w:t>
      </w:r>
    </w:p>
    <w:p>
      <w:pPr>
        <w:rPr>
          <w:rFonts w:ascii="Times New Roman" w:hAnsi="Times New Roman"/>
          <w:bCs/>
          <w:snapToGrid w:val="0"/>
          <w:kern w:val="0"/>
          <w:highlight w:val="none"/>
        </w:rPr>
      </w:pPr>
      <w:r>
        <w:rPr>
          <w:rFonts w:ascii="Times New Roman" w:hAnsi="Times New Roman"/>
          <w:bCs/>
          <w:snapToGrid w:val="0"/>
          <w:kern w:val="0"/>
          <w:highlight w:val="none"/>
        </w:rPr>
        <w:t>现在，我代表玄武区人民政府，向大会报告工作，请予审议，并请各位政协委员和大会列席人员提出意见。</w:t>
      </w:r>
    </w:p>
    <w:p>
      <w:pPr>
        <w:rPr>
          <w:rFonts w:ascii="Times New Roman" w:hAnsi="Times New Roman"/>
          <w:bCs/>
          <w:snapToGrid w:val="0"/>
          <w:kern w:val="0"/>
          <w:highlight w:val="none"/>
        </w:rPr>
      </w:pPr>
    </w:p>
    <w:p>
      <w:pPr>
        <w:adjustRightInd w:val="0"/>
        <w:snapToGrid w:val="0"/>
        <w:ind w:firstLine="0" w:firstLineChars="0"/>
        <w:jc w:val="center"/>
        <w:rPr>
          <w:rFonts w:ascii="Times New Roman" w:hAnsi="Times New Roman" w:eastAsia="方正黑体_GBK"/>
          <w:bCs/>
          <w:snapToGrid w:val="0"/>
          <w:kern w:val="0"/>
          <w:highlight w:val="none"/>
        </w:rPr>
      </w:pPr>
      <w:r>
        <w:rPr>
          <w:rFonts w:hint="eastAsia" w:ascii="Times New Roman" w:hAnsi="Times New Roman" w:eastAsia="方正黑体_GBK"/>
          <w:bCs/>
          <w:snapToGrid w:val="0"/>
          <w:kern w:val="0"/>
          <w:highlight w:val="none"/>
        </w:rPr>
        <w:t>一、2024年工作回顾</w:t>
      </w:r>
    </w:p>
    <w:p>
      <w:pPr>
        <w:adjustRightInd w:val="0"/>
        <w:snapToGrid w:val="0"/>
        <w:rPr>
          <w:rFonts w:ascii="Times New Roman" w:hAnsi="Times New Roman" w:eastAsia="方正黑体_GBK"/>
          <w:bCs/>
          <w:snapToGrid w:val="0"/>
          <w:kern w:val="0"/>
          <w:highlight w:val="none"/>
        </w:rPr>
      </w:pPr>
    </w:p>
    <w:p>
      <w:pPr>
        <w:adjustRightInd w:val="0"/>
        <w:snapToGrid w:val="0"/>
        <w:rPr>
          <w:rFonts w:ascii="Times New Roman" w:hAnsi="Times New Roman"/>
          <w:highlight w:val="none"/>
        </w:rPr>
      </w:pPr>
      <w:r>
        <w:rPr>
          <w:rFonts w:ascii="Times New Roman" w:hAnsi="Times New Roman"/>
          <w:highlight w:val="none"/>
        </w:rPr>
        <w:t>过去的一年，面对</w:t>
      </w:r>
      <w:r>
        <w:rPr>
          <w:rFonts w:hint="eastAsia" w:ascii="Times New Roman" w:hAnsi="Times New Roman"/>
          <w:highlight w:val="none"/>
        </w:rPr>
        <w:t>外部压力加大、内部困难增多的复杂严峻形势</w:t>
      </w:r>
      <w:r>
        <w:rPr>
          <w:rFonts w:ascii="Times New Roman" w:hAnsi="Times New Roman"/>
          <w:highlight w:val="none"/>
        </w:rPr>
        <w:t>，全区上下坚持以习近平新时代中国特色社会主义思想为指导，</w:t>
      </w:r>
      <w:r>
        <w:rPr>
          <w:rFonts w:hint="eastAsia" w:ascii="Times New Roman" w:hAnsi="Times New Roman"/>
          <w:highlight w:val="none"/>
        </w:rPr>
        <w:t>全面贯彻落实</w:t>
      </w:r>
      <w:r>
        <w:rPr>
          <w:rFonts w:ascii="Times New Roman" w:hAnsi="Times New Roman"/>
          <w:highlight w:val="none"/>
        </w:rPr>
        <w:t>党的二十大</w:t>
      </w:r>
      <w:r>
        <w:rPr>
          <w:rFonts w:hint="eastAsia" w:ascii="Times New Roman" w:hAnsi="Times New Roman"/>
          <w:highlight w:val="none"/>
        </w:rPr>
        <w:t>和二十届二中、三中全会</w:t>
      </w:r>
      <w:r>
        <w:rPr>
          <w:rFonts w:ascii="Times New Roman" w:hAnsi="Times New Roman"/>
          <w:highlight w:val="none"/>
        </w:rPr>
        <w:t>精神，</w:t>
      </w:r>
      <w:r>
        <w:rPr>
          <w:rFonts w:hint="eastAsia" w:ascii="Times New Roman" w:hAnsi="Times New Roman"/>
          <w:highlight w:val="none"/>
        </w:rPr>
        <w:t>深入学习贯彻习近平总书记对江苏工作重要讲话精神，</w:t>
      </w:r>
      <w:r>
        <w:rPr>
          <w:rFonts w:ascii="Times New Roman" w:hAnsi="Times New Roman"/>
          <w:highlight w:val="none"/>
        </w:rPr>
        <w:t>在市委、市政府和区委的坚强领导下，</w:t>
      </w:r>
      <w:r>
        <w:rPr>
          <w:rFonts w:hint="eastAsia" w:ascii="Times New Roman" w:hAnsi="Times New Roman"/>
          <w:highlight w:val="none"/>
        </w:rPr>
        <w:t>坚持稳中求进、以进促稳、先立后破，牢牢把握高质量发展这个首要任务，因地制宜加快发展新质生产力，巩固和增强经济回升向好态势，</w:t>
      </w:r>
      <w:r>
        <w:rPr>
          <w:rFonts w:ascii="Times New Roman" w:hAnsi="Times New Roman"/>
          <w:highlight w:val="none"/>
        </w:rPr>
        <w:t>较好完成了区十九届人大三次会议确定的目标任务</w:t>
      </w:r>
      <w:r>
        <w:rPr>
          <w:rFonts w:hint="eastAsia" w:ascii="Times New Roman" w:hAnsi="Times New Roman"/>
          <w:highlight w:val="none"/>
        </w:rPr>
        <w:t>。</w:t>
      </w:r>
    </w:p>
    <w:p>
      <w:pPr>
        <w:rPr>
          <w:rFonts w:ascii="Times New Roman" w:hAnsi="Times New Roman"/>
          <w:highlight w:val="none"/>
        </w:rPr>
      </w:pPr>
      <w:r>
        <w:rPr>
          <w:rFonts w:hint="eastAsia" w:ascii="Times New Roman" w:hAnsi="Times New Roman" w:eastAsia="方正黑体_GBK"/>
          <w:highlight w:val="none"/>
        </w:rPr>
        <w:t>一年来，我们始终坚持稳中求进、进中提质，经济运行逐季向好。</w:t>
      </w:r>
      <w:r>
        <w:rPr>
          <w:rFonts w:hint="eastAsia" w:ascii="Times New Roman" w:hAnsi="Times New Roman"/>
          <w:highlight w:val="none"/>
        </w:rPr>
        <w:t>聚焦经济建设中心工作，全面加大经济运行服务保障力度，积极推动一揽子增量政策落地见效，全力以赴拼经济、谋发展。在经济运行持续承压的情况下，全区GDP增速从一季度3.3%、到上半年4.5%、再到前三季度4.9%，全年</w:t>
      </w:r>
      <w:r>
        <w:rPr>
          <w:rFonts w:hint="eastAsia" w:ascii="Times New Roman" w:hAnsi="Times New Roman"/>
          <w:highlight w:val="none"/>
          <w:lang w:eastAsia="zh-CN"/>
        </w:rPr>
        <w:t>完成1368.</w:t>
      </w:r>
      <w:r>
        <w:rPr>
          <w:rFonts w:hint="eastAsia" w:ascii="Times New Roman" w:hAnsi="Times New Roman"/>
          <w:highlight w:val="none"/>
          <w:lang w:val="en-US" w:eastAsia="zh-CN"/>
        </w:rPr>
        <w:t>6</w:t>
      </w:r>
      <w:r>
        <w:rPr>
          <w:rFonts w:hint="eastAsia" w:ascii="Times New Roman" w:hAnsi="Times New Roman"/>
          <w:highlight w:val="none"/>
          <w:lang w:eastAsia="zh-CN"/>
        </w:rPr>
        <w:t>亿元、同比增长</w:t>
      </w:r>
      <w:r>
        <w:rPr>
          <w:rFonts w:hint="eastAsia" w:ascii="Times New Roman" w:hAnsi="Times New Roman"/>
          <w:highlight w:val="none"/>
          <w:lang w:val="en-US" w:eastAsia="zh-CN"/>
        </w:rPr>
        <w:t>4.7%，</w:t>
      </w:r>
      <w:r>
        <w:rPr>
          <w:rFonts w:hint="eastAsia" w:ascii="Times New Roman" w:hAnsi="Times New Roman"/>
          <w:highlight w:val="none"/>
          <w:lang w:eastAsia="zh-CN"/>
        </w:rPr>
        <w:t>高于</w:t>
      </w:r>
      <w:r>
        <w:rPr>
          <w:rFonts w:hint="eastAsia" w:ascii="Times New Roman" w:hAnsi="Times New Roman"/>
          <w:highlight w:val="none"/>
        </w:rPr>
        <w:t>全市平均水平；完成一般公共预算收入103.7亿元，同比增长3%、位列主城第一</w:t>
      </w:r>
      <w:r>
        <w:rPr>
          <w:rFonts w:hint="eastAsia" w:ascii="Times New Roman" w:hAnsi="Times New Roman"/>
          <w:bCs/>
          <w:snapToGrid w:val="0"/>
          <w:kern w:val="0"/>
          <w:highlight w:val="none"/>
        </w:rPr>
        <w:t>。</w:t>
      </w:r>
      <w:r>
        <w:rPr>
          <w:rFonts w:hint="eastAsia" w:ascii="Times New Roman" w:hAnsi="Times New Roman" w:eastAsia="方正楷体_GBK"/>
          <w:highlight w:val="none"/>
        </w:rPr>
        <w:t>大力强化有效投资。</w:t>
      </w:r>
      <w:r>
        <w:rPr>
          <w:rFonts w:hint="eastAsia" w:ascii="Times New Roman" w:hAnsi="Times New Roman"/>
          <w:highlight w:val="none"/>
        </w:rPr>
        <w:t>项目建设扎实推进，全年共安排区级以上重大项目102个，总投资824.1亿元，年度完成投资169.7亿元，华如防务元宇宙创新中心等35个项目开工建设，“玄武之光”新一代信息技术科创中心等31个续建项目加快实施，律政产业服务园等31个项目竣工投产，新增改造产业载体超50万平方米。项目招引成效显著，认真落实“招商攻坚突破年”要求，举办重点招商活动7</w:t>
      </w:r>
      <w:r>
        <w:rPr>
          <w:rFonts w:hint="eastAsia" w:ascii="Times New Roman" w:hAnsi="Times New Roman"/>
          <w:highlight w:val="none"/>
          <w:lang w:val="en-US" w:eastAsia="zh-CN"/>
        </w:rPr>
        <w:t>2</w:t>
      </w:r>
      <w:r>
        <w:rPr>
          <w:rFonts w:hint="eastAsia" w:ascii="Times New Roman" w:hAnsi="Times New Roman"/>
          <w:highlight w:val="none"/>
        </w:rPr>
        <w:t>场次，招引项目</w:t>
      </w:r>
      <w:r>
        <w:rPr>
          <w:rFonts w:hint="eastAsia" w:ascii="Times New Roman" w:hAnsi="Times New Roman"/>
          <w:highlight w:val="none"/>
          <w:lang w:val="en-US" w:eastAsia="zh-CN"/>
        </w:rPr>
        <w:t>86</w:t>
      </w:r>
      <w:r>
        <w:rPr>
          <w:rFonts w:hint="eastAsia" w:ascii="Times New Roman" w:hAnsi="Times New Roman"/>
          <w:highlight w:val="none"/>
        </w:rPr>
        <w:t>个，实际投资总额</w:t>
      </w:r>
      <w:r>
        <w:rPr>
          <w:rFonts w:hint="eastAsia" w:ascii="Times New Roman" w:hAnsi="Times New Roman"/>
          <w:highlight w:val="none"/>
          <w:lang w:val="en-US" w:eastAsia="zh-CN"/>
        </w:rPr>
        <w:t>84.3</w:t>
      </w:r>
      <w:r>
        <w:rPr>
          <w:rFonts w:hint="eastAsia" w:ascii="Times New Roman" w:hAnsi="Times New Roman"/>
          <w:highlight w:val="none"/>
        </w:rPr>
        <w:t>亿元，国信新能源、东豪物流等一批总部型、龙头型企业相继落户。项目储备前瞻布局，红山国际社区等2个项目纳入市级基础设施REITs</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w:t>
      </w:r>
      <w:r>
        <w:rPr>
          <w:rFonts w:ascii="Times New Roman" w:hAnsi="Times New Roman"/>
          <w:snapToGrid w:val="0"/>
          <w:kern w:val="0"/>
          <w:highlight w:val="none"/>
          <w:vertAlign w:val="superscript"/>
        </w:rPr>
        <w:t>]</w:t>
      </w:r>
      <w:r>
        <w:rPr>
          <w:rFonts w:hint="eastAsia" w:ascii="Times New Roman" w:hAnsi="Times New Roman"/>
          <w:highlight w:val="none"/>
        </w:rPr>
        <w:t>储备库，前线文创产业园等23个项目纳入市级盘活存量资产项目库，十三中体育馆维修改造等3个项目获2696万元超长期特别国债支持。</w:t>
      </w:r>
      <w:r>
        <w:rPr>
          <w:rFonts w:hint="eastAsia" w:ascii="Times New Roman" w:hAnsi="Times New Roman" w:eastAsia="方正楷体_GBK"/>
          <w:highlight w:val="none"/>
        </w:rPr>
        <w:t>全面壮大市场主体。</w:t>
      </w:r>
      <w:r>
        <w:rPr>
          <w:rFonts w:hint="eastAsia" w:ascii="Times New Roman" w:hAnsi="Times New Roman"/>
          <w:highlight w:val="none"/>
        </w:rPr>
        <w:t>持续优化营商环境，深入推进领导包保、专员服务等工作机制，常态化开展“服务企业·面对面”活动，全年新增经营主体9335户、注册资本8</w:t>
      </w:r>
      <w:r>
        <w:rPr>
          <w:rFonts w:hint="eastAsia" w:ascii="Times New Roman" w:hAnsi="Times New Roman"/>
          <w:highlight w:val="none"/>
          <w:lang w:val="en-US" w:eastAsia="zh-CN"/>
        </w:rPr>
        <w:t>5</w:t>
      </w:r>
      <w:r>
        <w:rPr>
          <w:rFonts w:hint="eastAsia" w:ascii="Times New Roman" w:hAnsi="Times New Roman"/>
          <w:highlight w:val="none"/>
        </w:rPr>
        <w:t>.15亿元，迪比信可南京公司荣获2024年大中</w:t>
      </w:r>
      <w:r>
        <w:rPr>
          <w:rFonts w:hint="eastAsia" w:ascii="Times New Roman" w:hAnsi="Times New Roman"/>
          <w:spacing w:val="-6"/>
          <w:highlight w:val="none"/>
        </w:rPr>
        <w:t>华区“最佳女性职场”，锦创数字产业园区入选</w:t>
      </w:r>
      <w:r>
        <w:rPr>
          <w:rFonts w:ascii="Times New Roman" w:hAnsi="Times New Roman"/>
          <w:spacing w:val="-6"/>
          <w:highlight w:val="none"/>
        </w:rPr>
        <w:t>首届中国科创</w:t>
      </w:r>
      <w:r>
        <w:rPr>
          <w:rFonts w:ascii="Times New Roman" w:hAnsi="Times New Roman"/>
          <w:highlight w:val="none"/>
        </w:rPr>
        <w:t>街区建设实践典型案例</w:t>
      </w:r>
      <w:r>
        <w:rPr>
          <w:rFonts w:hint="eastAsia" w:ascii="Times New Roman" w:hAnsi="Times New Roman"/>
          <w:highlight w:val="none"/>
        </w:rPr>
        <w:t>。丰富金融产品供给，用好省内首支区级知识产权融资风险代偿基金，实现知识产权质押融资</w:t>
      </w:r>
      <w:r>
        <w:rPr>
          <w:rFonts w:hint="eastAsia" w:ascii="Times New Roman" w:hAnsi="Times New Roman"/>
          <w:highlight w:val="none"/>
          <w:lang w:val="en-US" w:eastAsia="zh-CN"/>
        </w:rPr>
        <w:t>40</w:t>
      </w:r>
      <w:r>
        <w:rPr>
          <w:rFonts w:hint="eastAsia" w:ascii="Times New Roman" w:hAnsi="Times New Roman"/>
          <w:highlight w:val="none"/>
        </w:rPr>
        <w:t>笔、融资总额超</w:t>
      </w:r>
      <w:r>
        <w:rPr>
          <w:rFonts w:hint="eastAsia" w:ascii="Times New Roman" w:hAnsi="Times New Roman"/>
          <w:highlight w:val="none"/>
          <w:lang w:val="en-US" w:eastAsia="zh-CN"/>
        </w:rPr>
        <w:t>5.2</w:t>
      </w:r>
      <w:r>
        <w:rPr>
          <w:rFonts w:hint="eastAsia" w:ascii="Times New Roman" w:hAnsi="Times New Roman"/>
          <w:kern w:val="0"/>
          <w:highlight w:val="none"/>
        </w:rPr>
        <w:t>亿元，帮助1.8万余家小微企业、个体工商户获得授信超73亿元，金融业全年营收14</w:t>
      </w:r>
      <w:r>
        <w:rPr>
          <w:rFonts w:hint="eastAsia" w:ascii="Times New Roman" w:hAnsi="Times New Roman"/>
          <w:kern w:val="0"/>
          <w:highlight w:val="none"/>
          <w:lang w:val="en-US" w:eastAsia="zh-CN"/>
        </w:rPr>
        <w:t>92</w:t>
      </w:r>
      <w:r>
        <w:rPr>
          <w:rFonts w:hint="eastAsia" w:ascii="Times New Roman" w:hAnsi="Times New Roman"/>
          <w:kern w:val="0"/>
          <w:highlight w:val="none"/>
        </w:rPr>
        <w:t>亿元、同比增长1</w:t>
      </w:r>
      <w:r>
        <w:rPr>
          <w:rFonts w:hint="eastAsia" w:ascii="Times New Roman" w:hAnsi="Times New Roman"/>
          <w:kern w:val="0"/>
          <w:highlight w:val="none"/>
          <w:lang w:val="en-US" w:eastAsia="zh-CN"/>
        </w:rPr>
        <w:t>6.1</w:t>
      </w:r>
      <w:r>
        <w:rPr>
          <w:rFonts w:hint="eastAsia" w:ascii="Times New Roman" w:hAnsi="Times New Roman"/>
          <w:kern w:val="0"/>
          <w:highlight w:val="none"/>
        </w:rPr>
        <w:t>%。加大企业培育力度，新增“四上”企业</w:t>
      </w:r>
      <w:r>
        <w:rPr>
          <w:rFonts w:ascii="Times New Roman" w:hAnsi="Times New Roman"/>
          <w:snapToGrid w:val="0"/>
          <w:kern w:val="0"/>
          <w:highlight w:val="none"/>
          <w:vertAlign w:val="superscript"/>
        </w:rPr>
        <w:t>[2]</w:t>
      </w:r>
      <w:r>
        <w:rPr>
          <w:rFonts w:hint="eastAsia" w:ascii="Times New Roman" w:hAnsi="Times New Roman"/>
          <w:kern w:val="0"/>
          <w:highlight w:val="none"/>
        </w:rPr>
        <w:t>10</w:t>
      </w:r>
      <w:r>
        <w:rPr>
          <w:rFonts w:hint="eastAsia" w:ascii="Times New Roman" w:hAnsi="Times New Roman"/>
          <w:kern w:val="0"/>
          <w:highlight w:val="none"/>
          <w:lang w:val="en-US" w:eastAsia="zh-CN"/>
        </w:rPr>
        <w:t>6</w:t>
      </w:r>
      <w:r>
        <w:rPr>
          <w:rFonts w:hint="eastAsia" w:ascii="Times New Roman" w:hAnsi="Times New Roman"/>
          <w:kern w:val="0"/>
          <w:highlight w:val="none"/>
        </w:rPr>
        <w:t>家、国家级专精特新“小巨人”企业3家、省级专精特新中小企业9家，</w:t>
      </w:r>
      <w:r>
        <w:rPr>
          <w:rFonts w:hint="eastAsia" w:ascii="Times New Roman" w:hAnsi="Times New Roman"/>
          <w:highlight w:val="none"/>
        </w:rPr>
        <w:t>汇通达连续6年入选中国互联网百强企业，苏美达位列</w:t>
      </w:r>
      <w:r>
        <w:rPr>
          <w:rFonts w:ascii="Times New Roman" w:hAnsi="Times New Roman"/>
          <w:highlight w:val="none"/>
        </w:rPr>
        <w:t>江苏服务业百强企业榜单第二位</w:t>
      </w:r>
      <w:r>
        <w:rPr>
          <w:rFonts w:hint="eastAsia" w:ascii="Times New Roman" w:hAnsi="Times New Roman"/>
          <w:kern w:val="0"/>
          <w:highlight w:val="none"/>
        </w:rPr>
        <w:t>。加强知识产权保护，</w:t>
      </w:r>
      <w:r>
        <w:rPr>
          <w:rFonts w:hint="eastAsia" w:ascii="Times New Roman" w:hAnsi="Times New Roman"/>
          <w:highlight w:val="none"/>
        </w:rPr>
        <w:t>每万人有效发明专利拥有量</w:t>
      </w:r>
      <w:r>
        <w:rPr>
          <w:rFonts w:hint="eastAsia" w:ascii="Times New Roman" w:hAnsi="Times New Roman"/>
          <w:highlight w:val="none"/>
          <w:lang w:val="en-US" w:eastAsia="zh-CN"/>
        </w:rPr>
        <w:t>469</w:t>
      </w:r>
      <w:r>
        <w:rPr>
          <w:rFonts w:hint="eastAsia" w:ascii="Times New Roman" w:hAnsi="Times New Roman"/>
          <w:highlight w:val="none"/>
        </w:rPr>
        <w:t>件、连续9年位列全省第一，获评国家知识产权强县建设示范县。</w:t>
      </w:r>
      <w:r>
        <w:rPr>
          <w:rFonts w:hint="eastAsia" w:ascii="Times New Roman" w:hAnsi="Times New Roman" w:eastAsia="方正楷体_GBK"/>
          <w:highlight w:val="none"/>
        </w:rPr>
        <w:t>加快推动消费回暖。</w:t>
      </w:r>
      <w:r>
        <w:rPr>
          <w:rFonts w:hint="eastAsia" w:ascii="Times New Roman" w:hAnsi="Times New Roman"/>
          <w:highlight w:val="none"/>
        </w:rPr>
        <w:t>全力恢复和扩大消费，联合140多家商贸企业开展消费品以旧换新，举办亚马逊全球峰会玄武专</w:t>
      </w:r>
      <w:r>
        <w:rPr>
          <w:rFonts w:hint="eastAsia" w:ascii="Times New Roman" w:hAnsi="Times New Roman"/>
          <w:spacing w:val="-4"/>
          <w:highlight w:val="none"/>
        </w:rPr>
        <w:t>场等特色消费活动200余场，全区社会消费品零售总额</w:t>
      </w:r>
      <w:r>
        <w:rPr>
          <w:rFonts w:hint="eastAsia" w:ascii="Times New Roman" w:hAnsi="Times New Roman"/>
          <w:highlight w:val="none"/>
        </w:rPr>
        <w:t>1133.8亿元、同比增长</w:t>
      </w:r>
      <w:r>
        <w:rPr>
          <w:rFonts w:hint="eastAsia" w:ascii="Times New Roman" w:hAnsi="Times New Roman"/>
          <w:highlight w:val="none"/>
          <w:lang w:val="en-US" w:eastAsia="zh-CN"/>
        </w:rPr>
        <w:t>7</w:t>
      </w:r>
      <w:r>
        <w:rPr>
          <w:rFonts w:hint="eastAsia" w:ascii="Times New Roman" w:hAnsi="Times New Roman"/>
          <w:highlight w:val="none"/>
        </w:rPr>
        <w:t>.5%。深入推进文旅融合发展，创新推出大空间VR沉浸式展演“看我天地中轴”、玄武湖东岸全息光影秀、“夜美金陵”无人机表演等一批数字文旅项目，中山陵上榜全国前十热门景区，红山森林动物园火爆出圈，途牛科技入选江苏数字消费典型创新场景，环玄武湖文商旅融合项目入选江苏文旅消费热力观察优秀案例，钟山风景名胜区入选国家旅游科技示范园区。大力发展首发经济、夜间经济等新兴业态，承办</w:t>
      </w:r>
      <w:r>
        <w:rPr>
          <w:rFonts w:ascii="Times New Roman" w:hAnsi="Times New Roman"/>
          <w:highlight w:val="none"/>
        </w:rPr>
        <w:t>2024中</w:t>
      </w:r>
      <w:r>
        <w:rPr>
          <w:rFonts w:hint="eastAsia" w:ascii="Times New Roman" w:hAnsi="Times New Roman"/>
          <w:highlight w:val="none"/>
        </w:rPr>
        <w:t>国（南京）首发经济发展大会，华伦天奴美妆全球首家色彩工坊精品店入驻德基广场，“德基24h”</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3</w:t>
      </w:r>
      <w:r>
        <w:rPr>
          <w:rFonts w:ascii="Times New Roman" w:hAnsi="Times New Roman"/>
          <w:snapToGrid w:val="0"/>
          <w:kern w:val="0"/>
          <w:highlight w:val="none"/>
          <w:vertAlign w:val="superscript"/>
        </w:rPr>
        <w:t>]</w:t>
      </w:r>
      <w:r>
        <w:rPr>
          <w:rFonts w:hint="eastAsia" w:ascii="Times New Roman" w:hAnsi="Times New Roman"/>
          <w:highlight w:val="none"/>
        </w:rPr>
        <w:t>全新商业模式引起强烈反响，全区新引进潮流首店90家。</w:t>
      </w:r>
    </w:p>
    <w:p>
      <w:pPr>
        <w:rPr>
          <w:rFonts w:ascii="Times New Roman" w:hAnsi="Times New Roman"/>
          <w:highlight w:val="none"/>
        </w:rPr>
      </w:pPr>
      <w:r>
        <w:rPr>
          <w:rFonts w:hint="eastAsia" w:ascii="Times New Roman" w:hAnsi="Times New Roman" w:eastAsia="方正黑体_GBK"/>
          <w:highlight w:val="none"/>
        </w:rPr>
        <w:t>一年来，我们全力推动转型升级、动能再造，产业强区扎实推进。</w:t>
      </w:r>
      <w:r>
        <w:rPr>
          <w:rFonts w:hint="eastAsia" w:ascii="Times New Roman" w:hAnsi="Times New Roman"/>
          <w:highlight w:val="none"/>
        </w:rPr>
        <w:t>在积极强化“1+2+2”现代化都市型产业体系建设的基础上，锚定数据、大模型、绿色低碳、跨境电商等新赛道，扎实推动战略性新兴产业集群强链，加快培育和发展新质生产力。</w:t>
      </w:r>
      <w:r>
        <w:rPr>
          <w:rFonts w:hint="eastAsia" w:ascii="Times New Roman" w:hAnsi="Times New Roman" w:eastAsia="方正楷体_GBK"/>
          <w:highlight w:val="none"/>
        </w:rPr>
        <w:t>打造数据产业核心枢纽。</w:t>
      </w:r>
      <w:r>
        <w:rPr>
          <w:rFonts w:hint="eastAsia" w:ascii="Times New Roman" w:hAnsi="Times New Roman"/>
          <w:highlight w:val="none"/>
        </w:rPr>
        <w:t>围绕数据要素市场化配置改革主线，从境内治理和跨境流动两端发力，全力推进全省数据产业核心载体江苏国际数据港建设，国家数据局刘烈宏局长调研江苏时首站来到江苏国际数据港并对建设成效给予充分肯定。突出关键平台建设，成功推动全省唯一规范设立的江苏数据交易所落地建设，西门子全球首个Xcelerator科创中心落户，麦当劳中国唯一科研总部金拱门数科运营，全国首个“数据要素×公证法律服务”联合实验室揭牌，全市首个数据产业孵化基地入驻，累计建设联合实验室20余个、合作企业近百家。深化拓展场景应用，成立全国首个电池数字护照创新中心，启动建设全国首个电池行业可信数据空间，创新打造江苏首个数据资产“入表+运营”案例，</w:t>
      </w:r>
      <w:r>
        <w:rPr>
          <w:rFonts w:ascii="Times New Roman" w:hAnsi="Times New Roman"/>
          <w:highlight w:val="none"/>
        </w:rPr>
        <w:t>数据跨境安全流动新模式</w:t>
      </w:r>
      <w:r>
        <w:rPr>
          <w:rFonts w:hint="eastAsia" w:ascii="Times New Roman" w:hAnsi="Times New Roman"/>
          <w:highlight w:val="none"/>
        </w:rPr>
        <w:t>探索入选市级重点应用场景，荣获全国“数据要素×”大赛总决赛二、三等奖各1项，数量占全省1/3。</w:t>
      </w:r>
      <w:r>
        <w:rPr>
          <w:rFonts w:hint="eastAsia" w:ascii="Times New Roman" w:hAnsi="Times New Roman" w:eastAsia="方正楷体_GBK"/>
          <w:highlight w:val="none"/>
        </w:rPr>
        <w:t>汇聚大模型产业发展势能。</w:t>
      </w:r>
      <w:r>
        <w:rPr>
          <w:rFonts w:hint="eastAsia" w:ascii="Times New Roman" w:hAnsi="Times New Roman"/>
          <w:highlight w:val="none"/>
        </w:rPr>
        <w:t>创新组建玄武大模型工厂，与东南大学人工智能研究院合作建设大模型产业赋能中心，与南京银行合作发布总额超10亿元的大模型科创贷产品，建成超1500P算力池，科大讯飞代码大模型全国总部正式入驻。积极搭建大模型应用开放</w:t>
      </w:r>
      <w:r>
        <w:rPr>
          <w:rFonts w:hint="eastAsia" w:ascii="Times New Roman" w:hAnsi="Times New Roman"/>
          <w:spacing w:val="-6"/>
          <w:highlight w:val="none"/>
        </w:rPr>
        <w:t>对接平台，与智谱AI等40余家国内头部企业共同成立大模型</w:t>
      </w:r>
      <w:r>
        <w:rPr>
          <w:rFonts w:hint="eastAsia" w:ascii="Times New Roman" w:hAnsi="Times New Roman"/>
          <w:highlight w:val="none"/>
        </w:rPr>
        <w:t>产业生态联盟，推动</w:t>
      </w:r>
      <w:r>
        <w:rPr>
          <w:rFonts w:ascii="Times New Roman" w:hAnsi="Times New Roman"/>
          <w:highlight w:val="none"/>
        </w:rPr>
        <w:t>沙钢</w:t>
      </w:r>
      <w:r>
        <w:rPr>
          <w:rFonts w:hint="eastAsia" w:ascii="Times New Roman" w:hAnsi="Times New Roman"/>
          <w:highlight w:val="none"/>
        </w:rPr>
        <w:t>等全省100多家民营</w:t>
      </w:r>
      <w:r>
        <w:rPr>
          <w:rFonts w:ascii="Times New Roman" w:hAnsi="Times New Roman"/>
          <w:highlight w:val="none"/>
        </w:rPr>
        <w:t>制造</w:t>
      </w:r>
      <w:r>
        <w:rPr>
          <w:rFonts w:hint="eastAsia" w:ascii="Times New Roman" w:hAnsi="Times New Roman"/>
          <w:highlight w:val="none"/>
        </w:rPr>
        <w:t>企业</w:t>
      </w:r>
      <w:r>
        <w:rPr>
          <w:rFonts w:ascii="Times New Roman" w:hAnsi="Times New Roman"/>
          <w:highlight w:val="none"/>
        </w:rPr>
        <w:t>与大模型行业</w:t>
      </w:r>
      <w:r>
        <w:rPr>
          <w:rFonts w:hint="eastAsia" w:ascii="Times New Roman" w:hAnsi="Times New Roman"/>
          <w:highlight w:val="none"/>
        </w:rPr>
        <w:t>头部</w:t>
      </w:r>
      <w:r>
        <w:rPr>
          <w:rFonts w:ascii="Times New Roman" w:hAnsi="Times New Roman"/>
          <w:highlight w:val="none"/>
        </w:rPr>
        <w:t>企业深度融合</w:t>
      </w:r>
      <w:r>
        <w:rPr>
          <w:rFonts w:hint="eastAsia" w:ascii="Times New Roman" w:hAnsi="Times New Roman"/>
          <w:highlight w:val="none"/>
        </w:rPr>
        <w:t>，全力建设江苏大模型发展服务基地。</w:t>
      </w:r>
      <w:r>
        <w:rPr>
          <w:rFonts w:hint="eastAsia" w:ascii="Times New Roman" w:hAnsi="Times New Roman" w:eastAsia="方正楷体_GBK"/>
          <w:highlight w:val="none"/>
        </w:rPr>
        <w:t>构筑绿色低碳产业良好生态。</w:t>
      </w:r>
      <w:r>
        <w:rPr>
          <w:rFonts w:hint="eastAsia" w:ascii="Times New Roman" w:hAnsi="Times New Roman"/>
          <w:highlight w:val="none"/>
        </w:rPr>
        <w:t>围绕“GDC国际数碳谷”建设目标，在省发改委的大力支持下，全面展开“两平台一基地一市场”</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4</w:t>
      </w:r>
      <w:r>
        <w:rPr>
          <w:rFonts w:ascii="Times New Roman" w:hAnsi="Times New Roman"/>
          <w:snapToGrid w:val="0"/>
          <w:kern w:val="0"/>
          <w:highlight w:val="none"/>
          <w:vertAlign w:val="superscript"/>
        </w:rPr>
        <w:t>]</w:t>
      </w:r>
      <w:r>
        <w:rPr>
          <w:rFonts w:hint="eastAsia" w:ascii="Times New Roman" w:hAnsi="Times New Roman"/>
          <w:highlight w:val="none"/>
        </w:rPr>
        <w:t>建设，聚力打造江苏绿色低碳服务业集聚区。全面加强与绿色低碳领域头部机构及行业领军企业合作，设立BSI碳中和中国创新研究中心，开设江苏唯一的“中国核证自愿减排量”碳交易服务窗口，全力推动央企中节能集团二级总部大数据公司整体迁址落户。聚焦绿色低碳应用场景建设，宁德时代旗下时代电服江苏总部成功落地、抢先布局长三角地区新能源汽车充换电市场，徐庄高新区入选首批省级碳达峰碳中和试点园区名单，玄武中心大厦通过国家能源管理体系认证，完成全市首笔跨省碳汇交易，经济社会发展全面绿色转型步伐不断加快。</w:t>
      </w:r>
    </w:p>
    <w:p>
      <w:pPr>
        <w:adjustRightInd w:val="0"/>
        <w:snapToGrid w:val="0"/>
        <w:rPr>
          <w:rFonts w:ascii="Times New Roman" w:hAnsi="Times New Roman"/>
          <w:highlight w:val="none"/>
        </w:rPr>
      </w:pPr>
      <w:r>
        <w:rPr>
          <w:rFonts w:hint="eastAsia" w:ascii="Times New Roman" w:hAnsi="Times New Roman" w:eastAsia="方正黑体_GBK"/>
          <w:highlight w:val="none"/>
        </w:rPr>
        <w:t>一年来，我们持续深化改革创新、扩大开放，发展活力加速释放。</w:t>
      </w:r>
      <w:r>
        <w:rPr>
          <w:rFonts w:hint="eastAsia" w:ascii="Times New Roman" w:hAnsi="Times New Roman"/>
          <w:highlight w:val="none"/>
        </w:rPr>
        <w:t>坚定不移推进改革开放，以改革创新破难题、以扩大开放促发展，进一步</w:t>
      </w:r>
      <w:r>
        <w:rPr>
          <w:rFonts w:ascii="Times New Roman" w:hAnsi="Times New Roman"/>
          <w:highlight w:val="none"/>
        </w:rPr>
        <w:t>激发市场活力和社会创造力，推动经济</w:t>
      </w:r>
      <w:r>
        <w:rPr>
          <w:rFonts w:hint="eastAsia" w:ascii="Times New Roman" w:hAnsi="Times New Roman"/>
          <w:highlight w:val="none"/>
        </w:rPr>
        <w:t>社会</w:t>
      </w:r>
      <w:r>
        <w:rPr>
          <w:rFonts w:ascii="Times New Roman" w:hAnsi="Times New Roman"/>
          <w:highlight w:val="none"/>
        </w:rPr>
        <w:t>持续健康发展</w:t>
      </w:r>
      <w:r>
        <w:rPr>
          <w:rFonts w:hint="eastAsia" w:ascii="Times New Roman" w:hAnsi="Times New Roman"/>
          <w:highlight w:val="none"/>
        </w:rPr>
        <w:t>。</w:t>
      </w:r>
      <w:r>
        <w:rPr>
          <w:rFonts w:hint="eastAsia" w:ascii="Times New Roman" w:hAnsi="Times New Roman" w:eastAsia="方正楷体_GBK"/>
          <w:highlight w:val="none"/>
        </w:rPr>
        <w:t>重点改革稳步推进。</w:t>
      </w:r>
      <w:r>
        <w:rPr>
          <w:rFonts w:hint="eastAsia" w:ascii="Times New Roman" w:hAnsi="Times New Roman"/>
          <w:highlight w:val="none"/>
        </w:rPr>
        <w:t>围绕产业强区建设目标要求，将构建创新链产业链资金链人才链深度融合机制作为“一区一特色”改革主攻方向，主动</w:t>
      </w:r>
      <w:r>
        <w:rPr>
          <w:rFonts w:hint="eastAsia" w:ascii="Times New Roman" w:hAnsi="Times New Roman"/>
          <w:kern w:val="0"/>
          <w:highlight w:val="none"/>
        </w:rPr>
        <w:t>对标</w:t>
      </w:r>
      <w:r>
        <w:rPr>
          <w:rFonts w:ascii="Times New Roman" w:hAnsi="Times New Roman"/>
          <w:kern w:val="0"/>
          <w:highlight w:val="none"/>
        </w:rPr>
        <w:t>国际高标准规则体系</w:t>
      </w:r>
      <w:r>
        <w:rPr>
          <w:rFonts w:hint="eastAsia" w:ascii="Times New Roman" w:hAnsi="Times New Roman"/>
          <w:kern w:val="0"/>
          <w:highlight w:val="none"/>
        </w:rPr>
        <w:t>建设</w:t>
      </w:r>
      <w:r>
        <w:rPr>
          <w:rFonts w:ascii="Times New Roman" w:hAnsi="Times New Roman"/>
          <w:kern w:val="0"/>
          <w:highlight w:val="none"/>
        </w:rPr>
        <w:t>国际数据流通一体化安全治理平台</w:t>
      </w:r>
      <w:r>
        <w:rPr>
          <w:rFonts w:hint="eastAsia" w:ascii="Times New Roman" w:hAnsi="Times New Roman"/>
          <w:kern w:val="0"/>
          <w:highlight w:val="none"/>
        </w:rPr>
        <w:t>，</w:t>
      </w:r>
      <w:r>
        <w:rPr>
          <w:rFonts w:hint="eastAsia" w:ascii="Times New Roman" w:hAnsi="Times New Roman"/>
          <w:highlight w:val="none"/>
        </w:rPr>
        <w:t>完成全国首个全系列“路铁桥隧”交通数据产品挂牌，</w:t>
      </w:r>
      <w:r>
        <w:rPr>
          <w:rFonts w:hint="eastAsia" w:ascii="Times New Roman" w:hAnsi="Times New Roman"/>
          <w:kern w:val="0"/>
          <w:highlight w:val="none"/>
        </w:rPr>
        <w:t>全省首家苏港两地合伙型联营律师事务所正式</w:t>
      </w:r>
      <w:r>
        <w:rPr>
          <w:rFonts w:hint="eastAsia" w:ascii="Times New Roman" w:hAnsi="Times New Roman"/>
          <w:spacing w:val="6"/>
          <w:kern w:val="0"/>
          <w:highlight w:val="none"/>
        </w:rPr>
        <w:t>获批，</w:t>
      </w:r>
      <w:r>
        <w:rPr>
          <w:rFonts w:hint="eastAsia" w:ascii="Times New Roman" w:hAnsi="Times New Roman"/>
          <w:spacing w:val="6"/>
          <w:highlight w:val="none"/>
        </w:rPr>
        <w:t>全省首单“无票免税+核定征收”9610出口报关模式</w:t>
      </w:r>
      <w:r>
        <w:rPr>
          <w:rFonts w:ascii="Times New Roman" w:hAnsi="Times New Roman"/>
          <w:snapToGrid w:val="0"/>
          <w:spacing w:val="6"/>
          <w:kern w:val="0"/>
          <w:highlight w:val="none"/>
          <w:vertAlign w:val="superscript"/>
        </w:rPr>
        <w:t>[</w:t>
      </w:r>
      <w:r>
        <w:rPr>
          <w:rFonts w:hint="eastAsia" w:ascii="Times New Roman" w:hAnsi="Times New Roman"/>
          <w:snapToGrid w:val="0"/>
          <w:spacing w:val="6"/>
          <w:kern w:val="0"/>
          <w:highlight w:val="none"/>
          <w:vertAlign w:val="superscript"/>
        </w:rPr>
        <w:t>5</w:t>
      </w:r>
      <w:r>
        <w:rPr>
          <w:rFonts w:ascii="Times New Roman" w:hAnsi="Times New Roman"/>
          <w:snapToGrid w:val="0"/>
          <w:spacing w:val="6"/>
          <w:kern w:val="0"/>
          <w:highlight w:val="none"/>
          <w:vertAlign w:val="superscript"/>
        </w:rPr>
        <w:t>]</w:t>
      </w:r>
      <w:r>
        <w:rPr>
          <w:rFonts w:hint="eastAsia" w:ascii="Times New Roman" w:hAnsi="Times New Roman"/>
          <w:spacing w:val="6"/>
          <w:highlight w:val="none"/>
        </w:rPr>
        <w:t>成</w:t>
      </w:r>
      <w:r>
        <w:rPr>
          <w:rFonts w:hint="eastAsia" w:ascii="Times New Roman" w:hAnsi="Times New Roman"/>
          <w:highlight w:val="none"/>
        </w:rPr>
        <w:t>功跑通。持续深化政务服务改革，创新</w:t>
      </w:r>
      <w:r>
        <w:rPr>
          <w:rFonts w:ascii="Times New Roman" w:hAnsi="Times New Roman"/>
          <w:kern w:val="0"/>
          <w:highlight w:val="none"/>
        </w:rPr>
        <w:t>推行</w:t>
      </w:r>
      <w:r>
        <w:rPr>
          <w:rFonts w:hint="eastAsia" w:ascii="Times New Roman" w:hAnsi="Times New Roman"/>
          <w:kern w:val="0"/>
          <w:highlight w:val="none"/>
        </w:rPr>
        <w:t>“全程网办</w:t>
      </w:r>
      <w:r>
        <w:rPr>
          <w:rFonts w:ascii="Times New Roman" w:hAnsi="Times New Roman"/>
          <w:kern w:val="0"/>
          <w:highlight w:val="none"/>
        </w:rPr>
        <w:t>+</w:t>
      </w:r>
      <w:r>
        <w:rPr>
          <w:rFonts w:hint="eastAsia" w:ascii="Times New Roman" w:hAnsi="Times New Roman"/>
          <w:kern w:val="0"/>
          <w:highlight w:val="none"/>
        </w:rPr>
        <w:t>在线帮办”</w:t>
      </w:r>
      <w:r>
        <w:rPr>
          <w:rFonts w:ascii="Times New Roman" w:hAnsi="Times New Roman"/>
          <w:kern w:val="0"/>
          <w:highlight w:val="none"/>
        </w:rPr>
        <w:t>模式</w:t>
      </w:r>
      <w:r>
        <w:rPr>
          <w:rFonts w:hint="eastAsia" w:ascii="Times New Roman" w:hAnsi="Times New Roman"/>
          <w:highlight w:val="none"/>
        </w:rPr>
        <w:t>，动态调整行政许可事项清单，378项政务服务事项实现“一窗办理”。积极借助资本力量促进产业发展，参与组建江苏软件和信息服务（南京）产业专项母基金、南京市人才母基金，成功推动深交所科技成果与知识产权交易中心南京专区落地运营，实现知识产权融资1.78亿元。</w:t>
      </w:r>
      <w:r>
        <w:rPr>
          <w:rFonts w:hint="eastAsia" w:ascii="Times New Roman" w:hAnsi="Times New Roman" w:eastAsia="方正楷体_GBK"/>
          <w:highlight w:val="none"/>
        </w:rPr>
        <w:t>创新驱动成效明显。</w:t>
      </w:r>
      <w:r>
        <w:rPr>
          <w:rFonts w:hint="eastAsia" w:ascii="Times New Roman" w:hAnsi="Times New Roman"/>
          <w:highlight w:val="none"/>
        </w:rPr>
        <w:t>完善科创森林“育苗强林”工作机制，新增省级科创载体2家，累计建成市级备案硅巷27个，有效期内认定高新技术企业472家、同比增长9%，新认定科技型中小企业1001家，新研机构及关联企业带动企业营收48亿元、超额完成全年任务。全面强化科创平台建设，江苏集萃医工交叉技术研究所创新医疗器械领域概念验证中心</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6</w:t>
      </w:r>
      <w:r>
        <w:rPr>
          <w:rFonts w:ascii="Times New Roman" w:hAnsi="Times New Roman"/>
          <w:snapToGrid w:val="0"/>
          <w:kern w:val="0"/>
          <w:highlight w:val="none"/>
          <w:vertAlign w:val="superscript"/>
        </w:rPr>
        <w:t>]</w:t>
      </w:r>
      <w:r>
        <w:rPr>
          <w:rFonts w:hint="eastAsia" w:ascii="Times New Roman" w:hAnsi="Times New Roman"/>
          <w:highlight w:val="none"/>
        </w:rPr>
        <w:t>在全省首批立项，生物育种钟山实验室水稻氮高效育种研究成果在国际顶级期刊《Nature Genetics》发表，</w:t>
      </w:r>
      <w:r>
        <w:rPr>
          <w:rFonts w:ascii="Times New Roman" w:hAnsi="Times New Roman"/>
          <w:highlight w:val="none"/>
        </w:rPr>
        <w:t>中国科学院南京地质古生物研究所发现的迄今最古老的多细胞真核生物化石</w:t>
      </w:r>
      <w:r>
        <w:rPr>
          <w:rFonts w:hint="eastAsia" w:ascii="Times New Roman" w:hAnsi="Times New Roman"/>
          <w:highlight w:val="none"/>
        </w:rPr>
        <w:t>入选年度全球</w:t>
      </w:r>
      <w:r>
        <w:rPr>
          <w:rFonts w:ascii="Times New Roman" w:hAnsi="Times New Roman"/>
          <w:highlight w:val="none"/>
        </w:rPr>
        <w:t>十大科学突破</w:t>
      </w:r>
      <w:r>
        <w:rPr>
          <w:rFonts w:hint="eastAsia" w:ascii="Times New Roman" w:hAnsi="Times New Roman"/>
          <w:highlight w:val="none"/>
        </w:rPr>
        <w:t>。深化科技成果落地转化，完成技术合同登记成交额117亿元。入选国家重点人才计划30人，数量位</w:t>
      </w:r>
      <w:r>
        <w:rPr>
          <w:rFonts w:hint="eastAsia" w:ascii="Times New Roman" w:hAnsi="Times New Roman"/>
          <w:spacing w:val="0"/>
          <w:sz w:val="32"/>
          <w:highlight w:val="none"/>
        </w:rPr>
        <w:t>居全市第一、创历年新高，新增留学归国人员561人。连续3年入选全国创新百强区。</w:t>
      </w:r>
      <w:r>
        <w:rPr>
          <w:rFonts w:hint="eastAsia" w:ascii="Times New Roman" w:hAnsi="Times New Roman" w:eastAsia="方正楷体_GBK"/>
          <w:spacing w:val="0"/>
          <w:sz w:val="32"/>
          <w:highlight w:val="none"/>
        </w:rPr>
        <w:t>对外开放不断深化。</w:t>
      </w:r>
      <w:r>
        <w:rPr>
          <w:rFonts w:hint="eastAsia" w:ascii="Times New Roman" w:hAnsi="Times New Roman"/>
          <w:spacing w:val="0"/>
          <w:sz w:val="32"/>
          <w:highlight w:val="none"/>
        </w:rPr>
        <w:t>精准对接中亚五国及“一带一路”沿线国家需求，与苏豪集团合作共建江苏中亚中心，全力打造全省中亚方向的重要贸易产业赋能平台，许昆林省长出席启幕仪式并致辞，陈之常市长在第七届进博会上重点</w:t>
      </w:r>
      <w:r>
        <w:rPr>
          <w:rFonts w:hint="eastAsia" w:ascii="Times New Roman" w:hAnsi="Times New Roman"/>
          <w:spacing w:val="0"/>
          <w:w w:val="100"/>
          <w:sz w:val="32"/>
          <w:highlight w:val="none"/>
        </w:rPr>
        <w:t>推介。深入推进服务业扩大开放综合试点先行先试区建设，</w:t>
      </w:r>
      <w:r>
        <w:rPr>
          <w:rFonts w:ascii="Times New Roman" w:hAnsi="Times New Roman"/>
          <w:spacing w:val="0"/>
          <w:w w:val="100"/>
          <w:sz w:val="32"/>
          <w:highlight w:val="none"/>
        </w:rPr>
        <w:t>国内</w:t>
      </w:r>
      <w:r>
        <w:rPr>
          <w:rFonts w:ascii="Times New Roman" w:hAnsi="Times New Roman"/>
          <w:spacing w:val="0"/>
          <w:sz w:val="32"/>
          <w:highlight w:val="none"/>
        </w:rPr>
        <w:t>首</w:t>
      </w:r>
      <w:r>
        <w:rPr>
          <w:rFonts w:ascii="Times New Roman" w:hAnsi="Times New Roman"/>
          <w:highlight w:val="none"/>
        </w:rPr>
        <w:t>家综合性律政产业园</w:t>
      </w:r>
      <w:r>
        <w:rPr>
          <w:rFonts w:hint="eastAsia" w:ascii="Times New Roman" w:hAnsi="Times New Roman"/>
          <w:highlight w:val="none"/>
        </w:rPr>
        <w:t>玄武律政中心建成启用，入选全市服务业扩大开放综合试点</w:t>
      </w:r>
      <w:r>
        <w:rPr>
          <w:rFonts w:hint="eastAsia" w:ascii="Times New Roman" w:hAnsi="Times New Roman"/>
          <w:kern w:val="0"/>
          <w:highlight w:val="none"/>
        </w:rPr>
        <w:t>实践案例2项，列入全省服务业重点项目5个。不断</w:t>
      </w:r>
      <w:r>
        <w:rPr>
          <w:rFonts w:hint="eastAsia" w:ascii="Times New Roman" w:hAnsi="Times New Roman"/>
          <w:highlight w:val="none"/>
        </w:rPr>
        <w:t>放大南京跨境电商（玄武）产业园建设效应，举办南京都市圈首届“跨境电商+产业带”发展论坛，上线发布“苏豪云”跨境电商服务平台。以世界文化遗产地结好为主题，与意大利罗马二区签署友好合作协议，在绿色可持续发展、文化遗产保护、科技教育交流等领域开启国际合作。</w:t>
      </w:r>
    </w:p>
    <w:p>
      <w:pPr>
        <w:rPr>
          <w:rFonts w:ascii="Times New Roman" w:hAnsi="Times New Roman"/>
          <w:highlight w:val="none"/>
        </w:rPr>
      </w:pPr>
      <w:r>
        <w:rPr>
          <w:rFonts w:hint="eastAsia" w:ascii="Times New Roman" w:hAnsi="Times New Roman" w:eastAsia="方正黑体_GBK"/>
          <w:highlight w:val="none"/>
        </w:rPr>
        <w:t>一年来，我们统筹抓好城市更新、生态保护，环境品质稳步提升。</w:t>
      </w:r>
      <w:r>
        <w:rPr>
          <w:rFonts w:hint="eastAsia" w:ascii="Times New Roman" w:hAnsi="Times New Roman"/>
          <w:highlight w:val="none"/>
        </w:rPr>
        <w:t>突出城市发展所需和人民群众生活所盼，深入探索更可持续、更有温度的城市更新路径，协同推进降碳、减污、扩绿、增长，进一步增强特大城市中心城区综合承载能力。</w:t>
      </w:r>
      <w:r>
        <w:rPr>
          <w:rFonts w:hint="eastAsia" w:ascii="Times New Roman" w:hAnsi="Times New Roman" w:eastAsia="方正楷体_GBK"/>
          <w:highlight w:val="none"/>
        </w:rPr>
        <w:t>用心打造宜居环境。</w:t>
      </w:r>
      <w:r>
        <w:rPr>
          <w:rFonts w:hint="eastAsia" w:ascii="Times New Roman" w:hAnsi="Times New Roman"/>
          <w:highlight w:val="none"/>
        </w:rPr>
        <w:t>积极补齐中心城区基础设施建设短板，全力推动67个城建项目，年度投资达12.6亿元。高标准整治龙蟠路、红山路等5条主干道沿线环境，精细化提升大树根、廊东街等街巷品质，全面完成樱海公寓等15个老旧小区改造，系统推进红山路126号、锁金六村等13幢危旧房安全消险。深入推动城市空间肌理重塑，玄武湖东岸提档升级全面启动，蓁巷等环东南大学特色街区业态加快焕新，百子亭、青石街等历史街区改造有序推进。全力破解土地资源利用瓶颈，持续推动原途牛大厦、全民健身中心等12个低效用地转型升级，低碳建筑示范项目省建科院红山科研综合楼成功落成，珠江路238号等3个地块即将出让。</w:t>
      </w:r>
      <w:r>
        <w:rPr>
          <w:rFonts w:hint="eastAsia" w:ascii="Times New Roman" w:hAnsi="Times New Roman" w:eastAsia="方正楷体_GBK"/>
          <w:highlight w:val="none"/>
        </w:rPr>
        <w:t>持续强化精细管理。</w:t>
      </w:r>
      <w:r>
        <w:rPr>
          <w:rFonts w:hint="eastAsia" w:ascii="Times New Roman" w:hAnsi="Times New Roman"/>
          <w:highlight w:val="none"/>
        </w:rPr>
        <w:t>高标准做好防汛防台工作，全面完成富贵山小区、珍珠河等易积淹水区域应急改造，险工隐患排查、积淹水点整治取得积极成效，应急响应迅速有力。构建垃圾分类工作长效机制，扎实推进四牌楼垃圾转运站建设，建成大件分拣中心和龙蟠路垃圾中转站，巩固提升省级达标小区建设成效。持续发力景区、学校等重点区域交通堵点治理，优化完善环玄武湖等热点地区交通组织，全年新增停车泊位920个、新增共享停车泊位超1300个。</w:t>
      </w:r>
      <w:r>
        <w:rPr>
          <w:rFonts w:hint="eastAsia" w:ascii="Times New Roman" w:hAnsi="Times New Roman" w:eastAsia="方正楷体_GBK"/>
          <w:highlight w:val="none"/>
        </w:rPr>
        <w:t>全力推进生态改善。</w:t>
      </w:r>
      <w:r>
        <w:rPr>
          <w:rFonts w:hint="eastAsia" w:ascii="Times New Roman" w:hAnsi="Times New Roman"/>
          <w:highlight w:val="none"/>
        </w:rPr>
        <w:t>以创建国家生态文明建设示范区为引领，持续深入打好蓝天碧水净土保卫战，全区城市绿化覆盖率保持63.5%、稳居全市第一，连续4年获评中国最美县域。聚焦大气污染防治，完成VOCs</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7</w:t>
      </w:r>
      <w:r>
        <w:rPr>
          <w:rFonts w:ascii="Times New Roman" w:hAnsi="Times New Roman"/>
          <w:snapToGrid w:val="0"/>
          <w:kern w:val="0"/>
          <w:highlight w:val="none"/>
          <w:vertAlign w:val="superscript"/>
        </w:rPr>
        <w:t>]</w:t>
      </w:r>
      <w:r>
        <w:rPr>
          <w:rFonts w:hint="eastAsia" w:ascii="Times New Roman" w:hAnsi="Times New Roman"/>
          <w:highlight w:val="none"/>
        </w:rPr>
        <w:t>治理项目12个，全区空气优良天数比率87.2%、同比上升5%，PM</w:t>
      </w:r>
      <w:r>
        <w:rPr>
          <w:rFonts w:hint="eastAsia" w:ascii="Times New Roman" w:hAnsi="Times New Roman"/>
          <w:highlight w:val="none"/>
          <w:vertAlign w:val="subscript"/>
        </w:rPr>
        <w:t>2.5</w:t>
      </w:r>
      <w:r>
        <w:rPr>
          <w:rFonts w:hint="eastAsia" w:ascii="Times New Roman" w:hAnsi="Times New Roman"/>
          <w:highlight w:val="none"/>
        </w:rPr>
        <w:t>浓度26.4微克/立方米、同比下降6.7%，均位列全市第一。统筹水资源、水环境、水生态治理，扎实推进雨污水管网清疏修缮工程，创成唐家山沟、友谊河等5条市级幸福河湖，国省考关联断面、市考断面水质稳定达标。抓好危废固废系统整治，全年安全转移危废1496.8吨、医废1571.3吨。认真接受第三轮中央生态环境保护督察，对历次中央、省督察交办事项进行“回头看”，高标准完成20件信访事项办理，推动高质量发展与高水平保护协同并进。</w:t>
      </w:r>
    </w:p>
    <w:p>
      <w:pPr>
        <w:adjustRightInd w:val="0"/>
        <w:snapToGrid w:val="0"/>
        <w:rPr>
          <w:rFonts w:ascii="Times New Roman" w:hAnsi="Times New Roman"/>
          <w:highlight w:val="none"/>
        </w:rPr>
      </w:pPr>
      <w:r>
        <w:rPr>
          <w:rFonts w:hint="eastAsia" w:ascii="Times New Roman" w:hAnsi="Times New Roman" w:eastAsia="方正黑体_GBK"/>
          <w:highlight w:val="none"/>
        </w:rPr>
        <w:t>一年来，我们积极强化以人为本、服务至上，民生福祉不断增强。</w:t>
      </w:r>
      <w:r>
        <w:rPr>
          <w:rFonts w:hint="eastAsia" w:ascii="Times New Roman" w:hAnsi="Times New Roman"/>
          <w:highlight w:val="none"/>
        </w:rPr>
        <w:t>深入践行以人民为中心的发展思想，下大力气解决好群众</w:t>
      </w:r>
      <w:r>
        <w:rPr>
          <w:rFonts w:hint="eastAsia" w:ascii="Times New Roman" w:hAnsi="Times New Roman"/>
          <w:spacing w:val="4"/>
          <w:highlight w:val="none"/>
        </w:rPr>
        <w:t>关心关注的热点问题，10类24件民生实事项目圆满完成</w:t>
      </w:r>
      <w:r>
        <w:rPr>
          <w:rFonts w:hint="eastAsia" w:ascii="Times New Roman" w:hAnsi="Times New Roman" w:cs="方正仿宋_GBK"/>
          <w:spacing w:val="4"/>
          <w:highlight w:val="none"/>
        </w:rPr>
        <w:t>，</w:t>
      </w:r>
      <w:r>
        <w:rPr>
          <w:rFonts w:hint="eastAsia" w:ascii="Times New Roman" w:hAnsi="Times New Roman"/>
          <w:spacing w:val="4"/>
          <w:highlight w:val="none"/>
        </w:rPr>
        <w:t>居民人均可支配收入</w:t>
      </w:r>
      <w:r>
        <w:rPr>
          <w:rFonts w:hint="eastAsia" w:ascii="Times New Roman" w:hAnsi="Times New Roman"/>
          <w:spacing w:val="4"/>
          <w:highlight w:val="none"/>
          <w:lang w:eastAsia="zh-CN"/>
        </w:rPr>
        <w:t>达</w:t>
      </w:r>
      <w:r>
        <w:rPr>
          <w:rFonts w:hint="eastAsia" w:ascii="Times New Roman" w:hAnsi="Times New Roman"/>
          <w:spacing w:val="4"/>
          <w:highlight w:val="none"/>
        </w:rPr>
        <w:t>9.1</w:t>
      </w:r>
      <w:r>
        <w:rPr>
          <w:rFonts w:hint="eastAsia" w:ascii="Times New Roman" w:hAnsi="Times New Roman"/>
          <w:spacing w:val="4"/>
          <w:highlight w:val="none"/>
          <w:lang w:val="en-US" w:eastAsia="zh-CN"/>
        </w:rPr>
        <w:t>9</w:t>
      </w:r>
      <w:r>
        <w:rPr>
          <w:rFonts w:hint="eastAsia" w:ascii="Times New Roman" w:hAnsi="Times New Roman"/>
          <w:spacing w:val="4"/>
          <w:highlight w:val="none"/>
        </w:rPr>
        <w:t>万元，连续11年位居全省第一。</w:t>
      </w:r>
      <w:r>
        <w:rPr>
          <w:rFonts w:hint="eastAsia" w:ascii="Times New Roman" w:hAnsi="Times New Roman" w:eastAsia="方正楷体_GBK" w:cs="方正楷体_GBK"/>
          <w:bCs/>
          <w:highlight w:val="none"/>
        </w:rPr>
        <w:t>一心一意优服务。</w:t>
      </w:r>
      <w:r>
        <w:rPr>
          <w:rFonts w:hint="eastAsia" w:ascii="Times New Roman" w:hAnsi="Times New Roman"/>
          <w:highlight w:val="none"/>
        </w:rPr>
        <w:t>设立智能就业服务亭14个，城镇新增就业1.43万人，支持成功自主创业1700人。持续完善多元救助帮扶体系，探访关爱特殊困难群体近60万人次，发放各类救助资金3655万元。扎实推进对口支援工作，累计拨付帮扶资金5455万元。聚焦“一老一幼”需要，发布76家社区食堂银发助餐点地图，建成红山街道省级未成年人保护工作站，新街口街道打造的“悦心养老”获评江苏省老龄产业协会知名品牌，玄武门街道《</w:t>
      </w:r>
      <w:r>
        <w:rPr>
          <w:rFonts w:ascii="Times New Roman" w:hAnsi="Times New Roman"/>
          <w:highlight w:val="none"/>
        </w:rPr>
        <w:t>为老人系上</w:t>
      </w:r>
      <w:r>
        <w:rPr>
          <w:rFonts w:hint="eastAsia" w:ascii="Times New Roman" w:hAnsi="Times New Roman"/>
          <w:highlight w:val="none"/>
        </w:rPr>
        <w:t>“</w:t>
      </w:r>
      <w:r>
        <w:rPr>
          <w:rFonts w:ascii="Times New Roman" w:hAnsi="Times New Roman"/>
          <w:highlight w:val="none"/>
        </w:rPr>
        <w:t>数字安全带</w:t>
      </w:r>
      <w:r>
        <w:rPr>
          <w:rFonts w:hint="eastAsia" w:ascii="Times New Roman" w:hAnsi="Times New Roman"/>
          <w:highlight w:val="none"/>
        </w:rPr>
        <w:t>”》入选</w:t>
      </w:r>
      <w:r>
        <w:rPr>
          <w:rFonts w:ascii="Times New Roman" w:hAnsi="Times New Roman"/>
          <w:highlight w:val="none"/>
        </w:rPr>
        <w:t>全国老龄社会建设创新案例</w:t>
      </w:r>
      <w:r>
        <w:rPr>
          <w:rFonts w:hint="eastAsia" w:ascii="Times New Roman" w:hAnsi="Times New Roman"/>
          <w:highlight w:val="none"/>
        </w:rPr>
        <w:t>。深入推进省级婚俗改革</w:t>
      </w:r>
      <w:r>
        <w:rPr>
          <w:rFonts w:hint="eastAsia" w:ascii="Times New Roman" w:hAnsi="Times New Roman"/>
          <w:highlight w:val="none"/>
          <w:lang w:val="en-US" w:eastAsia="zh-CN"/>
        </w:rPr>
        <w:t>实验</w:t>
      </w:r>
      <w:r>
        <w:rPr>
          <w:rFonts w:hint="eastAsia" w:ascii="Times New Roman" w:hAnsi="Times New Roman"/>
          <w:highlight w:val="none"/>
        </w:rPr>
        <w:t>区建设，全市首个户外婚姻登记处正式启用。扎实开展“新三学”</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8</w:t>
      </w:r>
      <w:r>
        <w:rPr>
          <w:rFonts w:ascii="Times New Roman" w:hAnsi="Times New Roman"/>
          <w:snapToGrid w:val="0"/>
          <w:kern w:val="0"/>
          <w:highlight w:val="none"/>
          <w:vertAlign w:val="superscript"/>
        </w:rPr>
        <w:t>]</w:t>
      </w:r>
      <w:r>
        <w:rPr>
          <w:rFonts w:hint="eastAsia" w:ascii="Times New Roman" w:hAnsi="Times New Roman"/>
          <w:highlight w:val="none"/>
        </w:rPr>
        <w:t>课堂教学提质行动，完成北京东路小学红山分校等改扩建工程，获评国家级义务教育教学改革实验区、学前教育普及普惠区。在全省率先试点“全天候、全链条、全流程”家庭医生服务新模式，建成区体检中心，打造“金陵小屋”等中医特色家医工作室12个，陈璐滢获评全国卫生健康系统先进工作者，郭继臣荣获全国五一劳动奖章，锁金村街道便民服务中心入选“15分钟医保服务圈”省级示范点。坚持文体惠民利民，开展文化活动1900场，玄武体校输送的运动员王赐月勇夺巴黎奥运会花样游泳集体项目金牌。赓续双拥优良传统，打造“军民共建新时代学雷锋实践站”，区退役军人事务局荣获全国退役军人工作模范单位，</w:t>
      </w:r>
      <w:r>
        <w:rPr>
          <w:rFonts w:ascii="Times New Roman" w:hAnsi="Times New Roman"/>
          <w:highlight w:val="none"/>
        </w:rPr>
        <w:t>谌贻琴国务委员</w:t>
      </w:r>
      <w:r>
        <w:rPr>
          <w:rFonts w:hint="eastAsia" w:ascii="Times New Roman" w:hAnsi="Times New Roman"/>
          <w:highlight w:val="none"/>
        </w:rPr>
        <w:t>调研区退役军人之家给予充分认可。组织开展国防动员演习，提高新体制下国动援战</w:t>
      </w:r>
      <w:r>
        <w:rPr>
          <w:rFonts w:hint="eastAsia" w:ascii="Times New Roman" w:hAnsi="Times New Roman"/>
          <w:spacing w:val="-11"/>
          <w:w w:val="100"/>
          <w:sz w:val="32"/>
          <w:highlight w:val="none"/>
        </w:rPr>
        <w:t>能</w:t>
      </w:r>
      <w:r>
        <w:rPr>
          <w:rFonts w:hint="eastAsia" w:ascii="Times New Roman" w:hAnsi="Times New Roman"/>
          <w:spacing w:val="0"/>
          <w:w w:val="100"/>
          <w:sz w:val="32"/>
          <w:highlight w:val="none"/>
        </w:rPr>
        <w:t>力。联合58家驻区单位成立南京玄武文明实践联盟，在世界文</w:t>
      </w:r>
      <w:r>
        <w:rPr>
          <w:rFonts w:hint="eastAsia" w:ascii="Times New Roman" w:hAnsi="Times New Roman"/>
          <w:spacing w:val="0"/>
          <w:sz w:val="32"/>
          <w:highlight w:val="none"/>
        </w:rPr>
        <w:t>学</w:t>
      </w:r>
      <w:r>
        <w:rPr>
          <w:rFonts w:hint="eastAsia" w:ascii="Times New Roman" w:hAnsi="Times New Roman"/>
          <w:highlight w:val="none"/>
        </w:rPr>
        <w:t>客厅开设“鸡笼山讲坛”，青少年党团队一体化学习路线获团中央书记处调研肯定。</w:t>
      </w:r>
      <w:r>
        <w:rPr>
          <w:rFonts w:hint="eastAsia" w:ascii="Times New Roman" w:hAnsi="Times New Roman" w:eastAsia="方正楷体_GBK" w:cs="方正楷体_GBK"/>
          <w:bCs/>
          <w:highlight w:val="none"/>
        </w:rPr>
        <w:t>系统施策强治理</w:t>
      </w:r>
      <w:r>
        <w:rPr>
          <w:rFonts w:hint="eastAsia" w:ascii="Times New Roman" w:hAnsi="Times New Roman"/>
          <w:highlight w:val="none"/>
        </w:rPr>
        <w:t>。坚持从老百姓需求出发，创新打造“人民城市融创实验室”，以改革为手段，以数字化技术为支撑，项目化推动解决群众关心关注的热点问题。统筹</w:t>
      </w:r>
      <w:r>
        <w:rPr>
          <w:rFonts w:ascii="Times New Roman" w:hAnsi="Times New Roman"/>
          <w:highlight w:val="none"/>
        </w:rPr>
        <w:t>社会</w:t>
      </w:r>
      <w:r>
        <w:rPr>
          <w:rFonts w:hint="eastAsia" w:ascii="Times New Roman" w:hAnsi="Times New Roman"/>
          <w:highlight w:val="none"/>
        </w:rPr>
        <w:t>与国企</w:t>
      </w:r>
      <w:r>
        <w:rPr>
          <w:rFonts w:ascii="Times New Roman" w:hAnsi="Times New Roman"/>
          <w:highlight w:val="none"/>
        </w:rPr>
        <w:t>资源设置</w:t>
      </w:r>
      <w:r>
        <w:rPr>
          <w:rFonts w:hint="eastAsia" w:ascii="Times New Roman" w:hAnsi="Times New Roman"/>
          <w:highlight w:val="none"/>
        </w:rPr>
        <w:t>8家</w:t>
      </w:r>
      <w:r>
        <w:rPr>
          <w:rFonts w:ascii="Times New Roman" w:hAnsi="Times New Roman"/>
          <w:highlight w:val="none"/>
        </w:rPr>
        <w:t>嵌入式</w:t>
      </w:r>
      <w:r>
        <w:rPr>
          <w:rFonts w:hint="eastAsia" w:ascii="Times New Roman" w:hAnsi="Times New Roman"/>
          <w:highlight w:val="none"/>
        </w:rPr>
        <w:t>社区</w:t>
      </w:r>
      <w:r>
        <w:rPr>
          <w:rFonts w:ascii="Times New Roman" w:hAnsi="Times New Roman"/>
          <w:highlight w:val="none"/>
        </w:rPr>
        <w:t>助餐点</w:t>
      </w:r>
      <w:r>
        <w:rPr>
          <w:rFonts w:hint="eastAsia" w:ascii="Times New Roman" w:hAnsi="Times New Roman"/>
          <w:highlight w:val="none"/>
        </w:rPr>
        <w:t>，</w:t>
      </w:r>
      <w:r>
        <w:rPr>
          <w:rFonts w:ascii="Times New Roman" w:hAnsi="Times New Roman"/>
          <w:highlight w:val="none"/>
        </w:rPr>
        <w:t>利用</w:t>
      </w:r>
      <w:r>
        <w:rPr>
          <w:rFonts w:hint="eastAsia" w:ascii="Times New Roman" w:hAnsi="Times New Roman"/>
          <w:highlight w:val="none"/>
        </w:rPr>
        <w:t>社区</w:t>
      </w:r>
      <w:r>
        <w:rPr>
          <w:rFonts w:ascii="Times New Roman" w:hAnsi="Times New Roman"/>
          <w:highlight w:val="none"/>
        </w:rPr>
        <w:t>闲置用房</w:t>
      </w:r>
      <w:r>
        <w:rPr>
          <w:rFonts w:hint="eastAsia" w:ascii="Times New Roman" w:hAnsi="Times New Roman"/>
          <w:highlight w:val="none"/>
        </w:rPr>
        <w:t>提供快递、家政等便民服务，开发AI物业服务机器人，创新“</w:t>
      </w:r>
      <w:r>
        <w:rPr>
          <w:rFonts w:ascii="Times New Roman" w:hAnsi="Times New Roman"/>
          <w:highlight w:val="none"/>
        </w:rPr>
        <w:t>大篷车进社区</w:t>
      </w:r>
      <w:r>
        <w:rPr>
          <w:rFonts w:hint="eastAsia" w:ascii="Times New Roman" w:hAnsi="Times New Roman"/>
          <w:highlight w:val="none"/>
        </w:rPr>
        <w:t>”模式开展消费</w:t>
      </w:r>
      <w:r>
        <w:rPr>
          <w:rFonts w:ascii="Times New Roman" w:hAnsi="Times New Roman"/>
          <w:highlight w:val="none"/>
        </w:rPr>
        <w:t>促</w:t>
      </w:r>
      <w:r>
        <w:rPr>
          <w:rFonts w:hint="eastAsia" w:ascii="Times New Roman" w:hAnsi="Times New Roman"/>
          <w:highlight w:val="none"/>
        </w:rPr>
        <w:t>进等</w:t>
      </w:r>
      <w:r>
        <w:rPr>
          <w:rFonts w:ascii="Times New Roman" w:hAnsi="Times New Roman"/>
          <w:highlight w:val="none"/>
        </w:rPr>
        <w:t>活动，</w:t>
      </w:r>
      <w:r>
        <w:rPr>
          <w:rFonts w:hint="eastAsia" w:ascii="Times New Roman" w:hAnsi="Times New Roman"/>
          <w:highlight w:val="none"/>
        </w:rPr>
        <w:t>不断提升群众获得感、幸福感。深入推进社会治理创新发展，完善社区联席会、社区议事会等社区协作治理平台，扎实开展11个社区治理现代化创新实验点建设，建成全市首座公共交通类智慧站牌“智行易站”，梅园新村街道“小红梅慈善空间”入选全国社会治理创新案例。健全完善全区数字化治理体系，建成启用玄武湖周边地区城市运行“一网统管”指挥调度平台，深化拓展大客流预警等应用场景，以数据赋能提升城市治理效能。</w:t>
      </w:r>
      <w:r>
        <w:rPr>
          <w:rFonts w:hint="eastAsia" w:ascii="Times New Roman" w:hAnsi="Times New Roman" w:eastAsia="方正楷体_GBK" w:cs="方正楷体_GBK"/>
          <w:bCs/>
          <w:highlight w:val="none"/>
        </w:rPr>
        <w:t>久久为功保安全。</w:t>
      </w:r>
      <w:r>
        <w:rPr>
          <w:rFonts w:hint="eastAsia" w:ascii="Times New Roman" w:hAnsi="Times New Roman"/>
          <w:highlight w:val="none"/>
        </w:rPr>
        <w:t>深入推进安全生产治本攻坚三年行动，扎实抓好市、区两级挂牌督办重大火灾隐患整改，认真落实电动自行车、高层建筑、化工和危化品等领域全链条整治要求，全区安全生产基础不断夯实。全面实施燃气安全“清瓶行动”，餐饮用户“瓶改管”“瓶改电”742户，居民用户“安心管”免费置换超1400户，处于全市领先水平。坚决落实信访工作法治化要求，深入开展源头治理，集中整治重点领域，大力推进积案攻坚，初信初访事项一次性化解率达97.7%。全面落实社会面治安防控措施，重拳打击南京博物院等热门景点抢票团伙，全区110刑事警情同比下降6.2%，刑事案件破案率稳步提升。不断优化食品药品服务监管措施，持续织密食品药品安全监管防线。</w:t>
      </w:r>
    </w:p>
    <w:p>
      <w:pPr>
        <w:rPr>
          <w:rFonts w:ascii="Times New Roman" w:hAnsi="Times New Roman"/>
          <w:spacing w:val="-4"/>
          <w:highlight w:val="none"/>
        </w:rPr>
      </w:pPr>
      <w:r>
        <w:rPr>
          <w:rFonts w:hint="eastAsia" w:ascii="Times New Roman" w:hAnsi="Times New Roman" w:eastAsia="方正黑体_GBK"/>
          <w:spacing w:val="0"/>
          <w:sz w:val="32"/>
          <w:highlight w:val="none"/>
        </w:rPr>
        <w:t>一年来，我们坚决做到转变职能、改进作风，自身建设持续强化。</w:t>
      </w:r>
      <w:r>
        <w:rPr>
          <w:rFonts w:ascii="Times New Roman" w:hAnsi="Times New Roman"/>
          <w:spacing w:val="0"/>
          <w:sz w:val="32"/>
          <w:highlight w:val="none"/>
        </w:rPr>
        <w:t>始终坚持以党的政治建设为统领，</w:t>
      </w:r>
      <w:r>
        <w:rPr>
          <w:rFonts w:hint="eastAsia" w:ascii="Times New Roman" w:hAnsi="Times New Roman"/>
          <w:spacing w:val="0"/>
          <w:sz w:val="32"/>
          <w:highlight w:val="none"/>
        </w:rPr>
        <w:t>牢固树立和践行正确政绩观，进一步突出</w:t>
      </w:r>
      <w:r>
        <w:rPr>
          <w:rFonts w:ascii="Times New Roman" w:hAnsi="Times New Roman"/>
          <w:spacing w:val="0"/>
          <w:sz w:val="32"/>
          <w:highlight w:val="none"/>
        </w:rPr>
        <w:t>忠诚为政、依法行政、务实勤政</w:t>
      </w:r>
      <w:r>
        <w:rPr>
          <w:rFonts w:hint="eastAsia" w:ascii="Times New Roman" w:hAnsi="Times New Roman"/>
          <w:spacing w:val="0"/>
          <w:sz w:val="32"/>
          <w:highlight w:val="none"/>
        </w:rPr>
        <w:t>，切实提高行政效能。</w:t>
      </w:r>
      <w:r>
        <w:rPr>
          <w:rFonts w:ascii="Times New Roman" w:hAnsi="Times New Roman" w:eastAsia="方正楷体_GBK" w:cs="方正楷体_GBK"/>
          <w:bCs/>
          <w:spacing w:val="0"/>
          <w:sz w:val="32"/>
          <w:highlight w:val="none"/>
        </w:rPr>
        <w:t>政治建设全面加强。</w:t>
      </w:r>
      <w:r>
        <w:rPr>
          <w:rFonts w:hint="eastAsia" w:ascii="Times New Roman" w:hAnsi="Times New Roman"/>
          <w:spacing w:val="0"/>
          <w:kern w:val="0"/>
          <w:sz w:val="32"/>
          <w:highlight w:val="none"/>
        </w:rPr>
        <w:t>全面</w:t>
      </w:r>
      <w:r>
        <w:rPr>
          <w:rFonts w:ascii="Times New Roman" w:hAnsi="Times New Roman"/>
          <w:spacing w:val="0"/>
          <w:sz w:val="32"/>
          <w:highlight w:val="none"/>
        </w:rPr>
        <w:t>贯彻党的</w:t>
      </w:r>
      <w:r>
        <w:rPr>
          <w:rFonts w:hint="eastAsia" w:ascii="Times New Roman" w:hAnsi="Times New Roman"/>
          <w:spacing w:val="0"/>
          <w:sz w:val="32"/>
          <w:highlight w:val="none"/>
        </w:rPr>
        <w:t>二十大和</w:t>
      </w:r>
      <w:r>
        <w:rPr>
          <w:rFonts w:ascii="Times New Roman" w:hAnsi="Times New Roman"/>
          <w:spacing w:val="0"/>
          <w:sz w:val="32"/>
          <w:highlight w:val="none"/>
        </w:rPr>
        <w:t>二十届</w:t>
      </w:r>
      <w:r>
        <w:rPr>
          <w:rFonts w:hint="eastAsia" w:ascii="Times New Roman" w:hAnsi="Times New Roman"/>
          <w:spacing w:val="0"/>
          <w:sz w:val="32"/>
          <w:highlight w:val="none"/>
        </w:rPr>
        <w:t>二中、</w:t>
      </w:r>
      <w:r>
        <w:rPr>
          <w:rFonts w:ascii="Times New Roman" w:hAnsi="Times New Roman"/>
          <w:spacing w:val="0"/>
          <w:sz w:val="32"/>
          <w:highlight w:val="none"/>
        </w:rPr>
        <w:t>三中全会</w:t>
      </w:r>
      <w:r>
        <w:rPr>
          <w:rFonts w:ascii="Times New Roman" w:hAnsi="Times New Roman"/>
          <w:spacing w:val="-6"/>
          <w:sz w:val="32"/>
          <w:highlight w:val="none"/>
        </w:rPr>
        <w:t>精神</w:t>
      </w:r>
      <w:r>
        <w:rPr>
          <w:rFonts w:hint="eastAsia" w:ascii="Times New Roman" w:hAnsi="Times New Roman"/>
          <w:spacing w:val="-6"/>
          <w:sz w:val="32"/>
          <w:highlight w:val="none"/>
        </w:rPr>
        <w:t>，</w:t>
      </w:r>
      <w:r>
        <w:rPr>
          <w:rFonts w:ascii="Times New Roman" w:hAnsi="Times New Roman"/>
          <w:spacing w:val="-6"/>
          <w:sz w:val="32"/>
          <w:highlight w:val="none"/>
        </w:rPr>
        <w:t>深入学习</w:t>
      </w:r>
      <w:r>
        <w:rPr>
          <w:rFonts w:hint="eastAsia" w:ascii="Times New Roman" w:hAnsi="Times New Roman"/>
          <w:spacing w:val="-6"/>
          <w:sz w:val="32"/>
          <w:highlight w:val="none"/>
        </w:rPr>
        <w:t>习近平总书记对江苏工作重要讲话精神</w:t>
      </w:r>
      <w:r>
        <w:rPr>
          <w:rFonts w:ascii="Times New Roman" w:hAnsi="Times New Roman"/>
          <w:spacing w:val="-6"/>
          <w:sz w:val="32"/>
          <w:highlight w:val="none"/>
        </w:rPr>
        <w:t>，</w:t>
      </w:r>
      <w:r>
        <w:rPr>
          <w:rFonts w:hint="eastAsia" w:ascii="Times New Roman" w:hAnsi="Times New Roman"/>
          <w:spacing w:val="-6"/>
          <w:sz w:val="32"/>
          <w:highlight w:val="none"/>
        </w:rPr>
        <w:t>坚持</w:t>
      </w:r>
      <w:r>
        <w:rPr>
          <w:rFonts w:ascii="Times New Roman" w:hAnsi="Times New Roman"/>
          <w:spacing w:val="-6"/>
          <w:kern w:val="0"/>
          <w:sz w:val="32"/>
          <w:highlight w:val="none"/>
        </w:rPr>
        <w:t>用党的</w:t>
      </w:r>
      <w:r>
        <w:rPr>
          <w:rFonts w:hint="eastAsia" w:ascii="Times New Roman" w:hAnsi="Times New Roman"/>
          <w:spacing w:val="-6"/>
          <w:kern w:val="0"/>
          <w:sz w:val="32"/>
          <w:highlight w:val="none"/>
        </w:rPr>
        <w:t>创新</w:t>
      </w:r>
      <w:r>
        <w:rPr>
          <w:rFonts w:ascii="Times New Roman" w:hAnsi="Times New Roman"/>
          <w:spacing w:val="-6"/>
          <w:kern w:val="0"/>
          <w:sz w:val="32"/>
          <w:highlight w:val="none"/>
        </w:rPr>
        <w:t>理论武装头脑、指导实践</w:t>
      </w:r>
      <w:r>
        <w:rPr>
          <w:rFonts w:hint="eastAsia" w:ascii="Times New Roman" w:hAnsi="Times New Roman"/>
          <w:spacing w:val="-6"/>
          <w:kern w:val="0"/>
          <w:sz w:val="32"/>
          <w:highlight w:val="none"/>
        </w:rPr>
        <w:t>、推动工作，</w:t>
      </w:r>
      <w:r>
        <w:rPr>
          <w:rFonts w:hint="eastAsia" w:ascii="Times New Roman" w:hAnsi="Times New Roman"/>
          <w:spacing w:val="-6"/>
          <w:sz w:val="32"/>
          <w:highlight w:val="none"/>
        </w:rPr>
        <w:t>以实际行动坚定拥护“两个确立”、坚决做到“两个维护”。深入开展党纪学习教育，在深学上下实功、在思想上强淬炼，真正把纪律规矩融入日常、抓在经常。</w:t>
      </w:r>
      <w:r>
        <w:rPr>
          <w:rFonts w:hint="eastAsia" w:ascii="Times New Roman" w:hAnsi="Times New Roman"/>
          <w:bCs/>
          <w:spacing w:val="-6"/>
          <w:kern w:val="0"/>
          <w:sz w:val="32"/>
          <w:highlight w:val="none"/>
        </w:rPr>
        <w:t>坚定不移落实全面从严治党主体责任，锲而不舍贯彻中央八项规定精神，</w:t>
      </w:r>
      <w:r>
        <w:rPr>
          <w:rFonts w:hint="eastAsia" w:ascii="Times New Roman" w:hAnsi="Times New Roman"/>
          <w:spacing w:val="-6"/>
          <w:sz w:val="32"/>
          <w:highlight w:val="none"/>
        </w:rPr>
        <w:t>深入推动政府系统党风廉政建设和反腐败斗争</w:t>
      </w:r>
      <w:r>
        <w:rPr>
          <w:rFonts w:hint="eastAsia" w:ascii="Times New Roman" w:hAnsi="Times New Roman"/>
          <w:bCs/>
          <w:spacing w:val="-6"/>
          <w:kern w:val="0"/>
          <w:sz w:val="32"/>
          <w:highlight w:val="none"/>
        </w:rPr>
        <w:t>。</w:t>
      </w:r>
      <w:r>
        <w:rPr>
          <w:rFonts w:hint="eastAsia" w:ascii="Times New Roman" w:hAnsi="Times New Roman"/>
          <w:spacing w:val="-6"/>
          <w:sz w:val="32"/>
          <w:highlight w:val="none"/>
        </w:rPr>
        <w:t>全面强化意识形态工作责任制落实，牢牢守住政府系统意识形</w:t>
      </w:r>
      <w:r>
        <w:rPr>
          <w:rFonts w:hint="eastAsia" w:ascii="Times New Roman" w:hAnsi="Times New Roman"/>
          <w:spacing w:val="0"/>
          <w:sz w:val="32"/>
          <w:highlight w:val="none"/>
        </w:rPr>
        <w:t>态阵地。</w:t>
      </w:r>
      <w:r>
        <w:rPr>
          <w:rFonts w:hint="eastAsia" w:ascii="Times New Roman" w:hAnsi="Times New Roman" w:eastAsia="方正楷体_GBK" w:cs="方正楷体_GBK"/>
          <w:bCs/>
          <w:spacing w:val="0"/>
          <w:sz w:val="32"/>
          <w:highlight w:val="none"/>
        </w:rPr>
        <w:t>法治建设巩固提升。</w:t>
      </w:r>
      <w:r>
        <w:rPr>
          <w:rFonts w:hint="eastAsia" w:ascii="Times New Roman" w:hAnsi="Times New Roman"/>
          <w:bCs/>
          <w:spacing w:val="0"/>
          <w:kern w:val="0"/>
          <w:sz w:val="32"/>
          <w:highlight w:val="none"/>
        </w:rPr>
        <w:t>带头落实学法制度，多次召开会议</w:t>
      </w:r>
      <w:r>
        <w:rPr>
          <w:rFonts w:hint="eastAsia" w:ascii="Times New Roman" w:hAnsi="Times New Roman"/>
          <w:bCs/>
          <w:spacing w:val="-6"/>
          <w:kern w:val="0"/>
          <w:sz w:val="32"/>
          <w:highlight w:val="none"/>
        </w:rPr>
        <w:t>研究法治政府建设工作，</w:t>
      </w:r>
      <w:r>
        <w:rPr>
          <w:rFonts w:hint="eastAsia" w:ascii="Times New Roman" w:hAnsi="Times New Roman" w:cs="方正仿宋_GBK"/>
          <w:spacing w:val="-6"/>
          <w:sz w:val="32"/>
          <w:highlight w:val="none"/>
        </w:rPr>
        <w:t>严格执行“三重一大”决策、旁听庭审等制度，全面加大重点领域信息主动公开力度，认真抓好重大行</w:t>
      </w:r>
      <w:r>
        <w:rPr>
          <w:rFonts w:hint="eastAsia" w:ascii="Times New Roman" w:hAnsi="Times New Roman" w:cs="方正仿宋_GBK"/>
          <w:spacing w:val="0"/>
          <w:sz w:val="32"/>
          <w:highlight w:val="none"/>
        </w:rPr>
        <w:t>政决</w:t>
      </w:r>
      <w:r>
        <w:rPr>
          <w:rFonts w:hint="eastAsia" w:ascii="Times New Roman" w:hAnsi="Times New Roman" w:cs="方正仿宋_GBK"/>
          <w:spacing w:val="-6"/>
          <w:sz w:val="32"/>
          <w:highlight w:val="none"/>
        </w:rPr>
        <w:t>策、政府合同合法性审查，办结行政复议案件</w:t>
      </w:r>
      <w:r>
        <w:rPr>
          <w:rFonts w:hint="eastAsia" w:ascii="Times New Roman" w:hAnsi="Times New Roman"/>
          <w:spacing w:val="-6"/>
          <w:sz w:val="32"/>
          <w:highlight w:val="none"/>
        </w:rPr>
        <w:t>265</w:t>
      </w:r>
      <w:r>
        <w:rPr>
          <w:rFonts w:hint="eastAsia" w:ascii="Times New Roman" w:hAnsi="Times New Roman" w:cs="方正仿宋_GBK"/>
          <w:spacing w:val="-6"/>
          <w:sz w:val="32"/>
          <w:highlight w:val="none"/>
        </w:rPr>
        <w:t>件。</w:t>
      </w:r>
      <w:r>
        <w:rPr>
          <w:rFonts w:hint="eastAsia" w:ascii="Times New Roman" w:hAnsi="Times New Roman"/>
          <w:spacing w:val="-6"/>
          <w:kern w:val="0"/>
          <w:sz w:val="32"/>
          <w:highlight w:val="none"/>
        </w:rPr>
        <w:t>深入推进</w:t>
      </w:r>
      <w:r>
        <w:rPr>
          <w:rFonts w:hint="eastAsia" w:ascii="Times New Roman" w:hAnsi="Times New Roman"/>
          <w:spacing w:val="0"/>
          <w:kern w:val="0"/>
          <w:sz w:val="32"/>
          <w:highlight w:val="none"/>
        </w:rPr>
        <w:t>“小微企业法律服务月”等活动</w:t>
      </w:r>
      <w:r>
        <w:rPr>
          <w:rFonts w:hint="eastAsia" w:ascii="Times New Roman" w:hAnsi="Times New Roman"/>
          <w:spacing w:val="0"/>
          <w:sz w:val="32"/>
          <w:highlight w:val="none"/>
        </w:rPr>
        <w:t>，建成区公共法律服务中心，完成区政府</w:t>
      </w:r>
      <w:r>
        <w:rPr>
          <w:rFonts w:hint="eastAsia" w:ascii="Times New Roman" w:hAnsi="Times New Roman"/>
          <w:spacing w:val="-6"/>
          <w:sz w:val="32"/>
          <w:highlight w:val="none"/>
        </w:rPr>
        <w:t>法律顾问换届，</w:t>
      </w:r>
      <w:r>
        <w:rPr>
          <w:rFonts w:ascii="Times New Roman" w:hAnsi="Times New Roman"/>
          <w:spacing w:val="-6"/>
          <w:kern w:val="0"/>
          <w:sz w:val="32"/>
          <w:szCs w:val="30"/>
          <w:highlight w:val="none"/>
        </w:rPr>
        <w:t>办理各类法律援助案件</w:t>
      </w:r>
      <w:r>
        <w:rPr>
          <w:rFonts w:hint="eastAsia" w:ascii="Times New Roman" w:hAnsi="Times New Roman"/>
          <w:spacing w:val="-6"/>
          <w:sz w:val="32"/>
          <w:highlight w:val="none"/>
        </w:rPr>
        <w:t>715</w:t>
      </w:r>
      <w:r>
        <w:rPr>
          <w:rFonts w:ascii="Times New Roman" w:hAnsi="Times New Roman"/>
          <w:spacing w:val="-6"/>
          <w:kern w:val="0"/>
          <w:sz w:val="32"/>
          <w:szCs w:val="30"/>
          <w:highlight w:val="none"/>
        </w:rPr>
        <w:t>件</w:t>
      </w:r>
      <w:r>
        <w:rPr>
          <w:rFonts w:hint="eastAsia" w:ascii="Times New Roman" w:hAnsi="Times New Roman"/>
          <w:spacing w:val="-6"/>
          <w:kern w:val="0"/>
          <w:sz w:val="32"/>
          <w:szCs w:val="30"/>
          <w:highlight w:val="none"/>
        </w:rPr>
        <w:t>。</w:t>
      </w:r>
      <w:r>
        <w:rPr>
          <w:rFonts w:hint="eastAsia" w:ascii="Times New Roman" w:hAnsi="Times New Roman" w:cs="方正仿宋_GBK"/>
          <w:spacing w:val="-6"/>
          <w:sz w:val="32"/>
          <w:highlight w:val="none"/>
        </w:rPr>
        <w:t>自觉接受</w:t>
      </w:r>
      <w:r>
        <w:rPr>
          <w:rFonts w:hint="eastAsia" w:ascii="Times New Roman" w:hAnsi="Times New Roman"/>
          <w:spacing w:val="-6"/>
          <w:sz w:val="32"/>
          <w:highlight w:val="none"/>
        </w:rPr>
        <w:t>人大法律监督、政协民主监督</w:t>
      </w:r>
      <w:r>
        <w:rPr>
          <w:rFonts w:hint="eastAsia" w:ascii="Times New Roman" w:hAnsi="Times New Roman" w:cs="方正仿宋_GBK"/>
          <w:spacing w:val="-6"/>
          <w:sz w:val="32"/>
          <w:highlight w:val="none"/>
        </w:rPr>
        <w:t>，不断健全审计监督、统计监督等协作机制</w:t>
      </w:r>
      <w:r>
        <w:rPr>
          <w:rFonts w:hint="eastAsia" w:ascii="Times New Roman" w:hAnsi="Times New Roman"/>
          <w:bCs/>
          <w:spacing w:val="-6"/>
          <w:sz w:val="32"/>
          <w:highlight w:val="none"/>
        </w:rPr>
        <w:t>，</w:t>
      </w:r>
      <w:r>
        <w:rPr>
          <w:rFonts w:hint="eastAsia" w:ascii="Times New Roman" w:hAnsi="Times New Roman" w:cs="方正仿宋_GBK"/>
          <w:spacing w:val="-6"/>
          <w:sz w:val="32"/>
          <w:highlight w:val="none"/>
        </w:rPr>
        <w:t>办理人大代表建议</w:t>
      </w:r>
      <w:r>
        <w:rPr>
          <w:rFonts w:hint="eastAsia" w:ascii="Times New Roman" w:hAnsi="Times New Roman"/>
          <w:spacing w:val="-6"/>
          <w:sz w:val="32"/>
          <w:highlight w:val="none"/>
        </w:rPr>
        <w:t>140</w:t>
      </w:r>
      <w:r>
        <w:rPr>
          <w:rFonts w:hint="eastAsia" w:ascii="Times New Roman" w:hAnsi="Times New Roman" w:cs="方正仿宋_GBK"/>
          <w:spacing w:val="-6"/>
          <w:sz w:val="32"/>
          <w:highlight w:val="none"/>
        </w:rPr>
        <w:t>件、政协委员</w:t>
      </w:r>
      <w:r>
        <w:rPr>
          <w:rFonts w:hint="eastAsia" w:ascii="Times New Roman" w:hAnsi="Times New Roman" w:cs="方正仿宋_GBK"/>
          <w:spacing w:val="-4"/>
          <w:highlight w:val="none"/>
        </w:rPr>
        <w:t>提案</w:t>
      </w:r>
      <w:r>
        <w:rPr>
          <w:rFonts w:hint="eastAsia" w:ascii="Times New Roman" w:hAnsi="Times New Roman"/>
          <w:spacing w:val="-4"/>
          <w:highlight w:val="none"/>
        </w:rPr>
        <w:t>135</w:t>
      </w:r>
      <w:r>
        <w:rPr>
          <w:rFonts w:hint="eastAsia" w:ascii="Times New Roman" w:hAnsi="Times New Roman" w:cs="方正仿宋_GBK"/>
          <w:spacing w:val="-4"/>
          <w:highlight w:val="none"/>
        </w:rPr>
        <w:t>件，办结率均达</w:t>
      </w:r>
      <w:r>
        <w:rPr>
          <w:rFonts w:ascii="Times New Roman" w:hAnsi="Times New Roman"/>
          <w:spacing w:val="-4"/>
          <w:highlight w:val="none"/>
        </w:rPr>
        <w:t>100%</w:t>
      </w:r>
      <w:r>
        <w:rPr>
          <w:rFonts w:hint="eastAsia" w:ascii="Times New Roman" w:hAnsi="Times New Roman" w:cs="方正仿宋_GBK"/>
          <w:spacing w:val="-4"/>
          <w:highlight w:val="none"/>
        </w:rPr>
        <w:t>。</w:t>
      </w:r>
      <w:r>
        <w:rPr>
          <w:rFonts w:hint="eastAsia" w:ascii="Times New Roman" w:hAnsi="Times New Roman" w:eastAsia="方正楷体_GBK" w:cs="方正楷体_GBK"/>
          <w:bCs/>
          <w:spacing w:val="-4"/>
          <w:highlight w:val="none"/>
        </w:rPr>
        <w:t>效能建设持续推进。</w:t>
      </w:r>
      <w:r>
        <w:rPr>
          <w:rFonts w:ascii="Times New Roman" w:hAnsi="Times New Roman"/>
          <w:spacing w:val="-4"/>
          <w:highlight w:val="none"/>
        </w:rPr>
        <w:t>牢固树立过</w:t>
      </w:r>
      <w:r>
        <w:rPr>
          <w:rFonts w:hint="eastAsia" w:ascii="Times New Roman" w:hAnsi="Times New Roman"/>
          <w:spacing w:val="-4"/>
          <w:highlight w:val="none"/>
        </w:rPr>
        <w:t>“</w:t>
      </w:r>
      <w:r>
        <w:rPr>
          <w:rFonts w:ascii="Times New Roman" w:hAnsi="Times New Roman"/>
          <w:spacing w:val="-4"/>
          <w:highlight w:val="none"/>
        </w:rPr>
        <w:t>紧日子</w:t>
      </w:r>
      <w:r>
        <w:rPr>
          <w:rFonts w:hint="eastAsia" w:ascii="Times New Roman" w:hAnsi="Times New Roman"/>
          <w:spacing w:val="-4"/>
          <w:highlight w:val="none"/>
        </w:rPr>
        <w:t>”</w:t>
      </w:r>
      <w:r>
        <w:rPr>
          <w:rFonts w:ascii="Times New Roman" w:hAnsi="Times New Roman"/>
          <w:spacing w:val="-4"/>
          <w:highlight w:val="none"/>
        </w:rPr>
        <w:t>的思想，</w:t>
      </w:r>
      <w:r>
        <w:rPr>
          <w:rFonts w:hint="eastAsia" w:ascii="Times New Roman" w:hAnsi="Times New Roman"/>
          <w:spacing w:val="-4"/>
          <w:highlight w:val="none"/>
        </w:rPr>
        <w:t>全面</w:t>
      </w:r>
      <w:r>
        <w:rPr>
          <w:rFonts w:ascii="Times New Roman" w:hAnsi="Times New Roman"/>
          <w:spacing w:val="-4"/>
          <w:highlight w:val="none"/>
        </w:rPr>
        <w:t>加强</w:t>
      </w:r>
      <w:r>
        <w:rPr>
          <w:rFonts w:hint="eastAsia" w:ascii="Times New Roman" w:hAnsi="Times New Roman"/>
          <w:spacing w:val="-4"/>
          <w:highlight w:val="none"/>
        </w:rPr>
        <w:t>“</w:t>
      </w:r>
      <w:r>
        <w:rPr>
          <w:rFonts w:ascii="Times New Roman" w:hAnsi="Times New Roman"/>
          <w:spacing w:val="-4"/>
          <w:highlight w:val="none"/>
        </w:rPr>
        <w:t>三公</w:t>
      </w:r>
      <w:r>
        <w:rPr>
          <w:rFonts w:hint="eastAsia" w:ascii="Times New Roman" w:hAnsi="Times New Roman"/>
          <w:spacing w:val="-4"/>
          <w:highlight w:val="none"/>
        </w:rPr>
        <w:t>”</w:t>
      </w:r>
      <w:r>
        <w:rPr>
          <w:rFonts w:ascii="Times New Roman" w:hAnsi="Times New Roman"/>
          <w:spacing w:val="-4"/>
          <w:highlight w:val="none"/>
        </w:rPr>
        <w:t>经费管理</w:t>
      </w:r>
      <w:r>
        <w:rPr>
          <w:rFonts w:hint="eastAsia" w:ascii="Times New Roman" w:hAnsi="Times New Roman"/>
          <w:spacing w:val="-4"/>
          <w:highlight w:val="none"/>
        </w:rPr>
        <w:t>，优先保障区委、区政府重大决策部署和“三保”等重要支出</w:t>
      </w:r>
      <w:r>
        <w:rPr>
          <w:rFonts w:ascii="Times New Roman" w:hAnsi="Times New Roman"/>
          <w:spacing w:val="-4"/>
          <w:sz w:val="28"/>
          <w:szCs w:val="28"/>
          <w:highlight w:val="none"/>
        </w:rPr>
        <w:t>。</w:t>
      </w:r>
      <w:r>
        <w:rPr>
          <w:rFonts w:hint="eastAsia" w:ascii="Times New Roman" w:hAnsi="Times New Roman"/>
          <w:spacing w:val="-4"/>
          <w:highlight w:val="none"/>
        </w:rPr>
        <w:t>全面加强政府债务管理，认真贯彻落实中央及省、市债务管控各项要求，隐性债务实现“清零”，债务风险等级保持在绿色区间。加强各类审计项目统筹融合和相互衔接，持续构建集中统一、全面覆盖、权威高效的审计监督体系。严格落实防范惩治统计造假责任，</w:t>
      </w:r>
      <w:r>
        <w:rPr>
          <w:rFonts w:ascii="Times New Roman" w:hAnsi="Times New Roman"/>
          <w:spacing w:val="-4"/>
          <w:highlight w:val="none"/>
        </w:rPr>
        <w:t>全面提升统计督察效能</w:t>
      </w:r>
      <w:r>
        <w:rPr>
          <w:rFonts w:hint="eastAsia" w:ascii="Times New Roman" w:hAnsi="Times New Roman"/>
          <w:spacing w:val="-4"/>
          <w:highlight w:val="none"/>
        </w:rPr>
        <w:t>。构建完善公物仓运行机制，不断提高机关事务工作质效。认真落实为基层减负工作要求，会议数量较上一年减少超10%。</w:t>
      </w:r>
    </w:p>
    <w:p>
      <w:pPr>
        <w:rPr>
          <w:rFonts w:ascii="Times New Roman" w:hAnsi="Times New Roman"/>
          <w:highlight w:val="none"/>
        </w:rPr>
      </w:pPr>
      <w:r>
        <w:rPr>
          <w:rFonts w:hint="eastAsia" w:ascii="Times New Roman" w:hAnsi="Times New Roman"/>
          <w:highlight w:val="none"/>
        </w:rPr>
        <w:t>此外，民宗、人武、侨务、对台、档案、地方志等工作实现新进展，妇女、老龄、残疾人、工会、红十字、慈善、见义勇为、关心下一代等事业取得新成效。</w:t>
      </w:r>
    </w:p>
    <w:p>
      <w:pPr>
        <w:rPr>
          <w:rFonts w:ascii="Times New Roman" w:hAnsi="Times New Roman"/>
          <w:highlight w:val="none"/>
        </w:rPr>
      </w:pPr>
      <w:r>
        <w:rPr>
          <w:rFonts w:ascii="Times New Roman" w:hAnsi="Times New Roman"/>
          <w:highlight w:val="none"/>
        </w:rPr>
        <w:t>各位代表，</w:t>
      </w:r>
      <w:r>
        <w:rPr>
          <w:rFonts w:hint="eastAsia" w:ascii="Times New Roman" w:hAnsi="Times New Roman"/>
          <w:highlight w:val="none"/>
        </w:rPr>
        <w:t>上下同欲者胜，风雨同舟者兴。一年来，面对玄武在主城率先进入转型发展阵痛期、土地资源枯竭这一实际，我们紧紧围绕“新春第一会”确立的产业强区建设目标，全面布局数据、大模型、绿色低碳、跨境电商等产业新赛道，积极强化重大项目招引建设，高能级产业类项目比重显著提升，基本完成战略性新兴产业整体布局，产业强区建设取得实质性突破。</w:t>
      </w:r>
      <w:r>
        <w:rPr>
          <w:rFonts w:hint="eastAsia" w:ascii="Times New Roman" w:hAnsi="Times New Roman" w:eastAsia="方正楷体_GBK"/>
          <w:highlight w:val="none"/>
        </w:rPr>
        <w:t>我们全力以赴招大引强。</w:t>
      </w:r>
      <w:r>
        <w:rPr>
          <w:rFonts w:hint="eastAsia" w:ascii="Times New Roman" w:hAnsi="Times New Roman"/>
          <w:highlight w:val="none"/>
        </w:rPr>
        <w:t>继近年来央企在南京布局的首个产业类二级总部国机数科落地玄武之后，又成功推动绿色低碳领域的“国家队”央企中节能集团二级产业总部大数据公司落地，苏豪云商、东豪物流、科大讯飞、宁德时代、西门子、金拱门等一批重点央企、省属国企、头部民企、知名外企的高端产业项目也相继落户。</w:t>
      </w:r>
      <w:r>
        <w:rPr>
          <w:rFonts w:hint="eastAsia" w:ascii="Times New Roman" w:hAnsi="Times New Roman" w:eastAsia="方正楷体_GBK" w:cs="方正楷体_GBK"/>
          <w:bCs/>
          <w:highlight w:val="none"/>
        </w:rPr>
        <w:t>我们合力打造产业生态平台</w:t>
      </w:r>
      <w:r>
        <w:rPr>
          <w:rFonts w:hint="eastAsia" w:ascii="Times New Roman" w:hAnsi="Times New Roman"/>
          <w:highlight w:val="none"/>
        </w:rPr>
        <w:t>。在数据领域，进一步丰富江苏国际数据港跨境核心能力，全力争取到全省数据市场的重要基础设施江苏数据交易所落地；在大模型领域，依托江苏国际数据港高质量数据集创新设立玄武大模型工厂，全省备案的20款生成式大模型中有3款来自玄武；在绿色低碳领域，与省发改委紧密合作建设江苏绿色低碳服务业集聚区，江苏碳足迹公共服务平台、江苏碳达峰碳中和培训基地落户玄武；在跨境电商领域，以江苏中亚中心为代表的数字贸易取得长足突破，贸易数字化转型基础不断夯实。</w:t>
      </w:r>
      <w:r>
        <w:rPr>
          <w:rFonts w:hint="eastAsia" w:ascii="Times New Roman" w:hAnsi="Times New Roman" w:eastAsia="方正楷体_GBK" w:cs="方正楷体_GBK"/>
          <w:bCs/>
          <w:highlight w:val="none"/>
        </w:rPr>
        <w:t>我们大力汇聚要素资源。</w:t>
      </w:r>
      <w:r>
        <w:rPr>
          <w:rFonts w:hint="eastAsia" w:ascii="Times New Roman" w:hAnsi="Times New Roman"/>
          <w:highlight w:val="none"/>
        </w:rPr>
        <w:t>成功引入数字中国首批40朵国家行业云中3朵云、数量位居全国城区前列，其中，“农机云”已接入超100万台农机数据，致力于打造全球最大的农机物联网；“机械装备行业云”已</w:t>
      </w:r>
      <w:r>
        <w:rPr>
          <w:rFonts w:ascii="Times New Roman" w:hAnsi="Times New Roman"/>
          <w:highlight w:val="none"/>
        </w:rPr>
        <w:t>正式发布</w:t>
      </w:r>
      <w:r>
        <w:rPr>
          <w:rFonts w:hint="eastAsia" w:ascii="Times New Roman" w:hAnsi="Times New Roman"/>
          <w:highlight w:val="none"/>
        </w:rPr>
        <w:t>，正在</w:t>
      </w:r>
      <w:r>
        <w:rPr>
          <w:rFonts w:ascii="Times New Roman" w:hAnsi="Times New Roman"/>
          <w:highlight w:val="none"/>
        </w:rPr>
        <w:t>搭建国家级产业链协同平台</w:t>
      </w:r>
      <w:r>
        <w:rPr>
          <w:rFonts w:hint="eastAsia" w:ascii="Times New Roman" w:hAnsi="Times New Roman"/>
          <w:highlight w:val="none"/>
        </w:rPr>
        <w:t>；“零碳云”将为所有央企提供绿色账户，通过数字化技术赋能碳达峰碳中和目标实现。</w:t>
      </w:r>
      <w:r>
        <w:rPr>
          <w:rFonts w:hint="eastAsia" w:ascii="Times New Roman" w:hAnsi="Times New Roman" w:eastAsia="方正楷体_GBK" w:cs="方正楷体_GBK"/>
          <w:bCs/>
          <w:highlight w:val="none"/>
        </w:rPr>
        <w:t>我们还努力解决民生问题。</w:t>
      </w:r>
      <w:r>
        <w:rPr>
          <w:rFonts w:hint="eastAsia" w:ascii="Times New Roman" w:hAnsi="Times New Roman"/>
          <w:highlight w:val="none"/>
        </w:rPr>
        <w:t>近八成的本级财力投入到民生事业，健全完善就业、医疗、养老、托育、救助等社会公共服务体系，困扰居民多年的锁金六村危旧房搬迁整治基本完成，创新推出“高校载体+属地师资”小学办学模式助力东南大学等高校引进高层次人才，</w:t>
      </w:r>
      <w:r>
        <w:rPr>
          <w:rFonts w:hint="eastAsia" w:ascii="Times New Roman" w:hAnsi="Times New Roman" w:cs="方正仿宋_GBK"/>
          <w:highlight w:val="none"/>
        </w:rPr>
        <w:t>“课后服务</w:t>
      </w:r>
      <w:r>
        <w:rPr>
          <w:rFonts w:ascii="Times New Roman" w:hAnsi="Times New Roman"/>
          <w:highlight w:val="none"/>
        </w:rPr>
        <w:t>15</w:t>
      </w:r>
      <w:r>
        <w:rPr>
          <w:rFonts w:hint="eastAsia" w:ascii="Times New Roman" w:hAnsi="Times New Roman" w:cs="方正仿宋_GBK"/>
          <w:highlight w:val="none"/>
        </w:rPr>
        <w:t>分钟教育圈”入选中国基础教育典型案例并在全国推广</w:t>
      </w:r>
      <w:r>
        <w:rPr>
          <w:rFonts w:hint="eastAsia" w:ascii="Times New Roman" w:hAnsi="Times New Roman"/>
          <w:highlight w:val="none"/>
        </w:rPr>
        <w:t>。这些</w:t>
      </w:r>
      <w:r>
        <w:rPr>
          <w:rFonts w:ascii="Times New Roman" w:hAnsi="Times New Roman"/>
          <w:highlight w:val="none"/>
        </w:rPr>
        <w:t>成绩的取得</w:t>
      </w:r>
      <w:r>
        <w:rPr>
          <w:rFonts w:hint="eastAsia" w:ascii="Times New Roman" w:hAnsi="Times New Roman"/>
          <w:highlight w:val="none"/>
        </w:rPr>
        <w:t>来之不易</w:t>
      </w:r>
      <w:r>
        <w:rPr>
          <w:rFonts w:ascii="Times New Roman" w:hAnsi="Times New Roman"/>
          <w:highlight w:val="none"/>
        </w:rPr>
        <w:t>，是市委、市政府和区委坚强领导的结果，是区人大、区政协监督支持的结果，是全区广大干部群众团结</w:t>
      </w:r>
      <w:r>
        <w:rPr>
          <w:rFonts w:hint="eastAsia" w:ascii="Times New Roman" w:hAnsi="Times New Roman"/>
          <w:highlight w:val="none"/>
        </w:rPr>
        <w:t>拼搏</w:t>
      </w:r>
      <w:r>
        <w:rPr>
          <w:rFonts w:ascii="Times New Roman" w:hAnsi="Times New Roman"/>
          <w:highlight w:val="none"/>
        </w:rPr>
        <w:t>的结果。在此，我代表</w:t>
      </w:r>
      <w:r>
        <w:rPr>
          <w:rFonts w:hint="eastAsia" w:ascii="Times New Roman" w:hAnsi="Times New Roman"/>
          <w:highlight w:val="none"/>
        </w:rPr>
        <w:t>玄武</w:t>
      </w:r>
      <w:r>
        <w:rPr>
          <w:rFonts w:ascii="Times New Roman" w:hAnsi="Times New Roman"/>
          <w:highlight w:val="none"/>
        </w:rPr>
        <w:t>区人民政府，向全区人民，向各位人大代表、政协委员，向各民主党派、工商联、无党派人士、人民团体，向驻区部队官兵、公安干警和消防救援</w:t>
      </w:r>
      <w:r>
        <w:rPr>
          <w:rFonts w:hint="eastAsia" w:ascii="Times New Roman" w:hAnsi="Times New Roman"/>
          <w:highlight w:val="none"/>
        </w:rPr>
        <w:t>人员</w:t>
      </w:r>
      <w:r>
        <w:rPr>
          <w:rFonts w:ascii="Times New Roman" w:hAnsi="Times New Roman"/>
          <w:highlight w:val="none"/>
        </w:rPr>
        <w:t>，向所有关心支持玄武发展的各界人士，表示衷心的感谢</w:t>
      </w:r>
      <w:r>
        <w:rPr>
          <w:rFonts w:hint="eastAsia" w:ascii="Times New Roman" w:hAnsi="Times New Roman"/>
          <w:highlight w:val="none"/>
        </w:rPr>
        <w:t>并致以崇高的敬意</w:t>
      </w:r>
      <w:r>
        <w:rPr>
          <w:rFonts w:ascii="Times New Roman" w:hAnsi="Times New Roman"/>
          <w:highlight w:val="none"/>
        </w:rPr>
        <w:t>！</w:t>
      </w:r>
    </w:p>
    <w:p>
      <w:pPr>
        <w:rPr>
          <w:rFonts w:ascii="Times New Roman" w:hAnsi="Times New Roman"/>
          <w:highlight w:val="none"/>
        </w:rPr>
      </w:pPr>
      <w:r>
        <w:rPr>
          <w:rFonts w:ascii="Times New Roman" w:hAnsi="Times New Roman"/>
          <w:highlight w:val="none"/>
        </w:rPr>
        <w:t>在看到成绩的同时，我们也清醒地认识到，全区经济社会发展还面临一些困难和问题，主要是：经济</w:t>
      </w:r>
      <w:r>
        <w:rPr>
          <w:rFonts w:hint="eastAsia" w:ascii="Times New Roman" w:hAnsi="Times New Roman"/>
          <w:highlight w:val="none"/>
        </w:rPr>
        <w:t>运行总体平稳，但持续稳定</w:t>
      </w:r>
      <w:r>
        <w:rPr>
          <w:rFonts w:ascii="Times New Roman" w:hAnsi="Times New Roman"/>
          <w:highlight w:val="none"/>
        </w:rPr>
        <w:t>增长</w:t>
      </w:r>
      <w:r>
        <w:rPr>
          <w:rFonts w:hint="eastAsia" w:ascii="Times New Roman" w:hAnsi="Times New Roman"/>
          <w:highlight w:val="none"/>
        </w:rPr>
        <w:t>还</w:t>
      </w:r>
      <w:r>
        <w:rPr>
          <w:rFonts w:ascii="Times New Roman" w:hAnsi="Times New Roman"/>
          <w:highlight w:val="none"/>
        </w:rPr>
        <w:t>面临</w:t>
      </w:r>
      <w:r>
        <w:rPr>
          <w:rFonts w:hint="eastAsia" w:ascii="Times New Roman" w:hAnsi="Times New Roman"/>
          <w:highlight w:val="none"/>
        </w:rPr>
        <w:t>较大</w:t>
      </w:r>
      <w:r>
        <w:rPr>
          <w:rFonts w:ascii="Times New Roman" w:hAnsi="Times New Roman"/>
          <w:highlight w:val="none"/>
        </w:rPr>
        <w:t>压力；</w:t>
      </w:r>
      <w:r>
        <w:rPr>
          <w:rFonts w:hint="eastAsia" w:ascii="Times New Roman" w:hAnsi="Times New Roman"/>
          <w:highlight w:val="none"/>
        </w:rPr>
        <w:t>战略性新兴产业集聚形成一定规模，但内驱式发展的产业生态尚未形成</w:t>
      </w:r>
      <w:r>
        <w:rPr>
          <w:rFonts w:ascii="Times New Roman" w:hAnsi="Times New Roman"/>
          <w:highlight w:val="none"/>
        </w:rPr>
        <w:t>；民生领域</w:t>
      </w:r>
      <w:r>
        <w:rPr>
          <w:rFonts w:hint="eastAsia" w:ascii="Times New Roman" w:hAnsi="Times New Roman"/>
          <w:highlight w:val="none"/>
        </w:rPr>
        <w:t>投入不断加大</w:t>
      </w:r>
      <w:r>
        <w:rPr>
          <w:rFonts w:ascii="Times New Roman" w:hAnsi="Times New Roman"/>
          <w:highlight w:val="none"/>
        </w:rPr>
        <w:t>，</w:t>
      </w:r>
      <w:r>
        <w:rPr>
          <w:rFonts w:hint="eastAsia" w:ascii="Times New Roman" w:hAnsi="Times New Roman"/>
          <w:highlight w:val="none"/>
        </w:rPr>
        <w:t>但</w:t>
      </w:r>
      <w:r>
        <w:rPr>
          <w:rFonts w:ascii="Times New Roman" w:hAnsi="Times New Roman"/>
          <w:highlight w:val="none"/>
        </w:rPr>
        <w:t>公共服务供给水平与群众期盼还有差距；</w:t>
      </w:r>
      <w:r>
        <w:rPr>
          <w:rFonts w:hint="eastAsia" w:ascii="Times New Roman" w:hAnsi="Times New Roman"/>
          <w:highlight w:val="none"/>
        </w:rPr>
        <w:t>数字</w:t>
      </w:r>
      <w:r>
        <w:rPr>
          <w:rFonts w:ascii="Times New Roman" w:hAnsi="Times New Roman"/>
          <w:highlight w:val="none"/>
        </w:rPr>
        <w:t>政府</w:t>
      </w:r>
      <w:r>
        <w:rPr>
          <w:rFonts w:hint="eastAsia" w:ascii="Times New Roman" w:hAnsi="Times New Roman"/>
          <w:highlight w:val="none"/>
        </w:rPr>
        <w:t>建设积极推进，但数字化治理效能仍需提高</w:t>
      </w:r>
      <w:r>
        <w:rPr>
          <w:rFonts w:ascii="Times New Roman" w:hAnsi="Times New Roman"/>
          <w:highlight w:val="none"/>
        </w:rPr>
        <w:t>。对此，我们将采取有效措施，切实加以解决。</w:t>
      </w:r>
    </w:p>
    <w:p>
      <w:pPr>
        <w:rPr>
          <w:rFonts w:ascii="Times New Roman" w:hAnsi="Times New Roman"/>
          <w:highlight w:val="none"/>
        </w:rPr>
      </w:pPr>
    </w:p>
    <w:p>
      <w:pPr>
        <w:adjustRightInd w:val="0"/>
        <w:snapToGrid w:val="0"/>
        <w:ind w:firstLine="0" w:firstLineChars="0"/>
        <w:jc w:val="center"/>
        <w:rPr>
          <w:rFonts w:ascii="Times New Roman" w:hAnsi="Times New Roman" w:eastAsia="方正黑体_GBK"/>
          <w:bCs/>
          <w:snapToGrid w:val="0"/>
          <w:kern w:val="0"/>
          <w:highlight w:val="none"/>
        </w:rPr>
      </w:pPr>
      <w:r>
        <w:rPr>
          <w:rFonts w:ascii="Times New Roman" w:hAnsi="Times New Roman" w:eastAsia="方正黑体_GBK"/>
          <w:bCs/>
          <w:snapToGrid w:val="0"/>
          <w:kern w:val="0"/>
          <w:highlight w:val="none"/>
        </w:rPr>
        <w:t>二、202</w:t>
      </w:r>
      <w:r>
        <w:rPr>
          <w:rFonts w:hint="eastAsia" w:ascii="Times New Roman" w:hAnsi="Times New Roman" w:eastAsia="方正黑体_GBK"/>
          <w:bCs/>
          <w:snapToGrid w:val="0"/>
          <w:kern w:val="0"/>
          <w:highlight w:val="none"/>
        </w:rPr>
        <w:t>5</w:t>
      </w:r>
      <w:r>
        <w:rPr>
          <w:rFonts w:ascii="Times New Roman" w:hAnsi="Times New Roman" w:eastAsia="方正黑体_GBK"/>
          <w:bCs/>
          <w:snapToGrid w:val="0"/>
          <w:kern w:val="0"/>
          <w:highlight w:val="none"/>
        </w:rPr>
        <w:t>年工作总体要求</w:t>
      </w:r>
    </w:p>
    <w:p>
      <w:pPr>
        <w:adjustRightInd w:val="0"/>
        <w:snapToGrid w:val="0"/>
        <w:rPr>
          <w:rFonts w:ascii="Times New Roman" w:hAnsi="Times New Roman" w:eastAsia="方正黑体_GBK"/>
          <w:bCs/>
          <w:snapToGrid w:val="0"/>
          <w:kern w:val="0"/>
          <w:highlight w:val="none"/>
        </w:rPr>
      </w:pPr>
    </w:p>
    <w:p>
      <w:pPr>
        <w:rPr>
          <w:rFonts w:ascii="Times New Roman" w:hAnsi="Times New Roman"/>
          <w:highlight w:val="none"/>
        </w:rPr>
      </w:pPr>
      <w:r>
        <w:rPr>
          <w:rFonts w:hint="eastAsia" w:ascii="Times New Roman" w:hAnsi="Times New Roman"/>
          <w:highlight w:val="none"/>
        </w:rPr>
        <w:t>2025年是“十四五”规划的收官之年。尽管当前外部环境变化带来的不利影响加深，国内经济运行仍面临不少困难和挑战，但我国经济基础稳、优势多、韧性强、潜能大，长期向好的支撑条件和基本趋势没有变，特别是玄武近年来产业转型升级步伐明显加快，高质量发展势头强劲，</w:t>
      </w:r>
      <w:r>
        <w:rPr>
          <w:rFonts w:hint="eastAsia" w:ascii="Times New Roman" w:hAnsi="Times New Roman"/>
          <w:spacing w:val="-6"/>
          <w:sz w:val="32"/>
          <w:highlight w:val="none"/>
        </w:rPr>
        <w:t>正处于厚积薄发、大有可为的战略窗口期。新的一年，全区上下要坚定信心、顶住压力，干字当头、实字托底，以更加振奋的精神、更加饱满的状态、更加顽强的毅力，抓住一切有利时机，利用一切有利条件，撸起袖子加</w:t>
      </w:r>
      <w:r>
        <w:rPr>
          <w:rFonts w:hint="eastAsia" w:ascii="Times New Roman" w:hAnsi="Times New Roman"/>
          <w:spacing w:val="-6"/>
          <w:highlight w:val="none"/>
        </w:rPr>
        <w:t>油</w:t>
      </w:r>
      <w:r>
        <w:rPr>
          <w:rFonts w:hint="eastAsia" w:ascii="Times New Roman" w:hAnsi="Times New Roman"/>
          <w:highlight w:val="none"/>
        </w:rPr>
        <w:t>干，认准目标全力拼，在“危”与“机”的动态转化中积极争取主动，在“稳”与“进”的互促并行中全力打开新局，努力以自身工作的确定性应对形势变化的不确定性。</w:t>
      </w:r>
    </w:p>
    <w:p>
      <w:pPr>
        <w:rPr>
          <w:rFonts w:ascii="Times New Roman" w:hAnsi="Times New Roman" w:eastAsia="方正黑体_GBK"/>
          <w:highlight w:val="none"/>
        </w:rPr>
      </w:pPr>
      <w:r>
        <w:rPr>
          <w:rFonts w:hint="eastAsia" w:ascii="Times New Roman" w:hAnsi="Times New Roman"/>
          <w:highlight w:val="none"/>
        </w:rPr>
        <w:t>今年政府工作的总体思路是：</w:t>
      </w:r>
      <w:r>
        <w:rPr>
          <w:rFonts w:hint="eastAsia" w:ascii="Times New Roman" w:hAnsi="Times New Roman" w:eastAsia="方正黑体_GBK"/>
          <w:highlight w:val="none"/>
        </w:rPr>
        <w:t>坚持以习近平新时代中国特色社会主义思想为指导，全面贯彻党的二十大和二十届二中、三中全会精神，深入落实习近平总书记对江苏工作重要讲话精神，坚持稳中求进工作总基调，完整准确全面贯彻新发展理念，服务构建新发展格局，扎实推动高质量发展，进一步全面深化改革，扩大高水平对外开放，更好统筹发展和安全，建设产业强区、推动动能再造、加快转型步伐，高质量完成“十四五”规划目标任务，为实现“十五五”良好开局打牢基础。</w:t>
      </w:r>
    </w:p>
    <w:p>
      <w:pPr>
        <w:rPr>
          <w:rFonts w:ascii="Times New Roman" w:hAnsi="Times New Roman"/>
          <w:highlight w:val="none"/>
        </w:rPr>
      </w:pPr>
      <w:r>
        <w:rPr>
          <w:rFonts w:hint="eastAsia" w:ascii="Times New Roman" w:hAnsi="Times New Roman"/>
          <w:snapToGrid w:val="0"/>
          <w:kern w:val="0"/>
          <w:highlight w:val="none"/>
        </w:rPr>
        <w:t>综合考虑各方面因素，</w:t>
      </w:r>
      <w:r>
        <w:rPr>
          <w:rFonts w:ascii="Times New Roman" w:hAnsi="Times New Roman"/>
          <w:highlight w:val="none"/>
        </w:rPr>
        <w:t>今年经济社会发展的主要预期目标是：地区生产总值增长</w:t>
      </w:r>
      <w:r>
        <w:rPr>
          <w:rFonts w:hint="eastAsia" w:ascii="Times New Roman" w:hAnsi="Times New Roman"/>
          <w:highlight w:val="none"/>
        </w:rPr>
        <w:t>5</w:t>
      </w:r>
      <w:r>
        <w:rPr>
          <w:rFonts w:ascii="Times New Roman" w:hAnsi="Times New Roman"/>
          <w:highlight w:val="none"/>
        </w:rPr>
        <w:t>%，一般公共预算收入</w:t>
      </w:r>
      <w:r>
        <w:rPr>
          <w:rFonts w:hint="eastAsia" w:ascii="Times New Roman" w:hAnsi="Times New Roman"/>
          <w:highlight w:val="none"/>
        </w:rPr>
        <w:t>力争正</w:t>
      </w:r>
      <w:r>
        <w:rPr>
          <w:rFonts w:ascii="Times New Roman" w:hAnsi="Times New Roman"/>
          <w:highlight w:val="none"/>
        </w:rPr>
        <w:t>增长，全社会固定资产投资</w:t>
      </w:r>
      <w:r>
        <w:rPr>
          <w:rFonts w:hint="eastAsia" w:ascii="Times New Roman" w:hAnsi="Times New Roman"/>
          <w:highlight w:val="none"/>
        </w:rPr>
        <w:t>收窄降幅、力争正</w:t>
      </w:r>
      <w:r>
        <w:rPr>
          <w:rFonts w:ascii="Times New Roman" w:hAnsi="Times New Roman"/>
          <w:highlight w:val="none"/>
        </w:rPr>
        <w:t>增长，社会消费品零售总额增长</w:t>
      </w:r>
      <w:r>
        <w:rPr>
          <w:rFonts w:hint="eastAsia" w:ascii="Times New Roman" w:hAnsi="Times New Roman"/>
          <w:highlight w:val="none"/>
        </w:rPr>
        <w:t>5</w:t>
      </w:r>
      <w:r>
        <w:rPr>
          <w:rFonts w:ascii="Times New Roman" w:hAnsi="Times New Roman"/>
          <w:highlight w:val="none"/>
        </w:rPr>
        <w:t>%左右，外贸进出口总额</w:t>
      </w:r>
      <w:r>
        <w:rPr>
          <w:rFonts w:hint="eastAsia" w:ascii="Times New Roman" w:hAnsi="Times New Roman"/>
          <w:highlight w:val="none"/>
        </w:rPr>
        <w:t>、实际利用外资稳中提质</w:t>
      </w:r>
      <w:r>
        <w:rPr>
          <w:rFonts w:ascii="Times New Roman" w:hAnsi="Times New Roman"/>
          <w:highlight w:val="none"/>
        </w:rPr>
        <w:t>，居民人均可支配收入与经济</w:t>
      </w:r>
      <w:r>
        <w:rPr>
          <w:rFonts w:hint="eastAsia" w:ascii="Times New Roman" w:hAnsi="Times New Roman"/>
          <w:highlight w:val="none"/>
        </w:rPr>
        <w:t>增长</w:t>
      </w:r>
      <w:r>
        <w:rPr>
          <w:rFonts w:ascii="Times New Roman" w:hAnsi="Times New Roman"/>
          <w:highlight w:val="none"/>
        </w:rPr>
        <w:t>基本同步。</w:t>
      </w:r>
    </w:p>
    <w:p>
      <w:pPr>
        <w:adjustRightInd w:val="0"/>
        <w:snapToGrid w:val="0"/>
        <w:rPr>
          <w:rFonts w:ascii="Times New Roman" w:hAnsi="Times New Roman" w:eastAsia="方正黑体_GBK"/>
          <w:bCs/>
          <w:snapToGrid w:val="0"/>
          <w:kern w:val="0"/>
          <w:highlight w:val="none"/>
        </w:rPr>
      </w:pPr>
    </w:p>
    <w:p>
      <w:pPr>
        <w:adjustRightInd w:val="0"/>
        <w:snapToGrid w:val="0"/>
        <w:ind w:firstLine="0" w:firstLineChars="0"/>
        <w:jc w:val="center"/>
        <w:rPr>
          <w:rFonts w:ascii="Times New Roman" w:hAnsi="Times New Roman" w:eastAsia="方正黑体_GBK"/>
          <w:bCs/>
          <w:snapToGrid w:val="0"/>
          <w:kern w:val="0"/>
          <w:highlight w:val="none"/>
        </w:rPr>
      </w:pPr>
      <w:r>
        <w:rPr>
          <w:rFonts w:hint="eastAsia" w:ascii="Times New Roman" w:hAnsi="Times New Roman" w:eastAsia="方正黑体_GBK"/>
          <w:bCs/>
          <w:snapToGrid w:val="0"/>
          <w:kern w:val="0"/>
          <w:highlight w:val="none"/>
        </w:rPr>
        <w:t>三</w:t>
      </w:r>
      <w:r>
        <w:rPr>
          <w:rFonts w:ascii="Times New Roman" w:hAnsi="Times New Roman" w:eastAsia="方正黑体_GBK"/>
          <w:bCs/>
          <w:snapToGrid w:val="0"/>
          <w:kern w:val="0"/>
          <w:highlight w:val="none"/>
        </w:rPr>
        <w:t>、202</w:t>
      </w:r>
      <w:r>
        <w:rPr>
          <w:rFonts w:hint="eastAsia" w:ascii="Times New Roman" w:hAnsi="Times New Roman" w:eastAsia="方正黑体_GBK"/>
          <w:bCs/>
          <w:snapToGrid w:val="0"/>
          <w:kern w:val="0"/>
          <w:highlight w:val="none"/>
        </w:rPr>
        <w:t>5</w:t>
      </w:r>
      <w:r>
        <w:rPr>
          <w:rFonts w:ascii="Times New Roman" w:hAnsi="Times New Roman" w:eastAsia="方正黑体_GBK"/>
          <w:bCs/>
          <w:snapToGrid w:val="0"/>
          <w:kern w:val="0"/>
          <w:highlight w:val="none"/>
        </w:rPr>
        <w:t>年</w:t>
      </w:r>
      <w:r>
        <w:rPr>
          <w:rFonts w:hint="eastAsia" w:ascii="Times New Roman" w:hAnsi="Times New Roman" w:eastAsia="方正黑体_GBK"/>
          <w:bCs/>
          <w:snapToGrid w:val="0"/>
          <w:kern w:val="0"/>
          <w:highlight w:val="none"/>
        </w:rPr>
        <w:t>主要</w:t>
      </w:r>
      <w:r>
        <w:rPr>
          <w:rFonts w:ascii="Times New Roman" w:hAnsi="Times New Roman" w:eastAsia="方正黑体_GBK"/>
          <w:bCs/>
          <w:snapToGrid w:val="0"/>
          <w:kern w:val="0"/>
          <w:highlight w:val="none"/>
        </w:rPr>
        <w:t>工作</w:t>
      </w:r>
      <w:r>
        <w:rPr>
          <w:rFonts w:hint="eastAsia" w:ascii="Times New Roman" w:hAnsi="Times New Roman" w:eastAsia="方正黑体_GBK"/>
          <w:bCs/>
          <w:snapToGrid w:val="0"/>
          <w:kern w:val="0"/>
          <w:highlight w:val="none"/>
        </w:rPr>
        <w:t>安排</w:t>
      </w:r>
    </w:p>
    <w:p>
      <w:pPr>
        <w:adjustRightInd w:val="0"/>
        <w:snapToGrid w:val="0"/>
        <w:rPr>
          <w:rFonts w:ascii="Times New Roman" w:hAnsi="Times New Roman" w:eastAsia="方正黑体_GBK"/>
          <w:bCs/>
          <w:snapToGrid w:val="0"/>
          <w:kern w:val="0"/>
          <w:highlight w:val="none"/>
        </w:rPr>
      </w:pPr>
    </w:p>
    <w:p>
      <w:pPr>
        <w:rPr>
          <w:rFonts w:ascii="Times New Roman" w:hAnsi="Times New Roman" w:cs="仿宋_GB2312"/>
          <w:highlight w:val="none"/>
        </w:rPr>
      </w:pPr>
      <w:r>
        <w:rPr>
          <w:rFonts w:hint="eastAsia" w:ascii="Times New Roman" w:hAnsi="Times New Roman" w:cs="仿宋_GB2312"/>
          <w:highlight w:val="none"/>
        </w:rPr>
        <w:t>围绕上述目标任务，我们将重点抓好以下五个方面工作：</w:t>
      </w:r>
    </w:p>
    <w:p>
      <w:pPr>
        <w:rPr>
          <w:rFonts w:ascii="Times New Roman" w:hAnsi="Times New Roman" w:eastAsia="方正黑体_GBK" w:cs="仿宋_GB2312"/>
          <w:highlight w:val="none"/>
        </w:rPr>
      </w:pPr>
      <w:r>
        <w:rPr>
          <w:rFonts w:hint="eastAsia" w:ascii="Times New Roman" w:hAnsi="Times New Roman" w:eastAsia="方正黑体_GBK" w:cs="仿宋_GB2312"/>
          <w:highlight w:val="none"/>
        </w:rPr>
        <w:t>（一）加力推动经济向好、产业向新</w:t>
      </w:r>
    </w:p>
    <w:p>
      <w:pPr>
        <w:rPr>
          <w:rFonts w:ascii="Times New Roman" w:hAnsi="Times New Roman"/>
          <w:highlight w:val="none"/>
        </w:rPr>
      </w:pPr>
      <w:r>
        <w:rPr>
          <w:rFonts w:hint="eastAsia" w:ascii="Times New Roman" w:hAnsi="Times New Roman" w:eastAsia="方正楷体_GBK" w:cs="方正楷体_GBK"/>
          <w:bCs/>
          <w:highlight w:val="none"/>
        </w:rPr>
        <w:t>增强项目带动力。</w:t>
      </w:r>
      <w:r>
        <w:rPr>
          <w:rFonts w:hint="eastAsia" w:ascii="Times New Roman" w:hAnsi="Times New Roman"/>
          <w:highlight w:val="none"/>
        </w:rPr>
        <w:t>统筹抓好111个区级以上重大项目建设，总投资854.2亿元，全年计划投资140.4亿元，重点推动东豪物流集团总部等53个新建项目开工，扎实推进德基三期等18个</w:t>
      </w:r>
      <w:r>
        <w:rPr>
          <w:rFonts w:ascii="Times New Roman" w:hAnsi="Times New Roman"/>
          <w:highlight w:val="none"/>
        </w:rPr>
        <w:t>续建</w:t>
      </w:r>
      <w:r>
        <w:rPr>
          <w:rFonts w:hint="eastAsia" w:ascii="Times New Roman" w:hAnsi="Times New Roman"/>
          <w:highlight w:val="none"/>
        </w:rPr>
        <w:t>项目建设，确保江苏数据产业园等43个项目顺利竣工，加快形成实物工作量。持续释放“大抓招商”强烈信号，积极运用“一把手”外出招商、产业链项目招引等工作机制，加力推动与</w:t>
      </w:r>
      <w:r>
        <w:rPr>
          <w:rFonts w:ascii="Times New Roman" w:hAnsi="Times New Roman"/>
          <w:highlight w:val="none"/>
        </w:rPr>
        <w:t>宁德时代</w:t>
      </w:r>
      <w:r>
        <w:rPr>
          <w:rFonts w:hint="eastAsia" w:ascii="Times New Roman" w:hAnsi="Times New Roman"/>
          <w:highlight w:val="none"/>
        </w:rPr>
        <w:t>、</w:t>
      </w:r>
      <w:r>
        <w:rPr>
          <w:rFonts w:ascii="Times New Roman" w:hAnsi="Times New Roman"/>
          <w:highlight w:val="none"/>
        </w:rPr>
        <w:t>科大讯飞</w:t>
      </w:r>
      <w:r>
        <w:rPr>
          <w:rFonts w:hint="eastAsia" w:ascii="Times New Roman" w:hAnsi="Times New Roman"/>
          <w:highlight w:val="none"/>
        </w:rPr>
        <w:t>、</w:t>
      </w:r>
      <w:r>
        <w:rPr>
          <w:rFonts w:ascii="Times New Roman" w:hAnsi="Times New Roman"/>
          <w:highlight w:val="none"/>
        </w:rPr>
        <w:t>西门子</w:t>
      </w:r>
      <w:r>
        <w:rPr>
          <w:rFonts w:hint="eastAsia" w:ascii="Times New Roman" w:hAnsi="Times New Roman"/>
          <w:highlight w:val="none"/>
        </w:rPr>
        <w:t>等头部企业合作的一批</w:t>
      </w:r>
      <w:r>
        <w:rPr>
          <w:rFonts w:ascii="Times New Roman" w:hAnsi="Times New Roman"/>
          <w:highlight w:val="none"/>
        </w:rPr>
        <w:t>生态</w:t>
      </w:r>
      <w:r>
        <w:rPr>
          <w:rFonts w:hint="eastAsia" w:ascii="Times New Roman" w:hAnsi="Times New Roman"/>
          <w:highlight w:val="none"/>
        </w:rPr>
        <w:t>项目落地</w:t>
      </w:r>
      <w:r>
        <w:rPr>
          <w:rFonts w:ascii="Times New Roman" w:hAnsi="Times New Roman"/>
          <w:highlight w:val="none"/>
        </w:rPr>
        <w:t>，</w:t>
      </w:r>
      <w:r>
        <w:rPr>
          <w:rFonts w:hint="eastAsia" w:ascii="Times New Roman" w:hAnsi="Times New Roman"/>
          <w:highlight w:val="none"/>
        </w:rPr>
        <w:t>招引高能级项目5个以上，全年实际投资总额超80亿元。认真做好项目谋划，精准把握国家一揽子增量政策机遇，聚焦“两重”</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9</w:t>
      </w:r>
      <w:r>
        <w:rPr>
          <w:rFonts w:ascii="Times New Roman" w:hAnsi="Times New Roman"/>
          <w:snapToGrid w:val="0"/>
          <w:kern w:val="0"/>
          <w:highlight w:val="none"/>
          <w:vertAlign w:val="superscript"/>
        </w:rPr>
        <w:t>]</w:t>
      </w:r>
      <w:r>
        <w:rPr>
          <w:rFonts w:hint="eastAsia" w:ascii="Times New Roman" w:hAnsi="Times New Roman"/>
          <w:highlight w:val="none"/>
        </w:rPr>
        <w:t>“两新”</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10</w:t>
      </w:r>
      <w:r>
        <w:rPr>
          <w:rFonts w:ascii="Times New Roman" w:hAnsi="Times New Roman"/>
          <w:snapToGrid w:val="0"/>
          <w:kern w:val="0"/>
          <w:highlight w:val="none"/>
          <w:vertAlign w:val="superscript"/>
        </w:rPr>
        <w:t>]</w:t>
      </w:r>
      <w:r>
        <w:rPr>
          <w:rFonts w:hint="eastAsia" w:ascii="Times New Roman" w:hAnsi="Times New Roman"/>
          <w:highlight w:val="none"/>
        </w:rPr>
        <w:t>布局一批强牵引、利长远的重大项目，全力做好超长期特别国债、地方政府专项债券等重点项目申报，积极争取政策性开发性金融工具等要素支持，切实将政策红利转化为发展实效。进一步加强与融通集团的对接合作，积极做好第六十研究所以及北京东路沿线等军队移交资产盘活利用，招引集聚一批优质项目，推动新兴领域军地联动发展。</w:t>
      </w:r>
    </w:p>
    <w:p>
      <w:pPr>
        <w:adjustRightInd w:val="0"/>
        <w:snapToGrid w:val="0"/>
        <w:rPr>
          <w:rFonts w:ascii="Times New Roman" w:hAnsi="Times New Roman"/>
          <w:highlight w:val="none"/>
        </w:rPr>
      </w:pPr>
      <w:r>
        <w:rPr>
          <w:rFonts w:hint="eastAsia" w:ascii="Times New Roman" w:hAnsi="Times New Roman" w:eastAsia="方正楷体_GBK" w:cs="方正楷体_GBK"/>
          <w:bCs/>
          <w:highlight w:val="none"/>
        </w:rPr>
        <w:t>凝聚产业向心力。</w:t>
      </w:r>
      <w:r>
        <w:rPr>
          <w:rFonts w:hint="eastAsia" w:ascii="Times New Roman" w:hAnsi="Times New Roman"/>
          <w:highlight w:val="none"/>
        </w:rPr>
        <w:t>坚定不移实施产业强区战略，升级完善“1+2+2”现代化都市型产业体系，加快推进战略性新兴产业聚集成势，建设东部现代服务业中心核心区。在推动软件信息业集聚发展的基础上，更好发挥江苏数据交易所落地运营示范效应，深入推进江苏国际数据港建设，全力推动全国首个电池数字护照云平台、国际数据治理一体化平台、江苏大模型备案合规服务中心等核心平台建设，加快推动智能制造、工业数字化、产品数字护照等重点应用场景落地，建成全省最具代表性的数据和大模型产业园区。在发挥绿色资源本底的基础上，以江苏绿色低碳服务业集聚区建设为引领，加快构建“两平台一基地一市场”，推动中节能大数据总部建设，落地全国清洁生产信息化平台、天工实验室等核心平台，高标准打造“GDC国际数碳谷”。在巩固传统外贸产业优势的基础上，深入推进南京跨境电商（玄武）产业园建设，充分发挥星河WORLD、南京电子城等28万平方米配套载体作用，</w:t>
      </w:r>
      <w:r>
        <w:rPr>
          <w:rFonts w:ascii="Times New Roman" w:hAnsi="Times New Roman"/>
          <w:highlight w:val="none"/>
        </w:rPr>
        <w:t>进一步提升与海关、税务、口岸等部门的协作联动水平，</w:t>
      </w:r>
      <w:r>
        <w:rPr>
          <w:rFonts w:hint="eastAsia" w:ascii="Times New Roman" w:hAnsi="Times New Roman"/>
          <w:highlight w:val="none"/>
        </w:rPr>
        <w:t>吸引集聚</w:t>
      </w:r>
      <w:r>
        <w:rPr>
          <w:rFonts w:ascii="Times New Roman" w:hAnsi="Times New Roman"/>
          <w:highlight w:val="none"/>
        </w:rPr>
        <w:t>优质跨境电商企业</w:t>
      </w:r>
      <w:r>
        <w:rPr>
          <w:rFonts w:hint="eastAsia" w:ascii="Times New Roman" w:hAnsi="Times New Roman"/>
          <w:highlight w:val="none"/>
        </w:rPr>
        <w:t>超100</w:t>
      </w:r>
      <w:r>
        <w:rPr>
          <w:rFonts w:ascii="Times New Roman" w:hAnsi="Times New Roman"/>
          <w:highlight w:val="none"/>
        </w:rPr>
        <w:t>家</w:t>
      </w:r>
      <w:r>
        <w:rPr>
          <w:rFonts w:hint="eastAsia" w:ascii="Times New Roman" w:hAnsi="Times New Roman"/>
          <w:highlight w:val="none"/>
        </w:rPr>
        <w:t>。在做强文旅地标产业的基础上，持续推进国际消费中心城市中心区建设，放大长江路、环玄武湖文化旅游集聚区引流作用，推动红山森林动物园周边、玄武湖东岸等重点区域提档升级，加快招商花园城、长江会等高端商业载体建设，打造玄武</w:t>
      </w:r>
      <w:r>
        <w:rPr>
          <w:rFonts w:ascii="Times New Roman" w:hAnsi="Times New Roman"/>
          <w:highlight w:val="none"/>
        </w:rPr>
        <w:t>VR</w:t>
      </w:r>
      <w:r>
        <w:rPr>
          <w:rFonts w:hint="eastAsia" w:ascii="Times New Roman" w:hAnsi="Times New Roman"/>
          <w:highlight w:val="none"/>
        </w:rPr>
        <w:t>大空间数字工场等一批数字文旅项目，进一步稳定大宗消费、扩大服务消费，深入挖掘首发经济、银发经济等消费热点，举办各类消费促进活动超160场，新增特色消费场景100个以上。在促进新医药产业蓬勃发展的基础上，充分发挥先声药业、柯菲平等头部企业以及鼓楼医院临床医学研究院、百家汇精准医疗创新中心等科创平台作用，</w:t>
      </w:r>
      <w:r>
        <w:rPr>
          <w:rFonts w:hint="eastAsia" w:ascii="Times New Roman" w:hAnsi="Times New Roman" w:cs="方正仿宋_GBK"/>
          <w:highlight w:val="none"/>
        </w:rPr>
        <w:t>加快推进生物医药领域概念验证中心、工程技术研究中心建设，一体推动新药研发、医药流通等创新链与产业链无缝衔接，全力打造生物医药产业创新发展强劲引擎。</w:t>
      </w:r>
    </w:p>
    <w:p>
      <w:pPr>
        <w:adjustRightInd w:val="0"/>
        <w:snapToGrid w:val="0"/>
        <w:rPr>
          <w:rFonts w:ascii="Times New Roman" w:hAnsi="Times New Roman"/>
          <w:highlight w:val="none"/>
        </w:rPr>
      </w:pPr>
      <w:r>
        <w:rPr>
          <w:rFonts w:hint="eastAsia" w:ascii="Times New Roman" w:hAnsi="Times New Roman" w:eastAsia="方正楷体_GBK" w:cs="方正楷体_GBK"/>
          <w:bCs/>
          <w:highlight w:val="none"/>
        </w:rPr>
        <w:t>塑造</w:t>
      </w:r>
      <w:r>
        <w:rPr>
          <w:rFonts w:ascii="Times New Roman" w:hAnsi="Times New Roman" w:eastAsia="方正楷体_GBK" w:cs="方正楷体_GBK"/>
          <w:bCs/>
          <w:highlight w:val="none"/>
        </w:rPr>
        <w:t>营商软</w:t>
      </w:r>
      <w:r>
        <w:rPr>
          <w:rFonts w:hint="eastAsia" w:ascii="Times New Roman" w:hAnsi="Times New Roman" w:eastAsia="方正楷体_GBK" w:cs="方正楷体_GBK"/>
          <w:bCs/>
          <w:highlight w:val="none"/>
        </w:rPr>
        <w:t>实力。</w:t>
      </w:r>
      <w:r>
        <w:rPr>
          <w:rFonts w:hint="eastAsia" w:ascii="Times New Roman" w:hAnsi="Times New Roman"/>
          <w:highlight w:val="none"/>
        </w:rPr>
        <w:t>以打造营商环境最优区为引领，持续开展“服务企业·面对面”活动，不断完善领导包保联系机制，全面提升政务服务“全城通办”与跨区域协同办理水平，有力推动行政审批提质增效。聚焦民间投资、公平准入、融资支持等社会关切，落实落细各项惠企政策，大力推动民营经济、平台经济健康发展，新增“四上”企业120家、经营主体1万户，其中企业不少于3000户。全力推进“十四五”冲刺收官，扎实抓好要素资源保障，确保各项目标任务取得预期成效。聚焦解决制约玄武高质量发展的突出短板和重大问题，深入开展调查研究，广泛征求意见建议，认真抓好“十五五”规划编制。深入推进“五经普”数据开发应用，以高水平普查成效服务经济高质量发展。</w:t>
      </w:r>
    </w:p>
    <w:p>
      <w:pPr>
        <w:rPr>
          <w:rFonts w:ascii="Times New Roman" w:hAnsi="Times New Roman" w:eastAsia="方正黑体_GBK" w:cs="仿宋_GB2312"/>
          <w:highlight w:val="none"/>
        </w:rPr>
      </w:pPr>
      <w:r>
        <w:rPr>
          <w:rFonts w:hint="eastAsia" w:ascii="Times New Roman" w:hAnsi="Times New Roman" w:eastAsia="方正黑体_GBK" w:cs="仿宋_GB2312"/>
          <w:highlight w:val="none"/>
        </w:rPr>
        <w:t>（二）持续激发改革动力、创新活力</w:t>
      </w:r>
    </w:p>
    <w:p>
      <w:pPr>
        <w:rPr>
          <w:rFonts w:ascii="Times New Roman" w:hAnsi="Times New Roman"/>
          <w:highlight w:val="none"/>
        </w:rPr>
      </w:pPr>
      <w:r>
        <w:rPr>
          <w:rFonts w:hint="eastAsia" w:ascii="Times New Roman" w:hAnsi="Times New Roman" w:eastAsia="方正楷体_GBK" w:cs="仿宋_GB2312"/>
          <w:highlight w:val="none"/>
        </w:rPr>
        <w:t>强化改革赋能。</w:t>
      </w:r>
      <w:bookmarkStart w:id="0" w:name="_Hlk186032029"/>
      <w:r>
        <w:rPr>
          <w:rFonts w:hint="eastAsia" w:ascii="Times New Roman" w:hAnsi="Times New Roman" w:cs="仿宋_GB2312"/>
          <w:highlight w:val="none"/>
        </w:rPr>
        <w:t>突出数据要素市场化配置改革，充分发挥</w:t>
      </w:r>
      <w:r>
        <w:rPr>
          <w:rFonts w:hint="eastAsia" w:ascii="Times New Roman" w:hAnsi="Times New Roman"/>
          <w:highlight w:val="none"/>
        </w:rPr>
        <w:t>江苏国际数据港、江苏数据交易所等省级综合服务平台影响带动作用，服务全国一体化数据市场构建，探索建立多层次数据市场交易体系，促进与全省海量工业场景高效互联，</w:t>
      </w:r>
      <w:bookmarkEnd w:id="0"/>
      <w:r>
        <w:rPr>
          <w:rFonts w:hint="eastAsia" w:ascii="Times New Roman" w:hAnsi="Times New Roman"/>
          <w:highlight w:val="none"/>
        </w:rPr>
        <w:t>打造数据产品超500个，</w:t>
      </w:r>
      <w:bookmarkStart w:id="1" w:name="_Hlk186032395"/>
      <w:r>
        <w:rPr>
          <w:rFonts w:hint="eastAsia" w:ascii="Times New Roman" w:hAnsi="Times New Roman"/>
          <w:highlight w:val="none"/>
        </w:rPr>
        <w:t>积极营造数据产业繁荣生态</w:t>
      </w:r>
      <w:bookmarkEnd w:id="1"/>
      <w:r>
        <w:rPr>
          <w:rFonts w:hint="eastAsia" w:ascii="Times New Roman" w:hAnsi="Times New Roman" w:cs="仿宋_GB2312"/>
          <w:highlight w:val="none"/>
        </w:rPr>
        <w:t>。</w:t>
      </w:r>
      <w:r>
        <w:rPr>
          <w:rFonts w:hint="eastAsia" w:ascii="Times New Roman" w:hAnsi="Times New Roman"/>
          <w:highlight w:val="none"/>
        </w:rPr>
        <w:t>深化</w:t>
      </w:r>
      <w:bookmarkStart w:id="2" w:name="_Hlk186030744"/>
      <w:r>
        <w:rPr>
          <w:rFonts w:hint="eastAsia" w:ascii="Times New Roman" w:hAnsi="Times New Roman"/>
          <w:highlight w:val="none"/>
        </w:rPr>
        <w:t>科创金融改革</w:t>
      </w:r>
      <w:bookmarkEnd w:id="2"/>
      <w:r>
        <w:rPr>
          <w:rFonts w:hint="eastAsia" w:ascii="Times New Roman" w:hAnsi="Times New Roman"/>
          <w:highlight w:val="none"/>
        </w:rPr>
        <w:t>，深入推进深交所科技成果与知识产权交易中心南京专区建设，加快构建科技、产业、金融相互促进的发展生态，支持耐心资本、长期资本投早、投小、投硬科技。推进政务服务增值化改革，聚焦企业全生命周期和全方位需求，加大“一件事”改革力度，拓展涉企经营“一业一证”</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11</w:t>
      </w:r>
      <w:r>
        <w:rPr>
          <w:rFonts w:ascii="Times New Roman" w:hAnsi="Times New Roman"/>
          <w:snapToGrid w:val="0"/>
          <w:kern w:val="0"/>
          <w:highlight w:val="none"/>
          <w:vertAlign w:val="superscript"/>
        </w:rPr>
        <w:t>]</w:t>
      </w:r>
      <w:r>
        <w:rPr>
          <w:rFonts w:hint="eastAsia" w:ascii="Times New Roman" w:hAnsi="Times New Roman"/>
          <w:highlight w:val="none"/>
        </w:rPr>
        <w:t>行业覆盖面，推动基层高频事项一个平台办理全覆盖，持续开展市场主体住所托管工作，探索设立“企业信用合规指导站”，实现线上线下功能集成、服务闭环。</w:t>
      </w:r>
    </w:p>
    <w:p>
      <w:pPr>
        <w:rPr>
          <w:rFonts w:ascii="Times New Roman" w:hAnsi="Times New Roman"/>
          <w:highlight w:val="none"/>
        </w:rPr>
      </w:pPr>
      <w:r>
        <w:rPr>
          <w:rFonts w:hint="eastAsia" w:ascii="Times New Roman" w:hAnsi="Times New Roman" w:eastAsia="方正楷体_GBK" w:cs="仿宋_GB2312"/>
          <w:highlight w:val="none"/>
        </w:rPr>
        <w:t>突出创新蓄能。</w:t>
      </w:r>
      <w:r>
        <w:rPr>
          <w:rFonts w:hint="eastAsia" w:ascii="Times New Roman" w:hAnsi="Times New Roman"/>
          <w:highlight w:val="none"/>
        </w:rPr>
        <w:t>全力支持</w:t>
      </w:r>
      <w:r>
        <w:rPr>
          <w:rFonts w:hint="eastAsia" w:ascii="Times New Roman" w:hAnsi="Times New Roman" w:cs="仿宋_GB2312"/>
          <w:highlight w:val="none"/>
        </w:rPr>
        <w:t>生物育种钟山实验室争创国家实验室基地、中国医学科学院皮肤病医院申报建设省级概念验证中心，推动省</w:t>
      </w:r>
      <w:r>
        <w:rPr>
          <w:rFonts w:hint="eastAsia" w:ascii="Times New Roman" w:hAnsi="Times New Roman"/>
          <w:highlight w:val="none"/>
        </w:rPr>
        <w:t>农科院高效园艺作物遗传改良等省级重点实验室重组新建，推进皮研所皮肤病创新中心等高能级科创平台建设。</w:t>
      </w:r>
      <w:r>
        <w:rPr>
          <w:rFonts w:hint="eastAsia" w:ascii="Times New Roman" w:hAnsi="Times New Roman" w:cs="仿宋_GB2312"/>
          <w:highlight w:val="none"/>
        </w:rPr>
        <w:t>实施科技企业梯度培育计划，大力推进“小升高”“高升规”，引进培育省级及以上专精特新企业</w:t>
      </w:r>
      <w:r>
        <w:rPr>
          <w:rFonts w:hint="eastAsia" w:ascii="Times New Roman" w:hAnsi="Times New Roman"/>
          <w:highlight w:val="none"/>
        </w:rPr>
        <w:t>5家，认定</w:t>
      </w:r>
      <w:r>
        <w:rPr>
          <w:rFonts w:hint="eastAsia" w:ascii="Times New Roman" w:hAnsi="Times New Roman" w:cs="仿宋_GB2312"/>
          <w:highlight w:val="none"/>
        </w:rPr>
        <w:t>科技型中小企业超</w:t>
      </w:r>
      <w:r>
        <w:rPr>
          <w:rFonts w:hint="eastAsia" w:ascii="Times New Roman" w:hAnsi="Times New Roman"/>
          <w:highlight w:val="none"/>
        </w:rPr>
        <w:t>1000家、高新技术企业超120家。优化完善产学研一体化创新机制，全面强化与驻区高校、院所、企业紧密协作，推动更多科技成果就地转化，技术合同成交额达100亿元。全面启动珠江路产业发展焕新计划。加大人才引进培育力度，推进国家重点人才计划、企业专家工作室等人才项目建设，招引海内外高层次人才百余人，将玄武打造成为创新人才集聚的江苏国际人才港。</w:t>
      </w:r>
    </w:p>
    <w:p>
      <w:pPr>
        <w:adjustRightInd w:val="0"/>
        <w:snapToGrid w:val="0"/>
        <w:rPr>
          <w:rFonts w:ascii="Times New Roman" w:hAnsi="Times New Roman"/>
          <w:highlight w:val="none"/>
        </w:rPr>
      </w:pPr>
      <w:r>
        <w:rPr>
          <w:rFonts w:hint="eastAsia" w:ascii="Times New Roman" w:hAnsi="Times New Roman" w:eastAsia="方正楷体_GBK" w:cs="仿宋_GB2312"/>
          <w:highlight w:val="none"/>
        </w:rPr>
        <w:t>提升开放效能。</w:t>
      </w:r>
      <w:r>
        <w:rPr>
          <w:rFonts w:hint="eastAsia" w:ascii="Times New Roman" w:hAnsi="Times New Roman"/>
          <w:highlight w:val="none"/>
        </w:rPr>
        <w:t>积极融入“一带一路”建设、长三角一体化发展等国家战略，与苏豪集团紧密合作全面推动江苏中亚中心建设，在强化贸易合作、促进文化交流、加强宣传展示等方面主动作为，全力搭建江苏乃至长三角地区与中亚方向经贸往来的重要桥梁。抓住“单向免签”“互免”国家和地区扩大的重要机遇，协同推进入境旅游便利化措施落地，组织策划更多具有玄武特色的文旅消费活动，全力打造高品质的国际旅游目的地。充分利用玄武丰富的国际化资源，全面深化与意大利罗马二区世界文化遗产地结好，多层次、多角度开展国际交流合作，全方位拓展开放发展的潜力空间，不断提升玄武对外交往的活跃度、影响力。</w:t>
      </w:r>
    </w:p>
    <w:p>
      <w:pPr>
        <w:rPr>
          <w:rFonts w:ascii="Times New Roman" w:hAnsi="Times New Roman" w:eastAsia="方正黑体_GBK" w:cs="仿宋_GB2312"/>
          <w:highlight w:val="none"/>
        </w:rPr>
      </w:pPr>
      <w:r>
        <w:rPr>
          <w:rFonts w:hint="eastAsia" w:ascii="Times New Roman" w:hAnsi="Times New Roman" w:eastAsia="方正黑体_GBK"/>
          <w:highlight w:val="none"/>
        </w:rPr>
        <w:t>（三）</w:t>
      </w:r>
      <w:r>
        <w:rPr>
          <w:rFonts w:hint="eastAsia" w:ascii="Times New Roman" w:hAnsi="Times New Roman" w:eastAsia="方正黑体_GBK" w:cs="仿宋_GB2312"/>
          <w:highlight w:val="none"/>
        </w:rPr>
        <w:t>全面改善环境面貌、城市风貌</w:t>
      </w:r>
    </w:p>
    <w:p>
      <w:pPr>
        <w:adjustRightInd w:val="0"/>
        <w:snapToGrid w:val="0"/>
        <w:rPr>
          <w:rFonts w:ascii="Times New Roman" w:hAnsi="Times New Roman"/>
          <w:highlight w:val="none"/>
        </w:rPr>
      </w:pPr>
      <w:r>
        <w:rPr>
          <w:rFonts w:hint="eastAsia" w:ascii="Times New Roman" w:hAnsi="Times New Roman" w:eastAsia="方正楷体_GBK" w:cs="方正楷体_GBK"/>
          <w:bCs/>
          <w:highlight w:val="none"/>
        </w:rPr>
        <w:t>坚持提质改造与结构调整并重。</w:t>
      </w:r>
      <w:r>
        <w:rPr>
          <w:rFonts w:hint="eastAsia" w:ascii="Times New Roman" w:hAnsi="Times New Roman"/>
          <w:highlight w:val="none"/>
        </w:rPr>
        <w:t>积极适应城市发展新阶段新变化，以打造更加宜居、更具韧性、更富智慧城区为目标，统筹安排全年47个城建项目，加快转变特大城市中心城区发展方式。持续完善城市功能，扎实推动大壮观路、华跃路西延等道路建设，建成红山南路地下通道，深入实施东大影壁等22个老旧小区、卫巷片区危房改造，确保恒嘉路110kV杆线下地等电力工程顺利完成。加强历史文化传承保护，推进百子亭、梅园新村等片区保护更新，推动明孝陵、总统府等文化遗产活化利用，让更多老街区、古建筑重现历史风采，积极打造国家历史文化名城核心区。一体推进低效用地利用和存量载体盘活，重点推动中国科学院“一院三所”旧址、小红山客运站闲置载体使用，推动更多“资源存量”变为“发展增量”。</w:t>
      </w:r>
    </w:p>
    <w:p>
      <w:pPr>
        <w:adjustRightInd w:val="0"/>
        <w:snapToGrid w:val="0"/>
        <w:rPr>
          <w:rFonts w:ascii="Times New Roman" w:hAnsi="Times New Roman"/>
          <w:highlight w:val="none"/>
        </w:rPr>
      </w:pPr>
      <w:r>
        <w:rPr>
          <w:rFonts w:hint="eastAsia" w:ascii="Times New Roman" w:hAnsi="Times New Roman" w:eastAsia="方正楷体_GBK" w:cs="方正楷体_GBK"/>
          <w:bCs/>
          <w:highlight w:val="none"/>
        </w:rPr>
        <w:t>坚持精细治理与数字赋能并行。</w:t>
      </w:r>
      <w:r>
        <w:rPr>
          <w:rFonts w:hint="eastAsia" w:ascii="Times New Roman" w:hAnsi="Times New Roman"/>
          <w:highlight w:val="none"/>
        </w:rPr>
        <w:t>深入推进“人民城市融创实验室”建设，丰富完善社区食堂、自助洗车、养老托育等嵌入式服务项目，以数字化技术赋能物业服务水平整体提升，积极解决群众身边的急难愁盼问题。健全完善防汛防台工作机制，汇聚整合实时视频、智能预警等数据资源，持续抓好险工隐患排查，改造提升墨香路等易积淹水区域，不断增强突发灾害应急处置能力。推进环境基础设施提档升级，做好聚力路垃圾转运站建设准备，巩固省级达标小区建设成效。依托“环宝保”智慧平台，搭</w:t>
      </w:r>
      <w:r>
        <w:rPr>
          <w:rFonts w:hint="eastAsia" w:ascii="Times New Roman" w:hAnsi="Times New Roman"/>
          <w:spacing w:val="4"/>
          <w:highlight w:val="none"/>
        </w:rPr>
        <w:t>建完善线上线下回收网络，积极推进重卡充换电站建设，提升可</w:t>
      </w:r>
      <w:r>
        <w:rPr>
          <w:rFonts w:hint="eastAsia" w:ascii="Times New Roman" w:hAnsi="Times New Roman"/>
          <w:highlight w:val="none"/>
        </w:rPr>
        <w:t>再生资源转换利用率。强化重点区域交通堵点治理，推进机关事业单位、国企共享停车泊位开放。</w:t>
      </w:r>
    </w:p>
    <w:p>
      <w:pPr>
        <w:adjustRightInd w:val="0"/>
        <w:snapToGrid w:val="0"/>
        <w:rPr>
          <w:rFonts w:ascii="Times New Roman" w:hAnsi="Times New Roman"/>
          <w:highlight w:val="none"/>
        </w:rPr>
      </w:pPr>
      <w:r>
        <w:rPr>
          <w:rFonts w:hint="eastAsia" w:ascii="Times New Roman" w:hAnsi="Times New Roman" w:eastAsia="方正楷体_GBK" w:cs="方正楷体_GBK"/>
          <w:bCs/>
          <w:highlight w:val="none"/>
        </w:rPr>
        <w:t>坚持生态保护与绿色转型并举。</w:t>
      </w:r>
      <w:r>
        <w:rPr>
          <w:rFonts w:hint="eastAsia" w:ascii="Times New Roman" w:hAnsi="Times New Roman"/>
          <w:highlight w:val="none"/>
        </w:rPr>
        <w:t>深入践行习近平生态文明思想，全面落实中央生态环境保护督察整改要求，持续完善生态环境常态化、长效化工作机制。深化治气攻坚，紧盯移动源、工地扬尘、餐饮业等管控重点，突出重点时段、重点区域监测预警，不断优化季节性大气污染防治举措，推动空气质量持续向好。巩固治水成效，深入推进环紫金山区域老旧片区雨污水管网清疏修缮，实施百水河、友谊河流域排水防涝综合治理，不断推动河道水网向幸福河湖迭代升级。推动蓝绿空间与城市有机融合，升级完善玄武湖周边地区功能配套，支持钟山风景名胜区打造世界级旅游景区、玄武湖景区创成国家5A级旅游景区、中山植物园创建国家植物园、红山森林动物园建设零碳动物园。加强</w:t>
      </w:r>
      <w:r>
        <w:rPr>
          <w:rFonts w:hint="eastAsia" w:ascii="Times New Roman" w:hAnsi="Times New Roman"/>
          <w:snapToGrid w:val="0"/>
          <w:kern w:val="0"/>
          <w:highlight w:val="none"/>
        </w:rPr>
        <w:t>与国内外专业机构合作，拓展玄武绿建认证、“双碳”培训、企业ESG</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12</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rPr>
        <w:t>等绿色低碳新业态，深挖</w:t>
      </w:r>
      <w:r>
        <w:rPr>
          <w:rFonts w:hint="eastAsia" w:ascii="Times New Roman" w:hAnsi="Times New Roman"/>
          <w:highlight w:val="none"/>
        </w:rPr>
        <w:t>省内碳汇资源</w:t>
      </w:r>
      <w:r>
        <w:rPr>
          <w:rFonts w:hint="eastAsia" w:ascii="Times New Roman" w:hAnsi="Times New Roman"/>
          <w:snapToGrid w:val="0"/>
          <w:kern w:val="0"/>
          <w:highlight w:val="none"/>
        </w:rPr>
        <w:t>，大力开发绿色金融等低碳应用新场景。</w:t>
      </w:r>
    </w:p>
    <w:p>
      <w:pPr>
        <w:rPr>
          <w:rFonts w:ascii="Times New Roman" w:hAnsi="Times New Roman" w:eastAsia="方正黑体_GBK" w:cs="仿宋_GB2312"/>
          <w:highlight w:val="none"/>
        </w:rPr>
      </w:pPr>
      <w:r>
        <w:rPr>
          <w:rFonts w:hint="eastAsia" w:ascii="Times New Roman" w:hAnsi="Times New Roman" w:eastAsia="方正黑体_GBK" w:cs="仿宋_GB2312"/>
          <w:highlight w:val="none"/>
        </w:rPr>
        <w:t>（四）积极彰显民生温度、幸福厚度</w:t>
      </w:r>
    </w:p>
    <w:p>
      <w:pPr>
        <w:rPr>
          <w:rFonts w:ascii="Times New Roman" w:hAnsi="Times New Roman"/>
          <w:highlight w:val="none"/>
        </w:rPr>
      </w:pPr>
      <w:r>
        <w:rPr>
          <w:rFonts w:hint="eastAsia" w:ascii="Times New Roman" w:hAnsi="Times New Roman" w:eastAsia="方正楷体_GBK" w:cs="方正楷体_GBK"/>
          <w:highlight w:val="none"/>
        </w:rPr>
        <w:t>夯实社会保障基础。</w:t>
      </w:r>
      <w:r>
        <w:rPr>
          <w:rFonts w:hint="eastAsia" w:ascii="Times New Roman" w:hAnsi="Times New Roman"/>
          <w:highlight w:val="none"/>
        </w:rPr>
        <w:t>聚焦高校毕业生等重点群体，积极发挥“家门口”就业服务站等平台作用，举办各类招聘活动100余场次，开展职业技能培训1.15万人次，全年城镇新增就业1.22万人，城镇失业人员就业3700人。扎实做好重点老年人、残疾人</w:t>
      </w:r>
      <w:r>
        <w:rPr>
          <w:rFonts w:hint="eastAsia" w:ascii="Times New Roman" w:hAnsi="Times New Roman"/>
          <w:spacing w:val="-4"/>
          <w:highlight w:val="none"/>
        </w:rPr>
        <w:t>等特殊困难群体探访关爱，深化玄武“物质+服务”特色救助模</w:t>
      </w:r>
      <w:r>
        <w:rPr>
          <w:rFonts w:hint="eastAsia" w:ascii="Times New Roman" w:hAnsi="Times New Roman"/>
          <w:highlight w:val="none"/>
        </w:rPr>
        <w:t>式。持续完善养老服务体系，实施机构、居家、助餐三大质量提升工程，推动区内三甲医院与养老机构开展合作，健全完善社区银发助餐服务网络。进一步优化托幼护童举措，实现辖区幼儿园托幼一体化服务全覆盖，建成3家省级未成年人保护站，做好困境儿童个案服务。</w:t>
      </w:r>
    </w:p>
    <w:p>
      <w:pPr>
        <w:rPr>
          <w:rFonts w:ascii="Times New Roman" w:hAnsi="Times New Roman"/>
          <w:highlight w:val="none"/>
        </w:rPr>
      </w:pPr>
      <w:r>
        <w:rPr>
          <w:rFonts w:hint="eastAsia" w:ascii="Times New Roman" w:hAnsi="Times New Roman" w:eastAsia="方正楷体_GBK" w:cs="方正楷体_GBK"/>
          <w:highlight w:val="none"/>
        </w:rPr>
        <w:t>放大公共服务成效。</w:t>
      </w:r>
      <w:r>
        <w:rPr>
          <w:rFonts w:hint="eastAsia" w:ascii="Times New Roman" w:hAnsi="Times New Roman"/>
          <w:highlight w:val="none"/>
        </w:rPr>
        <w:t>稳步推进国家级义务教育教学改革实验区建设，完成十三中体育馆改造工程，启动九中震旦校区艺体楼征收、人民中学体育馆改造等项目，升级全区29所中小学307间教室功能，争创全国义务教育优质均衡发展区。深化省基层卫生健康综合试验区建设，开展整合型医疗卫生服务体系试点，推动区内医疗机构双向转诊，建成红山120急救站点。加强应急救护体系建设，开展专业培训2万人次。持续优化公共文体服务，加强全民健身设施建设，积极举办品牌文化活动，全年组织群众性文体活动200场次以上。持续擦亮省级双拥模范区品牌，积极完善军民共建、拥军优属、军地协作等工作机制。</w:t>
      </w:r>
    </w:p>
    <w:p>
      <w:pPr>
        <w:adjustRightInd w:val="0"/>
        <w:snapToGrid w:val="0"/>
        <w:rPr>
          <w:rFonts w:ascii="Times New Roman" w:hAnsi="Times New Roman"/>
          <w:highlight w:val="none"/>
        </w:rPr>
      </w:pPr>
      <w:r>
        <w:rPr>
          <w:rFonts w:hint="eastAsia" w:ascii="Times New Roman" w:hAnsi="Times New Roman" w:eastAsia="方正楷体_GBK" w:cs="方正楷体_GBK"/>
          <w:highlight w:val="none"/>
        </w:rPr>
        <w:t>守牢安全发展底线。</w:t>
      </w:r>
      <w:r>
        <w:rPr>
          <w:rFonts w:hint="eastAsia" w:ascii="Times New Roman" w:hAnsi="Times New Roman"/>
          <w:highlight w:val="none"/>
        </w:rPr>
        <w:t>持续推进安全生产治本攻坚三年行动和消防安全重大隐患排查整治，不断优化区安委会、消委会和街道应急管理—消防一体化工作机制，切实加强重点领域“一件事”全链条治理，扎实抓好重大火灾隐患整改销案、燃气“清瓶行动”等专项工作，持续守护城市生命线安全，筑牢防灾减灾安全屏障，坚决防范遏制较大及有影响的事故发生。坚持和发展新时代“枫桥经验”，扎实推动信访工作法治化，加强矛盾纠纷多元化解，用心用情做好“送上门来的群众工作”。全面深入排查整治公共安全领域风险隐患，充分发挥警务工作站、基层司法所等平安前哨作用，坚决打击各类违法犯罪行为，切实保障社会大局和谐稳定。压紧压实食品药品安全“四个最严”</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13</w:t>
      </w:r>
      <w:r>
        <w:rPr>
          <w:rFonts w:ascii="Times New Roman" w:hAnsi="Times New Roman"/>
          <w:snapToGrid w:val="0"/>
          <w:kern w:val="0"/>
          <w:highlight w:val="none"/>
          <w:vertAlign w:val="superscript"/>
        </w:rPr>
        <w:t>]</w:t>
      </w:r>
      <w:r>
        <w:rPr>
          <w:rFonts w:hint="eastAsia" w:ascii="Times New Roman" w:hAnsi="Times New Roman"/>
          <w:highlight w:val="none"/>
        </w:rPr>
        <w:t>“两个责任”</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14</w:t>
      </w:r>
      <w:r>
        <w:rPr>
          <w:rFonts w:ascii="Times New Roman" w:hAnsi="Times New Roman"/>
          <w:snapToGrid w:val="0"/>
          <w:kern w:val="0"/>
          <w:highlight w:val="none"/>
          <w:vertAlign w:val="superscript"/>
        </w:rPr>
        <w:t>]</w:t>
      </w:r>
      <w:r>
        <w:rPr>
          <w:rFonts w:hint="eastAsia" w:ascii="Times New Roman" w:hAnsi="Times New Roman"/>
          <w:highlight w:val="none"/>
        </w:rPr>
        <w:t>，不断提升食品药品安全监管水平。</w:t>
      </w:r>
    </w:p>
    <w:p>
      <w:pPr>
        <w:rPr>
          <w:rFonts w:ascii="Times New Roman" w:hAnsi="Times New Roman" w:cs="方正仿宋_GBK"/>
          <w:highlight w:val="none"/>
        </w:rPr>
      </w:pPr>
      <w:r>
        <w:rPr>
          <w:rFonts w:hint="eastAsia" w:ascii="Times New Roman" w:hAnsi="Times New Roman" w:cs="方正仿宋_GBK"/>
          <w:highlight w:val="none"/>
        </w:rPr>
        <w:t>各位代表！民有所呼，我有所应。前期，我们在广泛征求意见、充分研究论证的基础上，梳理形成了今年</w:t>
      </w:r>
      <w:r>
        <w:rPr>
          <w:rFonts w:hint="eastAsia" w:ascii="Times New Roman" w:hAnsi="Times New Roman"/>
          <w:highlight w:val="none"/>
        </w:rPr>
        <w:t>12类37件民生实事候选项目，提请大会审议票决。项目确定后，我们将以高度负责的态度、实在管用的成效兑现承诺、造福于民。</w:t>
      </w:r>
    </w:p>
    <w:p>
      <w:pPr>
        <w:rPr>
          <w:rFonts w:ascii="Times New Roman" w:hAnsi="Times New Roman" w:eastAsia="方正黑体_GBK" w:cs="方正仿宋_GBK"/>
          <w:highlight w:val="none"/>
        </w:rPr>
      </w:pPr>
      <w:r>
        <w:rPr>
          <w:rFonts w:hint="eastAsia" w:ascii="Times New Roman" w:hAnsi="Times New Roman" w:eastAsia="方正黑体_GBK" w:cs="方正仿宋_GBK"/>
          <w:highlight w:val="none"/>
        </w:rPr>
        <w:t>（五）不断强化求真务实、责任落实</w:t>
      </w:r>
    </w:p>
    <w:p>
      <w:pPr>
        <w:rPr>
          <w:rFonts w:ascii="Times New Roman" w:hAnsi="Times New Roman" w:cs="方正仿宋_GBK"/>
          <w:highlight w:val="none"/>
        </w:rPr>
      </w:pPr>
      <w:r>
        <w:rPr>
          <w:rFonts w:hint="eastAsia" w:ascii="Times New Roman" w:hAnsi="Times New Roman" w:eastAsia="方正楷体_GBK" w:cs="方正楷体_GBK"/>
          <w:highlight w:val="none"/>
        </w:rPr>
        <w:t>擦亮忠诚做事的政治本色。</w:t>
      </w:r>
      <w:r>
        <w:rPr>
          <w:rFonts w:hint="eastAsia" w:ascii="Times New Roman" w:hAnsi="Times New Roman"/>
          <w:highlight w:val="none"/>
        </w:rPr>
        <w:t>坚定不移将党的政治建设摆在首位，深入学习贯彻党的二十大和二十届二中、三中全会精神，坚持用习近平新时代中国特色社会主义思想凝心铸魂，当好党中央决策部署的执行者、行动派、实干家。巩固深化党纪学习教育成果，切实将纪律规矩内化于心、外化于行，及时</w:t>
      </w:r>
      <w:r>
        <w:rPr>
          <w:rFonts w:ascii="Times New Roman" w:hAnsi="Times New Roman"/>
          <w:highlight w:val="none"/>
        </w:rPr>
        <w:t>转化为推动</w:t>
      </w:r>
      <w:r>
        <w:rPr>
          <w:rFonts w:hint="eastAsia" w:ascii="Times New Roman" w:hAnsi="Times New Roman"/>
          <w:highlight w:val="none"/>
        </w:rPr>
        <w:t>玄武</w:t>
      </w:r>
      <w:r>
        <w:rPr>
          <w:rFonts w:ascii="Times New Roman" w:hAnsi="Times New Roman"/>
          <w:highlight w:val="none"/>
        </w:rPr>
        <w:t>高质量发展的强大动力</w:t>
      </w:r>
      <w:r>
        <w:rPr>
          <w:rFonts w:hint="eastAsia" w:ascii="Times New Roman" w:hAnsi="Times New Roman"/>
          <w:highlight w:val="none"/>
        </w:rPr>
        <w:t>。坚决落实全面从严治党要求，严格执行中央八项规定及其实施细则</w:t>
      </w:r>
      <w:r>
        <w:rPr>
          <w:rFonts w:hint="eastAsia" w:ascii="Times New Roman" w:hAnsi="Times New Roman"/>
          <w:highlight w:val="none"/>
          <w:lang w:eastAsia="zh-CN"/>
        </w:rPr>
        <w:t>精神</w:t>
      </w:r>
      <w:bookmarkStart w:id="3" w:name="_GoBack"/>
      <w:bookmarkEnd w:id="3"/>
      <w:r>
        <w:rPr>
          <w:rFonts w:hint="eastAsia" w:ascii="Times New Roman" w:hAnsi="Times New Roman"/>
          <w:highlight w:val="none"/>
        </w:rPr>
        <w:t>，上下联动整治形式主义官僚主义突出问题，实现“减负”和“赋能”双向发力。严格落实意识形态工作责任制，坚决守牢政府系统意识形态阵地。</w:t>
      </w:r>
    </w:p>
    <w:p>
      <w:pPr>
        <w:rPr>
          <w:rFonts w:ascii="Times New Roman" w:hAnsi="Times New Roman"/>
          <w:sz w:val="28"/>
          <w:szCs w:val="28"/>
          <w:highlight w:val="none"/>
        </w:rPr>
      </w:pPr>
      <w:r>
        <w:rPr>
          <w:rFonts w:hint="eastAsia" w:ascii="Times New Roman" w:hAnsi="Times New Roman" w:eastAsia="方正楷体_GBK" w:cs="方正楷体_GBK"/>
          <w:highlight w:val="none"/>
        </w:rPr>
        <w:t>提高依法行政的能力水平。</w:t>
      </w:r>
      <w:r>
        <w:rPr>
          <w:rFonts w:hint="eastAsia" w:ascii="Times New Roman" w:hAnsi="Times New Roman"/>
          <w:highlight w:val="none"/>
        </w:rPr>
        <w:t>深化法治政府建设，严格落实学法制度，全面落实重大行政决策程序，加大行政争议实质性化解</w:t>
      </w:r>
      <w:r>
        <w:rPr>
          <w:rFonts w:hint="eastAsia" w:ascii="Times New Roman" w:hAnsi="Times New Roman"/>
          <w:spacing w:val="4"/>
          <w:highlight w:val="none"/>
        </w:rPr>
        <w:t>力度，扎实做好“八五”普法收官工作，让法治成为玄武核心竞</w:t>
      </w:r>
      <w:r>
        <w:rPr>
          <w:rFonts w:hint="eastAsia" w:ascii="Times New Roman" w:hAnsi="Times New Roman"/>
          <w:highlight w:val="none"/>
        </w:rPr>
        <w:t>争力的重要标识。持续优化公共法律服务体系，完善法律顾问工作机制，为群众和企业提供便捷高效的法律服务。持续深化行政执法改革，加强基层综合行政执法队伍规范化建设，坚持严格规范公正文明执法，不断提高行政执法质量效能。认真接受人大法律监督、政协民主监督，主动接受监察、社会和舆论监督，深入推进政务公开，让权力在阳光下运行。</w:t>
      </w:r>
    </w:p>
    <w:p>
      <w:pPr>
        <w:rPr>
          <w:rFonts w:ascii="Times New Roman" w:hAnsi="Times New Roman"/>
          <w:highlight w:val="none"/>
        </w:rPr>
      </w:pPr>
      <w:r>
        <w:rPr>
          <w:rFonts w:hint="eastAsia" w:ascii="Times New Roman" w:hAnsi="Times New Roman" w:eastAsia="方正楷体_GBK" w:cs="方正楷体_GBK"/>
          <w:highlight w:val="none"/>
        </w:rPr>
        <w:t>练就实干担当的作风本领。</w:t>
      </w:r>
      <w:r>
        <w:rPr>
          <w:rFonts w:hint="eastAsia" w:ascii="Times New Roman" w:hAnsi="Times New Roman"/>
          <w:highlight w:val="none"/>
        </w:rPr>
        <w:t>聚焦“数字政府”建设需求，加强政务数据分类分级管理，健全完善“首席数据官”制度，优化提升城市运行“一网统管”效能，创新打造更多社会治理数字化应用场景。树牢过“紧日子”思想，坚持勤俭节约办事业，让有限财力发挥出最大的社会效益、民生效益。统筹好防风险和促发展关系，积极争取债务增量政策落地，将政策机遇转化为发展动能。充分发挥审计常态化“经济体检”作用，健全审计整改工作机制，多措并举提高审计成果运用水平。严把统计数据质量关，加大对新产业、新业态、新模式等领域的统计服务，不断提升统计监督质效。</w:t>
      </w:r>
    </w:p>
    <w:p>
      <w:pPr>
        <w:rPr>
          <w:rFonts w:ascii="Times New Roman" w:hAnsi="Times New Roman" w:cs="仿宋_GB2312"/>
          <w:highlight w:val="none"/>
        </w:rPr>
      </w:pPr>
      <w:r>
        <w:rPr>
          <w:rFonts w:hint="eastAsia" w:ascii="Times New Roman" w:hAnsi="Times New Roman" w:cs="仿宋_GB2312"/>
          <w:highlight w:val="none"/>
        </w:rPr>
        <w:t>各位代表！梦虽遥，追则能达；愿虽艰，持则可圆。让我们更加紧密地团结在以习近平同志为核心的党中央周围，在市委、市政府和区委的坚强领导下，始终保持创新突破的勇气、唯实争先的锐气、蓬勃向上的朝气，牢记嘱托、感恩奋进，只争朝夕、砥砺前行，奋力推进中国式现代化玄武新实践，全面谱写“强富美高”新玄武现代化建设新篇章！</w:t>
      </w:r>
    </w:p>
    <w:p>
      <w:pPr>
        <w:widowControl/>
        <w:overflowPunct/>
        <w:snapToGrid/>
        <w:spacing w:line="20" w:lineRule="exact"/>
        <w:ind w:firstLine="0" w:firstLineChars="0"/>
        <w:jc w:val="left"/>
        <w:rPr>
          <w:rFonts w:ascii="Times New Roman" w:hAnsi="Times New Roman" w:cs="仿宋_GB2312"/>
          <w:highlight w:val="none"/>
        </w:rPr>
      </w:pPr>
      <w:r>
        <w:rPr>
          <w:rFonts w:ascii="Times New Roman" w:hAnsi="Times New Roman" w:cs="仿宋_GB2312"/>
          <w:highlight w:val="none"/>
        </w:rPr>
        <w:br w:type="page"/>
      </w:r>
    </w:p>
    <w:p>
      <w:pPr>
        <w:ind w:firstLine="0" w:firstLineChars="0"/>
        <w:rPr>
          <w:rFonts w:ascii="Times New Roman" w:hAnsi="Times New Roman" w:eastAsia="方正黑体_GBK"/>
          <w:bCs/>
          <w:highlight w:val="none"/>
        </w:rPr>
      </w:pPr>
      <w:r>
        <w:rPr>
          <w:rFonts w:hint="eastAsia" w:ascii="Times New Roman" w:hAnsi="Times New Roman" w:eastAsia="方正黑体_GBK"/>
          <w:bCs/>
          <w:highlight w:val="none"/>
        </w:rPr>
        <w:t>附件</w:t>
      </w:r>
      <w:r>
        <w:rPr>
          <w:rFonts w:ascii="Times New Roman" w:hAnsi="Times New Roman" w:eastAsia="方正黑体_GBK"/>
          <w:bCs/>
          <w:highlight w:val="none"/>
        </w:rPr>
        <w:t>1</w:t>
      </w:r>
    </w:p>
    <w:p>
      <w:pPr>
        <w:spacing w:line="500" w:lineRule="exact"/>
        <w:rPr>
          <w:rFonts w:ascii="Times New Roman" w:hAnsi="Times New Roman" w:eastAsia="方正小标宋_GBK"/>
          <w:bCs/>
          <w:sz w:val="44"/>
          <w:szCs w:val="44"/>
          <w:highlight w:val="none"/>
        </w:rPr>
      </w:pPr>
    </w:p>
    <w:p>
      <w:pPr>
        <w:pStyle w:val="26"/>
        <w:rPr>
          <w:rFonts w:ascii="Times New Roman" w:hAnsi="Times New Roman"/>
          <w:highlight w:val="none"/>
        </w:rPr>
      </w:pPr>
      <w:r>
        <w:rPr>
          <w:rFonts w:ascii="Times New Roman" w:hAnsi="Times New Roman"/>
          <w:highlight w:val="none"/>
        </w:rPr>
        <w:t>2024</w:t>
      </w:r>
      <w:r>
        <w:rPr>
          <w:rFonts w:hint="eastAsia" w:ascii="Times New Roman" w:hAnsi="Times New Roman"/>
          <w:highlight w:val="none"/>
        </w:rPr>
        <w:t>年玄武区民生实事完成情况</w:t>
      </w:r>
    </w:p>
    <w:p>
      <w:pPr>
        <w:spacing w:line="500" w:lineRule="exact"/>
        <w:rPr>
          <w:rFonts w:ascii="Times New Roman" w:hAnsi="Times New Roman" w:eastAsia="方正小标宋_GBK"/>
          <w:bCs/>
          <w:sz w:val="44"/>
          <w:szCs w:val="44"/>
          <w:highlight w:val="none"/>
        </w:rPr>
      </w:pPr>
    </w:p>
    <w:p>
      <w:pPr>
        <w:pStyle w:val="30"/>
        <w:spacing w:line="590" w:lineRule="exact"/>
        <w:rPr>
          <w:highlight w:val="none"/>
        </w:rPr>
      </w:pPr>
      <w:r>
        <w:rPr>
          <w:rFonts w:eastAsia="方正楷体_GBK"/>
          <w:bCs/>
          <w:highlight w:val="none"/>
        </w:rPr>
        <w:t>1. 提升全区教育质量。</w:t>
      </w:r>
      <w:r>
        <w:rPr>
          <w:highlight w:val="none"/>
        </w:rPr>
        <w:t>开展推进学校课程规划建构转化、推进</w:t>
      </w:r>
      <w:r>
        <w:rPr>
          <w:rFonts w:hint="eastAsia"/>
          <w:highlight w:val="none"/>
        </w:rPr>
        <w:t>“</w:t>
      </w:r>
      <w:r>
        <w:rPr>
          <w:highlight w:val="none"/>
        </w:rPr>
        <w:t>新三学</w:t>
      </w:r>
      <w:r>
        <w:rPr>
          <w:rFonts w:hint="eastAsia"/>
          <w:highlight w:val="none"/>
        </w:rPr>
        <w:t>”</w:t>
      </w:r>
      <w:r>
        <w:rPr>
          <w:highlight w:val="none"/>
        </w:rPr>
        <w:t>课堂</w:t>
      </w:r>
      <w:r>
        <w:rPr>
          <w:bCs/>
          <w:highlight w:val="none"/>
        </w:rPr>
        <w:t>教学提质等七项教学改革行动</w:t>
      </w:r>
      <w:r>
        <w:rPr>
          <w:highlight w:val="none"/>
        </w:rPr>
        <w:t>，入选</w:t>
      </w:r>
      <w:r>
        <w:rPr>
          <w:rFonts w:hint="eastAsia"/>
          <w:highlight w:val="none"/>
        </w:rPr>
        <w:t>“</w:t>
      </w:r>
      <w:r>
        <w:rPr>
          <w:highlight w:val="none"/>
        </w:rPr>
        <w:t>全国义务教育教学改革实验区</w:t>
      </w:r>
      <w:r>
        <w:rPr>
          <w:rFonts w:hint="eastAsia"/>
          <w:highlight w:val="none"/>
        </w:rPr>
        <w:t>”</w:t>
      </w:r>
      <w:r>
        <w:rPr>
          <w:bCs/>
          <w:highlight w:val="none"/>
        </w:rPr>
        <w:t>。启动</w:t>
      </w:r>
      <w:r>
        <w:rPr>
          <w:rFonts w:hint="eastAsia"/>
          <w:highlight w:val="none"/>
        </w:rPr>
        <w:t>“</w:t>
      </w:r>
      <w:r>
        <w:rPr>
          <w:bCs/>
          <w:highlight w:val="none"/>
        </w:rPr>
        <w:t>数智课堂诊断</w:t>
      </w:r>
      <w:r>
        <w:rPr>
          <w:rFonts w:hint="eastAsia"/>
          <w:bCs/>
          <w:highlight w:val="none"/>
        </w:rPr>
        <w:t>”</w:t>
      </w:r>
      <w:r>
        <w:rPr>
          <w:bCs/>
          <w:highlight w:val="none"/>
        </w:rPr>
        <w:t>项目，9所小学</w:t>
      </w:r>
      <w:r>
        <w:rPr>
          <w:rFonts w:hint="eastAsia"/>
          <w:bCs/>
          <w:highlight w:val="none"/>
        </w:rPr>
        <w:t>、</w:t>
      </w:r>
      <w:r>
        <w:rPr>
          <w:bCs/>
          <w:highlight w:val="none"/>
        </w:rPr>
        <w:t>6所初中共计123间教室参与试点，推出超过200节</w:t>
      </w:r>
      <w:r>
        <w:rPr>
          <w:rFonts w:hint="eastAsia"/>
          <w:highlight w:val="none"/>
        </w:rPr>
        <w:t>“</w:t>
      </w:r>
      <w:r>
        <w:rPr>
          <w:bCs/>
          <w:highlight w:val="none"/>
        </w:rPr>
        <w:t>玄武好课</w:t>
      </w:r>
      <w:r>
        <w:rPr>
          <w:rFonts w:hint="eastAsia"/>
          <w:highlight w:val="none"/>
        </w:rPr>
        <w:t>”，</w:t>
      </w:r>
      <w:r>
        <w:rPr>
          <w:bCs/>
          <w:highlight w:val="none"/>
        </w:rPr>
        <w:t>全方位诊断教师课堂教学情况。</w:t>
      </w:r>
    </w:p>
    <w:p>
      <w:pPr>
        <w:pStyle w:val="30"/>
        <w:spacing w:line="590" w:lineRule="exact"/>
        <w:rPr>
          <w:highlight w:val="none"/>
        </w:rPr>
      </w:pPr>
      <w:r>
        <w:rPr>
          <w:rFonts w:eastAsia="方正楷体_GBK"/>
          <w:bCs/>
          <w:highlight w:val="none"/>
        </w:rPr>
        <w:t>2. 持续开展</w:t>
      </w:r>
      <w:r>
        <w:rPr>
          <w:rFonts w:hint="eastAsia" w:eastAsia="方正楷体_GBK"/>
          <w:bCs/>
          <w:highlight w:val="none"/>
        </w:rPr>
        <w:t>“</w:t>
      </w:r>
      <w:r>
        <w:rPr>
          <w:rFonts w:eastAsia="方正楷体_GBK"/>
          <w:bCs/>
          <w:highlight w:val="none"/>
        </w:rPr>
        <w:t>双减</w:t>
      </w:r>
      <w:r>
        <w:rPr>
          <w:rFonts w:hint="eastAsia" w:eastAsia="方正楷体_GBK"/>
          <w:bCs/>
          <w:highlight w:val="none"/>
        </w:rPr>
        <w:t>”</w:t>
      </w:r>
      <w:r>
        <w:rPr>
          <w:rFonts w:eastAsia="方正楷体_GBK"/>
          <w:bCs/>
          <w:highlight w:val="none"/>
        </w:rPr>
        <w:t>工作。</w:t>
      </w:r>
      <w:r>
        <w:rPr>
          <w:bCs/>
          <w:highlight w:val="none"/>
        </w:rPr>
        <w:t>依托南京教育政务平台</w:t>
      </w:r>
      <w:r>
        <w:rPr>
          <w:rFonts w:hint="eastAsia"/>
          <w:bCs/>
          <w:highlight w:val="none"/>
        </w:rPr>
        <w:t>，</w:t>
      </w:r>
      <w:r>
        <w:rPr>
          <w:bCs/>
          <w:highlight w:val="none"/>
        </w:rPr>
        <w:t>不断完善</w:t>
      </w:r>
      <w:r>
        <w:rPr>
          <w:rFonts w:hint="eastAsia"/>
          <w:bCs/>
          <w:highlight w:val="none"/>
        </w:rPr>
        <w:t>“</w:t>
      </w:r>
      <w:r>
        <w:rPr>
          <w:bCs/>
          <w:highlight w:val="none"/>
        </w:rPr>
        <w:t>课后服务15分钟教育圈</w:t>
      </w:r>
      <w:r>
        <w:rPr>
          <w:rFonts w:hint="eastAsia"/>
          <w:bCs/>
          <w:highlight w:val="none"/>
        </w:rPr>
        <w:t>”</w:t>
      </w:r>
      <w:r>
        <w:rPr>
          <w:bCs/>
          <w:highlight w:val="none"/>
        </w:rPr>
        <w:t>智慧地图应用平台，开发实施118个主题实践活动。加强校外培训监管，组织多部门</w:t>
      </w:r>
      <w:r>
        <w:rPr>
          <w:rFonts w:hint="eastAsia"/>
          <w:bCs/>
          <w:highlight w:val="none"/>
        </w:rPr>
        <w:t>开展</w:t>
      </w:r>
      <w:r>
        <w:rPr>
          <w:bCs/>
          <w:highlight w:val="none"/>
        </w:rPr>
        <w:t>专项检查，护航学生健康成长。</w:t>
      </w:r>
      <w:r>
        <w:rPr>
          <w:rFonts w:hint="eastAsia"/>
          <w:highlight w:val="none"/>
        </w:rPr>
        <w:t>深化“新三学”课堂教学研究实践</w:t>
      </w:r>
      <w:r>
        <w:rPr>
          <w:bCs/>
          <w:highlight w:val="none"/>
        </w:rPr>
        <w:t>，</w:t>
      </w:r>
      <w:r>
        <w:rPr>
          <w:rFonts w:hint="eastAsia"/>
          <w:bCs/>
          <w:highlight w:val="none"/>
        </w:rPr>
        <w:t>推动学生</w:t>
      </w:r>
      <w:r>
        <w:rPr>
          <w:bCs/>
          <w:highlight w:val="none"/>
        </w:rPr>
        <w:t>作业减负</w:t>
      </w:r>
      <w:r>
        <w:rPr>
          <w:rFonts w:hint="eastAsia"/>
          <w:bCs/>
          <w:highlight w:val="none"/>
        </w:rPr>
        <w:t>、</w:t>
      </w:r>
      <w:r>
        <w:rPr>
          <w:bCs/>
          <w:highlight w:val="none"/>
        </w:rPr>
        <w:t>课堂教学增效，</w:t>
      </w:r>
      <w:r>
        <w:rPr>
          <w:rFonts w:hint="eastAsia"/>
          <w:bCs/>
          <w:highlight w:val="none"/>
        </w:rPr>
        <w:t>不断</w:t>
      </w:r>
      <w:r>
        <w:rPr>
          <w:bCs/>
          <w:highlight w:val="none"/>
        </w:rPr>
        <w:t>提升</w:t>
      </w:r>
      <w:r>
        <w:rPr>
          <w:rFonts w:hint="eastAsia"/>
          <w:bCs/>
          <w:highlight w:val="none"/>
        </w:rPr>
        <w:t>教书</w:t>
      </w:r>
      <w:r>
        <w:rPr>
          <w:bCs/>
          <w:highlight w:val="none"/>
        </w:rPr>
        <w:t>育人效益。</w:t>
      </w:r>
    </w:p>
    <w:p>
      <w:pPr>
        <w:rPr>
          <w:rFonts w:ascii="Times New Roman" w:hAnsi="Times New Roman"/>
          <w:bCs/>
          <w:highlight w:val="none"/>
        </w:rPr>
      </w:pPr>
      <w:r>
        <w:rPr>
          <w:rFonts w:ascii="Times New Roman" w:hAnsi="Times New Roman" w:eastAsia="方正楷体_GBK"/>
          <w:bCs/>
          <w:highlight w:val="none"/>
        </w:rPr>
        <w:t>3. 力解养老服务难题。</w:t>
      </w:r>
      <w:r>
        <w:rPr>
          <w:rFonts w:ascii="Times New Roman" w:hAnsi="Times New Roman"/>
          <w:bCs/>
          <w:highlight w:val="none"/>
        </w:rPr>
        <w:t>为2888名</w:t>
      </w:r>
      <w:r>
        <w:rPr>
          <w:rFonts w:hint="eastAsia" w:ascii="Times New Roman" w:hAnsi="Times New Roman"/>
          <w:bCs/>
          <w:highlight w:val="none"/>
        </w:rPr>
        <w:t>“</w:t>
      </w:r>
      <w:r>
        <w:rPr>
          <w:rFonts w:ascii="Times New Roman" w:hAnsi="Times New Roman"/>
          <w:bCs/>
          <w:highlight w:val="none"/>
        </w:rPr>
        <w:t>五类老人</w:t>
      </w:r>
      <w:r>
        <w:rPr>
          <w:rFonts w:hint="eastAsia" w:ascii="Times New Roman" w:hAnsi="Times New Roman"/>
          <w:bCs/>
          <w:highlight w:val="none"/>
        </w:rPr>
        <w:t>”</w:t>
      </w:r>
      <w:r>
        <w:rPr>
          <w:rFonts w:ascii="Times New Roman" w:hAnsi="Times New Roman"/>
          <w:bCs/>
          <w:highlight w:val="none"/>
        </w:rPr>
        <w:t>和90岁以上老年人提供上门养老服务保障</w:t>
      </w:r>
      <w:r>
        <w:rPr>
          <w:rFonts w:hint="eastAsia" w:ascii="Times New Roman" w:hAnsi="Times New Roman"/>
          <w:bCs/>
          <w:highlight w:val="none"/>
        </w:rPr>
        <w:t>，</w:t>
      </w:r>
      <w:r>
        <w:rPr>
          <w:rFonts w:ascii="Times New Roman" w:hAnsi="Times New Roman"/>
          <w:bCs/>
          <w:highlight w:val="none"/>
        </w:rPr>
        <w:t>为15064名80岁以上老年人提供每月不少于2小时的上门照护服务</w:t>
      </w:r>
      <w:r>
        <w:rPr>
          <w:rFonts w:hint="eastAsia" w:ascii="Times New Roman" w:hAnsi="Times New Roman"/>
          <w:bCs/>
          <w:highlight w:val="none"/>
        </w:rPr>
        <w:t>，</w:t>
      </w:r>
      <w:r>
        <w:rPr>
          <w:rFonts w:ascii="Times New Roman" w:hAnsi="Times New Roman"/>
          <w:bCs/>
          <w:highlight w:val="none"/>
        </w:rPr>
        <w:t>开展老年人智能手机培训93场、3384人次。新增养老服务互助时间志愿者495人、服务对象7466人，完成服务订单11288单。做好空巢独居老人探访关爱工作，月均探访老人6.4万余人次。开展各类慰问11655人，发放慰问金463.76万元</w:t>
      </w:r>
      <w:r>
        <w:rPr>
          <w:rFonts w:hint="eastAsia" w:ascii="Times New Roman" w:hAnsi="Times New Roman"/>
          <w:bCs/>
          <w:highlight w:val="none"/>
        </w:rPr>
        <w:t>。</w:t>
      </w:r>
      <w:r>
        <w:rPr>
          <w:rFonts w:ascii="Times New Roman" w:hAnsi="Times New Roman"/>
          <w:bCs/>
          <w:highlight w:val="none"/>
        </w:rPr>
        <w:t>完成年度健康体检32353人，服务企业退休人员3105人</w:t>
      </w:r>
      <w:r>
        <w:rPr>
          <w:rFonts w:hint="eastAsia" w:ascii="Times New Roman" w:hAnsi="Times New Roman"/>
          <w:bCs/>
          <w:highlight w:val="none"/>
        </w:rPr>
        <w:t>次</w:t>
      </w:r>
      <w:r>
        <w:rPr>
          <w:rFonts w:ascii="Times New Roman" w:hAnsi="Times New Roman"/>
          <w:bCs/>
          <w:highlight w:val="none"/>
        </w:rPr>
        <w:t>。</w:t>
      </w:r>
    </w:p>
    <w:p>
      <w:pPr>
        <w:rPr>
          <w:rFonts w:ascii="Times New Roman" w:hAnsi="Times New Roman"/>
          <w:highlight w:val="none"/>
        </w:rPr>
      </w:pPr>
      <w:r>
        <w:rPr>
          <w:rFonts w:ascii="Times New Roman" w:hAnsi="Times New Roman" w:eastAsia="方正楷体_GBK"/>
          <w:bCs/>
          <w:highlight w:val="none"/>
        </w:rPr>
        <w:t>4. 强化弱势群体保障。</w:t>
      </w:r>
      <w:r>
        <w:rPr>
          <w:rFonts w:ascii="Times New Roman" w:hAnsi="Times New Roman"/>
          <w:bCs/>
          <w:highlight w:val="none"/>
        </w:rPr>
        <w:t>完成120户困难家庭适老化改造</w:t>
      </w:r>
      <w:r>
        <w:rPr>
          <w:rFonts w:hint="eastAsia" w:ascii="Times New Roman" w:hAnsi="Times New Roman"/>
          <w:bCs/>
          <w:highlight w:val="none"/>
        </w:rPr>
        <w:t>、</w:t>
      </w:r>
      <w:r>
        <w:rPr>
          <w:rFonts w:ascii="Times New Roman" w:hAnsi="Times New Roman"/>
          <w:highlight w:val="none"/>
        </w:rPr>
        <w:t>21户低收入残疾人家庭</w:t>
      </w:r>
      <w:r>
        <w:rPr>
          <w:rFonts w:hint="eastAsia" w:ascii="Times New Roman" w:hAnsi="Times New Roman"/>
          <w:highlight w:val="none"/>
        </w:rPr>
        <w:t>无障碍改造，</w:t>
      </w:r>
      <w:r>
        <w:rPr>
          <w:rFonts w:ascii="Times New Roman" w:hAnsi="Times New Roman"/>
          <w:highlight w:val="none"/>
        </w:rPr>
        <w:t>在新春佳节</w:t>
      </w:r>
      <w:r>
        <w:rPr>
          <w:rFonts w:hint="eastAsia" w:ascii="Times New Roman" w:hAnsi="Times New Roman"/>
          <w:highlight w:val="none"/>
        </w:rPr>
        <w:t>期间</w:t>
      </w:r>
      <w:r>
        <w:rPr>
          <w:rFonts w:ascii="Times New Roman" w:hAnsi="Times New Roman"/>
          <w:highlight w:val="none"/>
        </w:rPr>
        <w:t>让459个许下微心愿的孩子</w:t>
      </w:r>
      <w:r>
        <w:rPr>
          <w:rFonts w:hint="eastAsia" w:ascii="Times New Roman" w:hAnsi="Times New Roman"/>
          <w:highlight w:val="none"/>
        </w:rPr>
        <w:t>全部收到</w:t>
      </w:r>
      <w:r>
        <w:rPr>
          <w:rFonts w:ascii="Times New Roman" w:hAnsi="Times New Roman"/>
          <w:highlight w:val="none"/>
        </w:rPr>
        <w:t>来自社会的温暖与关爱。</w:t>
      </w:r>
      <w:r>
        <w:rPr>
          <w:rFonts w:hint="eastAsia" w:ascii="Times New Roman" w:hAnsi="Times New Roman"/>
          <w:highlight w:val="none"/>
        </w:rPr>
        <w:t>建成</w:t>
      </w:r>
      <w:r>
        <w:rPr>
          <w:rFonts w:ascii="Times New Roman" w:hAnsi="Times New Roman"/>
          <w:highlight w:val="none"/>
        </w:rPr>
        <w:t>15间</w:t>
      </w:r>
      <w:r>
        <w:rPr>
          <w:rFonts w:hint="eastAsia" w:ascii="Times New Roman" w:hAnsi="Times New Roman"/>
          <w:highlight w:val="none"/>
        </w:rPr>
        <w:t>“梦想</w:t>
      </w:r>
      <w:r>
        <w:rPr>
          <w:rFonts w:ascii="Times New Roman" w:hAnsi="Times New Roman"/>
          <w:highlight w:val="none"/>
        </w:rPr>
        <w:t>小屋</w:t>
      </w:r>
      <w:r>
        <w:rPr>
          <w:rFonts w:hint="eastAsia" w:ascii="Times New Roman" w:hAnsi="Times New Roman"/>
          <w:highlight w:val="none"/>
        </w:rPr>
        <w:t>”，</w:t>
      </w:r>
      <w:r>
        <w:rPr>
          <w:rFonts w:ascii="Times New Roman" w:hAnsi="Times New Roman"/>
          <w:highlight w:val="none"/>
        </w:rPr>
        <w:t>开设爱心暑托班14个，为408名青少年提供安全自护、法治宣传、心理健康、科技创新等课程，实现</w:t>
      </w:r>
      <w:r>
        <w:rPr>
          <w:rFonts w:hint="eastAsia" w:ascii="Times New Roman" w:hAnsi="Times New Roman"/>
          <w:highlight w:val="none"/>
        </w:rPr>
        <w:t>“</w:t>
      </w:r>
      <w:r>
        <w:rPr>
          <w:rFonts w:ascii="Times New Roman" w:hAnsi="Times New Roman"/>
          <w:highlight w:val="none"/>
        </w:rPr>
        <w:t>梦想小屋</w:t>
      </w:r>
      <w:r>
        <w:rPr>
          <w:rFonts w:hint="eastAsia" w:ascii="Times New Roman" w:hAnsi="Times New Roman"/>
          <w:highlight w:val="none"/>
        </w:rPr>
        <w:t>”</w:t>
      </w:r>
      <w:r>
        <w:rPr>
          <w:rFonts w:ascii="Times New Roman" w:hAnsi="Times New Roman"/>
          <w:highlight w:val="none"/>
        </w:rPr>
        <w:t>帮扶对象全覆盖。</w:t>
      </w:r>
    </w:p>
    <w:p>
      <w:pPr>
        <w:rPr>
          <w:rFonts w:ascii="Times New Roman" w:hAnsi="Times New Roman"/>
          <w:bCs/>
          <w:highlight w:val="none"/>
        </w:rPr>
      </w:pPr>
      <w:r>
        <w:rPr>
          <w:rFonts w:ascii="Times New Roman" w:hAnsi="Times New Roman" w:eastAsia="方正楷体_GBK"/>
          <w:bCs/>
          <w:highlight w:val="none"/>
        </w:rPr>
        <w:t>5. 有效促进就业创业。</w:t>
      </w:r>
      <w:r>
        <w:rPr>
          <w:rFonts w:ascii="Times New Roman" w:hAnsi="Times New Roman"/>
          <w:highlight w:val="none"/>
        </w:rPr>
        <w:t>完成玄武门街道百子亭社区、红山街道红山公园社区</w:t>
      </w:r>
      <w:r>
        <w:rPr>
          <w:rFonts w:hint="eastAsia" w:ascii="Times New Roman" w:hAnsi="Times New Roman"/>
          <w:highlight w:val="none"/>
        </w:rPr>
        <w:t>、</w:t>
      </w:r>
      <w:r>
        <w:rPr>
          <w:rFonts w:ascii="Times New Roman" w:hAnsi="Times New Roman"/>
          <w:highlight w:val="none"/>
        </w:rPr>
        <w:t>梅园新村街道梅园新村社区标准化</w:t>
      </w:r>
      <w:r>
        <w:rPr>
          <w:rFonts w:hint="eastAsia" w:ascii="Times New Roman" w:hAnsi="Times New Roman"/>
          <w:highlight w:val="none"/>
        </w:rPr>
        <w:t>“家门口”</w:t>
      </w:r>
      <w:r>
        <w:rPr>
          <w:rFonts w:ascii="Times New Roman" w:hAnsi="Times New Roman"/>
          <w:highlight w:val="none"/>
        </w:rPr>
        <w:t>就业服务站</w:t>
      </w:r>
      <w:r>
        <w:rPr>
          <w:rFonts w:hint="eastAsia" w:ascii="Times New Roman" w:hAnsi="Times New Roman"/>
          <w:highlight w:val="none"/>
        </w:rPr>
        <w:t>建设</w:t>
      </w:r>
      <w:r>
        <w:rPr>
          <w:rFonts w:ascii="Times New Roman" w:hAnsi="Times New Roman"/>
          <w:highlight w:val="none"/>
        </w:rPr>
        <w:t>，帮扶失业人员就业7015人</w:t>
      </w:r>
      <w:r>
        <w:rPr>
          <w:rFonts w:hint="eastAsia" w:ascii="Times New Roman" w:hAnsi="Times New Roman"/>
          <w:highlight w:val="none"/>
        </w:rPr>
        <w:t>、</w:t>
      </w:r>
      <w:r>
        <w:rPr>
          <w:rFonts w:ascii="Times New Roman" w:hAnsi="Times New Roman"/>
          <w:highlight w:val="none"/>
        </w:rPr>
        <w:t>就业困难人员就业850人，完成公益性岗位安置34人，组织各类招聘会119场，支持大学生创业480人。</w:t>
      </w:r>
    </w:p>
    <w:p>
      <w:pPr>
        <w:rPr>
          <w:rFonts w:ascii="Times New Roman" w:hAnsi="Times New Roman"/>
          <w:highlight w:val="none"/>
        </w:rPr>
      </w:pPr>
      <w:r>
        <w:rPr>
          <w:rFonts w:ascii="Times New Roman" w:hAnsi="Times New Roman" w:eastAsia="方正楷体_GBK"/>
          <w:bCs/>
          <w:highlight w:val="none"/>
        </w:rPr>
        <w:t xml:space="preserve">6. </w:t>
      </w:r>
      <w:r>
        <w:rPr>
          <w:rFonts w:ascii="Times New Roman" w:hAnsi="Times New Roman" w:eastAsia="方正楷体_GBK"/>
          <w:bCs/>
          <w:spacing w:val="-4"/>
          <w:highlight w:val="none"/>
        </w:rPr>
        <w:t>完善医疗健康服务。</w:t>
      </w:r>
      <w:r>
        <w:rPr>
          <w:rFonts w:hint="eastAsia" w:ascii="Times New Roman" w:hAnsi="Times New Roman"/>
          <w:spacing w:val="-4"/>
          <w:highlight w:val="none"/>
        </w:rPr>
        <w:t>建成区</w:t>
      </w:r>
      <w:r>
        <w:rPr>
          <w:rFonts w:ascii="Times New Roman" w:hAnsi="Times New Roman"/>
          <w:spacing w:val="-4"/>
          <w:highlight w:val="none"/>
        </w:rPr>
        <w:t>内镜中心、消毒供应中心、影像中心、体检中心、青少年近视预防中心</w:t>
      </w:r>
      <w:r>
        <w:rPr>
          <w:rFonts w:hint="eastAsia" w:ascii="Times New Roman" w:hAnsi="Times New Roman"/>
          <w:spacing w:val="-4"/>
          <w:highlight w:val="none"/>
        </w:rPr>
        <w:t>，评选</w:t>
      </w:r>
      <w:r>
        <w:rPr>
          <w:rFonts w:ascii="Times New Roman" w:hAnsi="Times New Roman"/>
          <w:spacing w:val="-4"/>
          <w:highlight w:val="none"/>
        </w:rPr>
        <w:t>10个金牌家庭医生团队。邀请医联体医院66名专家下基层服务2775人次，为1.7万居民提供高质量诊疗服务</w:t>
      </w:r>
      <w:r>
        <w:rPr>
          <w:rFonts w:hint="eastAsia" w:ascii="Times New Roman" w:hAnsi="Times New Roman"/>
          <w:spacing w:val="-4"/>
          <w:highlight w:val="none"/>
        </w:rPr>
        <w:t>，</w:t>
      </w:r>
      <w:r>
        <w:rPr>
          <w:rFonts w:ascii="Times New Roman" w:hAnsi="Times New Roman"/>
          <w:spacing w:val="-4"/>
          <w:highlight w:val="none"/>
        </w:rPr>
        <w:t>开展</w:t>
      </w:r>
      <w:r>
        <w:rPr>
          <w:rFonts w:hint="eastAsia" w:ascii="Times New Roman" w:hAnsi="Times New Roman"/>
          <w:spacing w:val="-4"/>
          <w:highlight w:val="none"/>
        </w:rPr>
        <w:t>“</w:t>
      </w:r>
      <w:r>
        <w:rPr>
          <w:rFonts w:ascii="Times New Roman" w:hAnsi="Times New Roman"/>
          <w:spacing w:val="-4"/>
          <w:highlight w:val="none"/>
        </w:rPr>
        <w:t>互联网+护理</w:t>
      </w:r>
      <w:r>
        <w:rPr>
          <w:rFonts w:hint="eastAsia" w:ascii="Times New Roman" w:hAnsi="Times New Roman"/>
          <w:spacing w:val="-4"/>
          <w:highlight w:val="none"/>
        </w:rPr>
        <w:t>”</w:t>
      </w:r>
      <w:r>
        <w:rPr>
          <w:rFonts w:ascii="Times New Roman" w:hAnsi="Times New Roman"/>
          <w:spacing w:val="-4"/>
          <w:highlight w:val="none"/>
        </w:rPr>
        <w:t>上门服务1599人次。开展中医药健康常识惠民宣讲活动106场，口腔健康义诊及健康讲座活动108场</w:t>
      </w:r>
      <w:r>
        <w:rPr>
          <w:rFonts w:hint="eastAsia" w:ascii="Times New Roman" w:hAnsi="Times New Roman"/>
          <w:spacing w:val="-4"/>
          <w:highlight w:val="none"/>
        </w:rPr>
        <w:t>。</w:t>
      </w:r>
      <w:r>
        <w:rPr>
          <w:rFonts w:ascii="Times New Roman" w:hAnsi="Times New Roman"/>
          <w:spacing w:val="-4"/>
          <w:highlight w:val="none"/>
        </w:rPr>
        <w:t>完成CPR+AED救护培训12364人。</w:t>
      </w:r>
    </w:p>
    <w:p>
      <w:pPr>
        <w:rPr>
          <w:rFonts w:ascii="Times New Roman" w:hAnsi="Times New Roman"/>
          <w:highlight w:val="none"/>
        </w:rPr>
      </w:pPr>
      <w:r>
        <w:rPr>
          <w:rFonts w:ascii="Times New Roman" w:hAnsi="Times New Roman" w:eastAsia="方正楷体_GBK"/>
          <w:bCs/>
          <w:highlight w:val="none"/>
        </w:rPr>
        <w:t>7. 提升城市功能品质。</w:t>
      </w:r>
      <w:r>
        <w:rPr>
          <w:rFonts w:ascii="Times New Roman" w:hAnsi="Times New Roman"/>
          <w:highlight w:val="none"/>
        </w:rPr>
        <w:t>完成富贵山小区、珍珠河、南博和紫气钟山等4个易积淹水点应急改造</w:t>
      </w:r>
      <w:r>
        <w:rPr>
          <w:rFonts w:hint="eastAsia" w:ascii="Times New Roman" w:hAnsi="Times New Roman"/>
          <w:highlight w:val="none"/>
        </w:rPr>
        <w:t>，</w:t>
      </w:r>
      <w:r>
        <w:rPr>
          <w:rFonts w:ascii="Times New Roman" w:hAnsi="Times New Roman"/>
          <w:highlight w:val="none"/>
        </w:rPr>
        <w:t>内秦淮河流域新街口街道、玄武门街道26个片区雨污水管网清疏修缮</w:t>
      </w:r>
      <w:r>
        <w:rPr>
          <w:rFonts w:hint="eastAsia" w:ascii="Times New Roman" w:hAnsi="Times New Roman"/>
          <w:highlight w:val="none"/>
        </w:rPr>
        <w:t>，</w:t>
      </w:r>
      <w:r>
        <w:rPr>
          <w:rFonts w:ascii="Times New Roman" w:hAnsi="Times New Roman"/>
          <w:kern w:val="0"/>
          <w:highlight w:val="none"/>
        </w:rPr>
        <w:t>完成马高路、柳营西路信号灯专项提升</w:t>
      </w:r>
      <w:r>
        <w:rPr>
          <w:rFonts w:hint="eastAsia" w:ascii="Times New Roman" w:hAnsi="Times New Roman"/>
          <w:kern w:val="0"/>
          <w:highlight w:val="none"/>
        </w:rPr>
        <w:t>，对</w:t>
      </w:r>
      <w:r>
        <w:rPr>
          <w:rFonts w:ascii="Times New Roman" w:hAnsi="Times New Roman"/>
          <w:kern w:val="0"/>
          <w:highlight w:val="none"/>
        </w:rPr>
        <w:t>凯瑟琳广场、北极阁</w:t>
      </w:r>
      <w:r>
        <w:rPr>
          <w:rFonts w:hint="eastAsia" w:ascii="Times New Roman" w:hAnsi="Times New Roman"/>
          <w:kern w:val="0"/>
          <w:highlight w:val="none"/>
        </w:rPr>
        <w:t>、</w:t>
      </w:r>
      <w:r>
        <w:rPr>
          <w:rFonts w:ascii="Times New Roman" w:hAnsi="Times New Roman"/>
          <w:kern w:val="0"/>
          <w:highlight w:val="none"/>
        </w:rPr>
        <w:t>公教一村等10座公厕</w:t>
      </w:r>
      <w:r>
        <w:rPr>
          <w:rFonts w:hint="eastAsia" w:ascii="Times New Roman" w:hAnsi="Times New Roman"/>
          <w:kern w:val="0"/>
          <w:highlight w:val="none"/>
        </w:rPr>
        <w:t>进行</w:t>
      </w:r>
      <w:r>
        <w:rPr>
          <w:rFonts w:ascii="Times New Roman" w:hAnsi="Times New Roman"/>
          <w:kern w:val="0"/>
          <w:highlight w:val="none"/>
        </w:rPr>
        <w:t>无障碍设施改造。</w:t>
      </w:r>
    </w:p>
    <w:p>
      <w:pPr>
        <w:rPr>
          <w:rFonts w:ascii="Times New Roman" w:hAnsi="Times New Roman"/>
          <w:highlight w:val="none"/>
        </w:rPr>
      </w:pPr>
      <w:r>
        <w:rPr>
          <w:rFonts w:ascii="Times New Roman" w:hAnsi="Times New Roman" w:eastAsia="方正楷体_GBK"/>
          <w:bCs/>
          <w:highlight w:val="none"/>
        </w:rPr>
        <w:t>8. 改善群众宜居环境。</w:t>
      </w:r>
      <w:r>
        <w:rPr>
          <w:rFonts w:hint="eastAsia" w:ascii="Times New Roman" w:hAnsi="Times New Roman"/>
          <w:bCs/>
          <w:highlight w:val="none"/>
        </w:rPr>
        <w:t>完成</w:t>
      </w:r>
      <w:r>
        <w:rPr>
          <w:rFonts w:ascii="Times New Roman" w:hAnsi="Times New Roman"/>
          <w:bCs/>
          <w:highlight w:val="none"/>
        </w:rPr>
        <w:t>15个老旧小区改造，总面积约21万平方米，有效改善2724户居民居住环境。完成老旧小区</w:t>
      </w:r>
      <w:r>
        <w:rPr>
          <w:rFonts w:hint="eastAsia" w:ascii="Times New Roman" w:hAnsi="Times New Roman"/>
          <w:bCs/>
          <w:highlight w:val="none"/>
        </w:rPr>
        <w:t>“</w:t>
      </w:r>
      <w:r>
        <w:rPr>
          <w:rFonts w:ascii="Times New Roman" w:hAnsi="Times New Roman"/>
          <w:bCs/>
          <w:highlight w:val="none"/>
        </w:rPr>
        <w:t>路平灯亮</w:t>
      </w:r>
      <w:r>
        <w:rPr>
          <w:rFonts w:hint="eastAsia" w:ascii="Times New Roman" w:hAnsi="Times New Roman"/>
          <w:bCs/>
          <w:highlight w:val="none"/>
        </w:rPr>
        <w:t>”</w:t>
      </w:r>
      <w:r>
        <w:rPr>
          <w:rFonts w:ascii="Times New Roman" w:hAnsi="Times New Roman"/>
          <w:bCs/>
          <w:highlight w:val="none"/>
        </w:rPr>
        <w:t>项目，修缮路面破损838处、公用灯具1168处。完成锁金六村</w:t>
      </w:r>
      <w:r>
        <w:rPr>
          <w:rFonts w:hint="eastAsia" w:ascii="Times New Roman" w:hAnsi="Times New Roman"/>
          <w:bCs/>
          <w:highlight w:val="none"/>
        </w:rPr>
        <w:t>4</w:t>
      </w:r>
      <w:r>
        <w:rPr>
          <w:rFonts w:ascii="Times New Roman" w:hAnsi="Times New Roman"/>
          <w:bCs/>
          <w:highlight w:val="none"/>
        </w:rPr>
        <w:t>栋房屋</w:t>
      </w:r>
      <w:r>
        <w:rPr>
          <w:rFonts w:hint="eastAsia" w:ascii="Times New Roman" w:hAnsi="Times New Roman"/>
          <w:bCs/>
          <w:highlight w:val="none"/>
        </w:rPr>
        <w:t>“</w:t>
      </w:r>
      <w:r>
        <w:rPr>
          <w:rFonts w:ascii="Times New Roman" w:hAnsi="Times New Roman"/>
          <w:bCs/>
          <w:highlight w:val="none"/>
        </w:rPr>
        <w:t>有搬迁意愿、符合搬迁政策居民的搬离及安置房入住</w:t>
      </w:r>
      <w:r>
        <w:rPr>
          <w:rFonts w:hint="eastAsia" w:ascii="Times New Roman" w:hAnsi="Times New Roman"/>
          <w:bCs/>
          <w:highlight w:val="none"/>
        </w:rPr>
        <w:t>”的</w:t>
      </w:r>
      <w:r>
        <w:rPr>
          <w:rFonts w:ascii="Times New Roman" w:hAnsi="Times New Roman"/>
          <w:bCs/>
          <w:highlight w:val="none"/>
        </w:rPr>
        <w:t>工作目标</w:t>
      </w:r>
      <w:r>
        <w:rPr>
          <w:rFonts w:hint="eastAsia" w:ascii="Times New Roman" w:hAnsi="Times New Roman"/>
          <w:bCs/>
          <w:highlight w:val="none"/>
        </w:rPr>
        <w:t>，</w:t>
      </w:r>
      <w:r>
        <w:rPr>
          <w:rFonts w:ascii="Times New Roman" w:hAnsi="Times New Roman"/>
          <w:highlight w:val="none"/>
        </w:rPr>
        <w:t>完成顾家营南北段、余粮路、马高路等13处小微空间景观改造</w:t>
      </w:r>
      <w:r>
        <w:rPr>
          <w:rFonts w:hint="eastAsia" w:ascii="Times New Roman" w:hAnsi="Times New Roman"/>
          <w:highlight w:val="none"/>
        </w:rPr>
        <w:t>提升</w:t>
      </w:r>
      <w:r>
        <w:rPr>
          <w:rFonts w:ascii="Times New Roman" w:hAnsi="Times New Roman"/>
          <w:highlight w:val="none"/>
        </w:rPr>
        <w:t>。</w:t>
      </w:r>
    </w:p>
    <w:p>
      <w:pPr>
        <w:rPr>
          <w:rFonts w:ascii="Times New Roman" w:hAnsi="Times New Roman"/>
          <w:highlight w:val="none"/>
        </w:rPr>
      </w:pPr>
      <w:r>
        <w:rPr>
          <w:rFonts w:ascii="Times New Roman" w:hAnsi="Times New Roman" w:eastAsia="方正楷体_GBK"/>
          <w:bCs/>
          <w:highlight w:val="none"/>
        </w:rPr>
        <w:t>9. 丰富群众文化生活。</w:t>
      </w:r>
      <w:r>
        <w:rPr>
          <w:rFonts w:ascii="Times New Roman" w:hAnsi="Times New Roman"/>
          <w:highlight w:val="none"/>
        </w:rPr>
        <w:t>举办第28届</w:t>
      </w:r>
      <w:r>
        <w:rPr>
          <w:rFonts w:hint="eastAsia" w:ascii="Times New Roman" w:hAnsi="Times New Roman"/>
          <w:highlight w:val="none"/>
        </w:rPr>
        <w:t>“</w:t>
      </w:r>
      <w:r>
        <w:rPr>
          <w:rFonts w:ascii="Times New Roman" w:hAnsi="Times New Roman"/>
          <w:highlight w:val="none"/>
        </w:rPr>
        <w:t>玄武之春</w:t>
      </w:r>
      <w:r>
        <w:rPr>
          <w:rFonts w:hint="eastAsia" w:ascii="Times New Roman" w:hAnsi="Times New Roman"/>
          <w:highlight w:val="none"/>
        </w:rPr>
        <w:t>”</w:t>
      </w:r>
      <w:r>
        <w:rPr>
          <w:rFonts w:ascii="Times New Roman" w:hAnsi="Times New Roman"/>
          <w:highlight w:val="none"/>
        </w:rPr>
        <w:t>系列演出11场，举办第23届社区文化艺术行开幕式暨文化进万家惠民系列活动启动仪式，开展社区艺术行活动60场。</w:t>
      </w:r>
    </w:p>
    <w:p>
      <w:pPr>
        <w:rPr>
          <w:rFonts w:ascii="Times New Roman" w:hAnsi="Times New Roman" w:eastAsia="方正黑体_GBK"/>
          <w:highlight w:val="none"/>
        </w:rPr>
      </w:pPr>
      <w:r>
        <w:rPr>
          <w:rFonts w:ascii="Times New Roman" w:hAnsi="Times New Roman" w:eastAsia="方正楷体_GBK"/>
          <w:highlight w:val="none"/>
        </w:rPr>
        <w:t>10. 加强公共安全保障。</w:t>
      </w:r>
      <w:r>
        <w:rPr>
          <w:rFonts w:ascii="Times New Roman" w:hAnsi="Times New Roman"/>
          <w:highlight w:val="none"/>
        </w:rPr>
        <w:t>完成常住人口和户籍居民自住房自然灾害民生保险保费支付，按保险协议督促承保单位常态化开展案件理赔。</w:t>
      </w:r>
      <w:r>
        <w:rPr>
          <w:rFonts w:ascii="Times New Roman" w:hAnsi="Times New Roman"/>
          <w:highlight w:val="none"/>
          <w:shd w:val="clear" w:color="auto" w:fill="FFFFFF"/>
        </w:rPr>
        <w:t>开展食品检测监督</w:t>
      </w:r>
      <w:r>
        <w:rPr>
          <w:rFonts w:ascii="Times New Roman" w:hAnsi="Times New Roman"/>
          <w:snapToGrid w:val="0"/>
          <w:kern w:val="0"/>
          <w:highlight w:val="none"/>
        </w:rPr>
        <w:t>抽检2601批次，合格率99.9%</w:t>
      </w:r>
      <w:r>
        <w:rPr>
          <w:rFonts w:hint="eastAsia" w:ascii="Times New Roman" w:hAnsi="Times New Roman"/>
          <w:snapToGrid w:val="0"/>
          <w:kern w:val="0"/>
          <w:highlight w:val="none"/>
        </w:rPr>
        <w:t>；</w:t>
      </w:r>
      <w:r>
        <w:rPr>
          <w:rFonts w:ascii="Times New Roman" w:hAnsi="Times New Roman"/>
          <w:snapToGrid w:val="0"/>
          <w:kern w:val="0"/>
          <w:highlight w:val="none"/>
        </w:rPr>
        <w:t>开展食用农产品快检15.01万批次，合格率99.8%；接受市民</w:t>
      </w:r>
      <w:r>
        <w:rPr>
          <w:rFonts w:hint="eastAsia" w:ascii="Times New Roman" w:hAnsi="Times New Roman"/>
          <w:snapToGrid w:val="0"/>
          <w:kern w:val="0"/>
          <w:highlight w:val="none"/>
        </w:rPr>
        <w:t>食品</w:t>
      </w:r>
      <w:r>
        <w:rPr>
          <w:rFonts w:ascii="Times New Roman" w:hAnsi="Times New Roman"/>
          <w:snapToGrid w:val="0"/>
          <w:kern w:val="0"/>
          <w:highlight w:val="none"/>
        </w:rPr>
        <w:t>送检124批次。</w:t>
      </w:r>
      <w:r>
        <w:rPr>
          <w:rFonts w:ascii="Times New Roman" w:hAnsi="Times New Roman"/>
          <w:highlight w:val="none"/>
        </w:rPr>
        <w:t>建成1912消防科普教育示范街，开展专题培训59场。</w:t>
      </w:r>
    </w:p>
    <w:p>
      <w:pPr>
        <w:rPr>
          <w:rFonts w:ascii="Times New Roman" w:hAnsi="Times New Roman"/>
          <w:highlight w:val="none"/>
        </w:rPr>
      </w:pPr>
    </w:p>
    <w:p>
      <w:pPr>
        <w:pStyle w:val="18"/>
        <w:spacing w:after="0" w:line="590" w:lineRule="exact"/>
        <w:ind w:left="0" w:leftChars="0"/>
        <w:jc w:val="both"/>
        <w:rPr>
          <w:rFonts w:ascii="Times New Roman" w:hAnsi="Times New Roman"/>
          <w:highlight w:val="none"/>
        </w:rPr>
      </w:pPr>
    </w:p>
    <w:p>
      <w:pPr>
        <w:widowControl/>
        <w:overflowPunct/>
        <w:snapToGrid/>
        <w:spacing w:line="240" w:lineRule="auto"/>
        <w:ind w:firstLine="0" w:firstLineChars="0"/>
        <w:jc w:val="left"/>
        <w:rPr>
          <w:rFonts w:ascii="Times New Roman" w:hAnsi="Times New Roman"/>
          <w:highlight w:val="none"/>
        </w:rPr>
      </w:pPr>
      <w:r>
        <w:rPr>
          <w:rFonts w:ascii="Times New Roman" w:hAnsi="Times New Roman"/>
          <w:highlight w:val="none"/>
        </w:rPr>
        <w:br w:type="page"/>
      </w:r>
    </w:p>
    <w:p>
      <w:pPr>
        <w:ind w:firstLine="0" w:firstLineChars="0"/>
        <w:rPr>
          <w:rFonts w:ascii="Times New Roman" w:hAnsi="Times New Roman" w:eastAsia="方正黑体_GBK"/>
          <w:bCs/>
          <w:highlight w:val="none"/>
        </w:rPr>
      </w:pPr>
      <w:r>
        <w:rPr>
          <w:rFonts w:hint="eastAsia" w:ascii="Times New Roman" w:hAnsi="Times New Roman" w:eastAsia="方正黑体_GBK"/>
          <w:bCs/>
          <w:highlight w:val="none"/>
        </w:rPr>
        <w:t>附件2</w:t>
      </w:r>
    </w:p>
    <w:p>
      <w:pPr>
        <w:spacing w:line="500" w:lineRule="exact"/>
        <w:rPr>
          <w:rFonts w:ascii="Times New Roman" w:hAnsi="Times New Roman" w:eastAsia="方正小标宋_GBK"/>
          <w:bCs/>
          <w:sz w:val="44"/>
          <w:szCs w:val="44"/>
          <w:highlight w:val="none"/>
        </w:rPr>
      </w:pPr>
    </w:p>
    <w:p>
      <w:pPr>
        <w:pStyle w:val="26"/>
        <w:rPr>
          <w:rFonts w:ascii="Times New Roman" w:hAnsi="Times New Roman"/>
          <w:highlight w:val="none"/>
        </w:rPr>
      </w:pPr>
      <w:r>
        <w:rPr>
          <w:rFonts w:ascii="Times New Roman" w:hAnsi="Times New Roman"/>
          <w:highlight w:val="none"/>
        </w:rPr>
        <w:t>202</w:t>
      </w:r>
      <w:r>
        <w:rPr>
          <w:rFonts w:hint="eastAsia" w:ascii="Times New Roman" w:hAnsi="Times New Roman"/>
          <w:highlight w:val="none"/>
        </w:rPr>
        <w:t>5年玄武区民生实事项目建议清单</w:t>
      </w:r>
    </w:p>
    <w:p>
      <w:pPr>
        <w:spacing w:line="500" w:lineRule="exact"/>
        <w:rPr>
          <w:rFonts w:ascii="Times New Roman" w:hAnsi="Times New Roman" w:eastAsia="方正小标宋_GBK"/>
          <w:bCs/>
          <w:sz w:val="44"/>
          <w:szCs w:val="44"/>
          <w:highlight w:val="none"/>
        </w:rPr>
      </w:pPr>
    </w:p>
    <w:p>
      <w:pPr>
        <w:rPr>
          <w:rFonts w:ascii="Times New Roman" w:hAnsi="Times New Roman"/>
          <w:highlight w:val="none"/>
        </w:rPr>
      </w:pPr>
      <w:r>
        <w:rPr>
          <w:rFonts w:ascii="Times New Roman" w:hAnsi="Times New Roman" w:eastAsia="方正楷体_GBK"/>
          <w:bCs/>
          <w:highlight w:val="none"/>
        </w:rPr>
        <w:t>1. 提升学生身心健康水平。</w:t>
      </w:r>
      <w:r>
        <w:rPr>
          <w:rFonts w:ascii="Times New Roman" w:hAnsi="Times New Roman"/>
          <w:highlight w:val="none"/>
        </w:rPr>
        <w:t>优化校园体育运动环境，完成南京理工大学附属中学等4所学校运动场地改造；加强青少年心理健康服务，推进</w:t>
      </w:r>
      <w:r>
        <w:rPr>
          <w:rFonts w:hint="eastAsia" w:ascii="Times New Roman" w:hAnsi="Times New Roman"/>
          <w:highlight w:val="none"/>
        </w:rPr>
        <w:t>“</w:t>
      </w:r>
      <w:r>
        <w:rPr>
          <w:rFonts w:ascii="Times New Roman" w:hAnsi="Times New Roman"/>
          <w:highlight w:val="none"/>
        </w:rPr>
        <w:t>全员关爱导师制</w:t>
      </w:r>
      <w:r>
        <w:rPr>
          <w:rFonts w:hint="eastAsia" w:ascii="Times New Roman" w:hAnsi="Times New Roman"/>
          <w:highlight w:val="none"/>
        </w:rPr>
        <w:t>”</w:t>
      </w:r>
      <w:r>
        <w:rPr>
          <w:rFonts w:ascii="Times New Roman" w:hAnsi="Times New Roman"/>
          <w:highlight w:val="none"/>
        </w:rPr>
        <w:t>工作，全年开展不少于100次心理健康教育活动；抽取8所学校学生开展常见病和健康影响因素监测，对在监测中发现的主要问题开展精准干预，促进区内青少年身心健康发展。（责任单位：区教育局）</w:t>
      </w:r>
    </w:p>
    <w:p>
      <w:pPr>
        <w:rPr>
          <w:rFonts w:ascii="Times New Roman" w:hAnsi="Times New Roman"/>
          <w:highlight w:val="none"/>
        </w:rPr>
      </w:pPr>
      <w:r>
        <w:rPr>
          <w:rFonts w:ascii="Times New Roman" w:hAnsi="Times New Roman" w:eastAsia="方正楷体_GBK"/>
          <w:bCs/>
          <w:highlight w:val="none"/>
        </w:rPr>
        <w:t>2. 提高就业服务能力。</w:t>
      </w:r>
      <w:r>
        <w:rPr>
          <w:rFonts w:ascii="Times New Roman" w:hAnsi="Times New Roman"/>
          <w:highlight w:val="none"/>
        </w:rPr>
        <w:t>组织线上线下招聘活动100场次，提供不少于1万个次就业岗位，帮扶就业困难人员就业600人；加大残疾人就业培训力度，组织残疾人培训100人次；为来宁求职的高校应届毕业生和青年人才提供最长14天的免费过渡性住宿，累计提供</w:t>
      </w:r>
      <w:r>
        <w:rPr>
          <w:rFonts w:hint="eastAsia" w:ascii="Times New Roman" w:hAnsi="Times New Roman"/>
          <w:highlight w:val="none"/>
        </w:rPr>
        <w:t>“</w:t>
      </w:r>
      <w:r>
        <w:rPr>
          <w:rFonts w:ascii="Times New Roman" w:hAnsi="Times New Roman"/>
          <w:highlight w:val="none"/>
        </w:rPr>
        <w:t>宁青驿站</w:t>
      </w:r>
      <w:r>
        <w:rPr>
          <w:rFonts w:hint="eastAsia" w:ascii="Times New Roman" w:hAnsi="Times New Roman"/>
          <w:highlight w:val="none"/>
        </w:rPr>
        <w:t>”</w:t>
      </w:r>
      <w:r>
        <w:rPr>
          <w:rFonts w:ascii="Times New Roman" w:hAnsi="Times New Roman"/>
          <w:highlight w:val="none"/>
        </w:rPr>
        <w:t>不少于5000天免费过渡性住宿。（责任单位：区人社局、区残联、团区委）</w:t>
      </w:r>
    </w:p>
    <w:p>
      <w:pPr>
        <w:rPr>
          <w:rFonts w:ascii="Times New Roman" w:hAnsi="Times New Roman"/>
          <w:highlight w:val="none"/>
        </w:rPr>
      </w:pPr>
      <w:r>
        <w:rPr>
          <w:rFonts w:ascii="Times New Roman" w:hAnsi="Times New Roman" w:eastAsia="方正楷体_GBK"/>
          <w:bCs/>
          <w:highlight w:val="none"/>
        </w:rPr>
        <w:t>3. 开展贴心为老服务。</w:t>
      </w:r>
      <w:r>
        <w:rPr>
          <w:rFonts w:ascii="Times New Roman" w:hAnsi="Times New Roman"/>
          <w:spacing w:val="-6"/>
          <w:sz w:val="32"/>
          <w:highlight w:val="none"/>
        </w:rPr>
        <w:t>动态</w:t>
      </w:r>
      <w:r>
        <w:rPr>
          <w:rFonts w:hint="eastAsia" w:ascii="Times New Roman" w:hAnsi="Times New Roman"/>
          <w:spacing w:val="-6"/>
          <w:sz w:val="32"/>
          <w:highlight w:val="none"/>
        </w:rPr>
        <w:t>调整</w:t>
      </w:r>
      <w:r>
        <w:rPr>
          <w:rFonts w:ascii="Times New Roman" w:hAnsi="Times New Roman"/>
          <w:spacing w:val="-6"/>
          <w:sz w:val="32"/>
          <w:highlight w:val="none"/>
        </w:rPr>
        <w:t>空巢独居重点困难老人名单，通过社区网格员、养老服务组织等联动探访，</w:t>
      </w:r>
      <w:r>
        <w:rPr>
          <w:rFonts w:ascii="Times New Roman" w:hAnsi="Times New Roman"/>
          <w:spacing w:val="0"/>
          <w:sz w:val="32"/>
          <w:highlight w:val="none"/>
        </w:rPr>
        <w:t>实现探访全覆盖；</w:t>
      </w:r>
      <w:r>
        <w:rPr>
          <w:rFonts w:hint="eastAsia" w:ascii="Times New Roman" w:hAnsi="Times New Roman"/>
          <w:spacing w:val="0"/>
          <w:sz w:val="32"/>
          <w:highlight w:val="none"/>
        </w:rPr>
        <w:t>开展失能老年人家庭培训不少于60户，提高失能老年人家庭成员照护能力</w:t>
      </w:r>
      <w:r>
        <w:rPr>
          <w:rFonts w:ascii="Times New Roman" w:hAnsi="Times New Roman"/>
          <w:spacing w:val="0"/>
          <w:sz w:val="32"/>
          <w:highlight w:val="none"/>
        </w:rPr>
        <w:t>；</w:t>
      </w:r>
      <w:r>
        <w:rPr>
          <w:rFonts w:hint="eastAsia" w:ascii="Times New Roman" w:hAnsi="Times New Roman"/>
          <w:spacing w:val="-6"/>
          <w:sz w:val="32"/>
          <w:highlight w:val="none"/>
        </w:rPr>
        <w:t>探索银发助餐点与社区食堂融合服务，支持国有企业建设带有为老服务功能的社区食堂，</w:t>
      </w:r>
      <w:r>
        <w:rPr>
          <w:rFonts w:hint="eastAsia" w:ascii="Times New Roman" w:hAnsi="Times New Roman"/>
          <w:spacing w:val="0"/>
          <w:sz w:val="32"/>
          <w:highlight w:val="none"/>
        </w:rPr>
        <w:t>创建不少于1家示范性银发助餐点</w:t>
      </w:r>
      <w:r>
        <w:rPr>
          <w:rFonts w:ascii="Times New Roman" w:hAnsi="Times New Roman"/>
          <w:spacing w:val="-6"/>
          <w:sz w:val="32"/>
          <w:highlight w:val="none"/>
        </w:rPr>
        <w:t>；完善企业退休人员免费健康体检工作流程</w:t>
      </w:r>
      <w:r>
        <w:rPr>
          <w:rFonts w:ascii="Times New Roman" w:hAnsi="Times New Roman"/>
          <w:spacing w:val="0"/>
          <w:sz w:val="32"/>
          <w:highlight w:val="none"/>
        </w:rPr>
        <w:t>，为3.5万名企</w:t>
      </w:r>
      <w:r>
        <w:rPr>
          <w:rFonts w:ascii="Times New Roman" w:hAnsi="Times New Roman"/>
          <w:highlight w:val="none"/>
        </w:rPr>
        <w:t>业退休人员</w:t>
      </w:r>
      <w:r>
        <w:rPr>
          <w:rFonts w:hint="eastAsia" w:ascii="Times New Roman" w:hAnsi="Times New Roman"/>
          <w:highlight w:val="none"/>
        </w:rPr>
        <w:t>提供</w:t>
      </w:r>
      <w:r>
        <w:rPr>
          <w:rFonts w:ascii="Times New Roman" w:hAnsi="Times New Roman"/>
          <w:highlight w:val="none"/>
        </w:rPr>
        <w:t>免费健康体检。（责任单位：区民政局、区人社局）</w:t>
      </w:r>
    </w:p>
    <w:p>
      <w:pPr>
        <w:rPr>
          <w:rFonts w:ascii="Times New Roman" w:hAnsi="Times New Roman"/>
          <w:highlight w:val="none"/>
        </w:rPr>
      </w:pPr>
      <w:r>
        <w:rPr>
          <w:rFonts w:ascii="Times New Roman" w:hAnsi="Times New Roman" w:eastAsia="方正楷体_GBK"/>
          <w:bCs/>
          <w:highlight w:val="none"/>
        </w:rPr>
        <w:t>4. 优化医疗健康服务。</w:t>
      </w:r>
      <w:r>
        <w:rPr>
          <w:rFonts w:ascii="Times New Roman" w:hAnsi="Times New Roman"/>
          <w:highlight w:val="none"/>
        </w:rPr>
        <w:t>建设5个中医</w:t>
      </w:r>
      <w:r>
        <w:rPr>
          <w:rFonts w:hint="eastAsia" w:ascii="Times New Roman" w:hAnsi="Times New Roman"/>
          <w:highlight w:val="none"/>
        </w:rPr>
        <w:t>特色</w:t>
      </w:r>
      <w:r>
        <w:rPr>
          <w:rFonts w:ascii="Times New Roman" w:hAnsi="Times New Roman"/>
          <w:highlight w:val="none"/>
        </w:rPr>
        <w:t>家庭医生工作室、5个养老机构中医工作室，推进中医药全面融入家医签约服务和养老机构健康服务；</w:t>
      </w:r>
      <w:r>
        <w:rPr>
          <w:rFonts w:hint="eastAsia" w:ascii="Times New Roman" w:hAnsi="Times New Roman"/>
          <w:highlight w:val="none"/>
        </w:rPr>
        <w:t>健全区域院前急救体系，</w:t>
      </w:r>
      <w:r>
        <w:rPr>
          <w:rFonts w:ascii="Times New Roman" w:hAnsi="Times New Roman"/>
          <w:highlight w:val="none"/>
        </w:rPr>
        <w:t>联合东部战区总医院</w:t>
      </w:r>
      <w:r>
        <w:rPr>
          <w:rFonts w:hint="eastAsia" w:ascii="Times New Roman" w:hAnsi="Times New Roman"/>
          <w:highlight w:val="none"/>
        </w:rPr>
        <w:t>“</w:t>
      </w:r>
      <w:r>
        <w:rPr>
          <w:rFonts w:ascii="Times New Roman" w:hAnsi="Times New Roman"/>
          <w:highlight w:val="none"/>
        </w:rPr>
        <w:t>双拥</w:t>
      </w:r>
      <w:r>
        <w:rPr>
          <w:rFonts w:hint="eastAsia" w:ascii="Times New Roman" w:hAnsi="Times New Roman"/>
          <w:highlight w:val="none"/>
        </w:rPr>
        <w:t>”</w:t>
      </w:r>
      <w:r>
        <w:rPr>
          <w:rFonts w:ascii="Times New Roman" w:hAnsi="Times New Roman"/>
          <w:highlight w:val="none"/>
        </w:rPr>
        <w:t>共建军民融合式急救站点</w:t>
      </w:r>
      <w:r>
        <w:rPr>
          <w:rFonts w:hint="eastAsia" w:ascii="Times New Roman" w:hAnsi="Times New Roman"/>
          <w:highlight w:val="none"/>
        </w:rPr>
        <w:t>；</w:t>
      </w:r>
      <w:r>
        <w:rPr>
          <w:rFonts w:ascii="Times New Roman" w:hAnsi="Times New Roman"/>
          <w:highlight w:val="none"/>
        </w:rPr>
        <w:t>开展救护员培训、CPR+AED使用持证培训等多层次培训，培训人数</w:t>
      </w:r>
      <w:r>
        <w:rPr>
          <w:rFonts w:hint="eastAsia" w:ascii="Times New Roman" w:hAnsi="Times New Roman"/>
          <w:highlight w:val="none"/>
        </w:rPr>
        <w:t>不少于</w:t>
      </w:r>
      <w:r>
        <w:rPr>
          <w:rFonts w:ascii="Times New Roman" w:hAnsi="Times New Roman"/>
          <w:highlight w:val="none"/>
        </w:rPr>
        <w:t>2</w:t>
      </w:r>
      <w:r>
        <w:rPr>
          <w:rFonts w:hint="eastAsia" w:ascii="Times New Roman" w:hAnsi="Times New Roman"/>
          <w:highlight w:val="none"/>
        </w:rPr>
        <w:t>万</w:t>
      </w:r>
      <w:r>
        <w:rPr>
          <w:rFonts w:ascii="Times New Roman" w:hAnsi="Times New Roman"/>
          <w:highlight w:val="none"/>
        </w:rPr>
        <w:t>人；加快推进精神障碍社区康复站点规范化建设，精神障碍社区康复对象的社区康复服务需求得到100%回应。（责任单位：区卫健委、区红十字会、区民政局）</w:t>
      </w:r>
    </w:p>
    <w:p>
      <w:pPr>
        <w:rPr>
          <w:rFonts w:ascii="Times New Roman" w:hAnsi="Times New Roman" w:eastAsia="方正楷体_GBK"/>
          <w:bCs/>
          <w:highlight w:val="none"/>
        </w:rPr>
      </w:pPr>
      <w:r>
        <w:rPr>
          <w:rFonts w:ascii="Times New Roman" w:hAnsi="Times New Roman" w:eastAsia="方正楷体_GBK"/>
          <w:bCs/>
          <w:highlight w:val="none"/>
        </w:rPr>
        <w:t>5. 提升群众居住环境。</w:t>
      </w:r>
      <w:r>
        <w:rPr>
          <w:rFonts w:ascii="Times New Roman" w:hAnsi="Times New Roman"/>
          <w:highlight w:val="none"/>
        </w:rPr>
        <w:t>改造22个老旧小区165栋房屋，建筑面积约35.66万平方米，涉及居民4889户；</w:t>
      </w:r>
      <w:r>
        <w:rPr>
          <w:rFonts w:hint="eastAsia" w:ascii="Times New Roman" w:hAnsi="Times New Roman"/>
          <w:highlight w:val="none"/>
        </w:rPr>
        <w:t>组织开展物业领域相关培训不少于10次，打造以百子物业为核心的国企物业一体化系统服务平台；</w:t>
      </w:r>
      <w:r>
        <w:rPr>
          <w:rFonts w:ascii="Times New Roman" w:hAnsi="Times New Roman"/>
          <w:highlight w:val="none"/>
        </w:rPr>
        <w:t>清疏修缮22个片区雨污水管网，积极探索小区排水设施常态化管养。（责任单位：区房产局、区水务局）</w:t>
      </w:r>
    </w:p>
    <w:p>
      <w:pPr>
        <w:rPr>
          <w:rFonts w:ascii="Times New Roman" w:hAnsi="Times New Roman"/>
          <w:highlight w:val="none"/>
        </w:rPr>
      </w:pPr>
      <w:r>
        <w:rPr>
          <w:rFonts w:ascii="Times New Roman" w:hAnsi="Times New Roman" w:eastAsia="方正楷体_GBK"/>
          <w:bCs/>
          <w:highlight w:val="none"/>
        </w:rPr>
        <w:t>6. 方便群众交通出行。</w:t>
      </w:r>
      <w:r>
        <w:rPr>
          <w:rFonts w:hint="eastAsia" w:ascii="Times New Roman" w:hAnsi="Times New Roman"/>
          <w:highlight w:val="none"/>
        </w:rPr>
        <w:t>完成</w:t>
      </w:r>
      <w:r>
        <w:rPr>
          <w:rFonts w:ascii="Times New Roman" w:hAnsi="Times New Roman"/>
          <w:highlight w:val="none"/>
        </w:rPr>
        <w:t>华新路局部拓宽、雨污水管道修复、全线路灯新增、标线标牌完善等配套设施</w:t>
      </w:r>
      <w:r>
        <w:rPr>
          <w:rFonts w:hint="eastAsia" w:ascii="Times New Roman" w:hAnsi="Times New Roman"/>
          <w:highlight w:val="none"/>
        </w:rPr>
        <w:t>建设，</w:t>
      </w:r>
      <w:r>
        <w:rPr>
          <w:rFonts w:ascii="Times New Roman" w:hAnsi="Times New Roman"/>
          <w:highlight w:val="none"/>
        </w:rPr>
        <w:t>实施华跃路西延道路建设工程；</w:t>
      </w:r>
      <w:r>
        <w:rPr>
          <w:rFonts w:hint="eastAsia" w:ascii="Times New Roman" w:hAnsi="Times New Roman"/>
          <w:highlight w:val="none"/>
        </w:rPr>
        <w:t>实施</w:t>
      </w:r>
      <w:r>
        <w:rPr>
          <w:rFonts w:ascii="Times New Roman" w:hAnsi="Times New Roman"/>
          <w:highlight w:val="none"/>
        </w:rPr>
        <w:t>道路信号灯专项提升（第二批）</w:t>
      </w:r>
      <w:r>
        <w:rPr>
          <w:rFonts w:hint="eastAsia" w:ascii="Times New Roman" w:hAnsi="Times New Roman"/>
          <w:highlight w:val="none"/>
        </w:rPr>
        <w:t>以及</w:t>
      </w:r>
      <w:r>
        <w:rPr>
          <w:rFonts w:ascii="Times New Roman" w:hAnsi="Times New Roman"/>
          <w:highlight w:val="none"/>
        </w:rPr>
        <w:t>红山新城红山南路</w:t>
      </w:r>
      <w:r>
        <w:rPr>
          <w:rFonts w:hint="eastAsia" w:ascii="Times New Roman" w:hAnsi="Times New Roman"/>
          <w:highlight w:val="none"/>
        </w:rPr>
        <w:t>、</w:t>
      </w:r>
      <w:r>
        <w:rPr>
          <w:rFonts w:ascii="Times New Roman" w:hAnsi="Times New Roman"/>
          <w:highlight w:val="none"/>
        </w:rPr>
        <w:t>北苑东路等交</w:t>
      </w:r>
      <w:r>
        <w:rPr>
          <w:rFonts w:hint="eastAsia" w:ascii="Times New Roman" w:hAnsi="Times New Roman"/>
          <w:highlight w:val="none"/>
        </w:rPr>
        <w:t>通</w:t>
      </w:r>
      <w:r>
        <w:rPr>
          <w:rFonts w:ascii="Times New Roman" w:hAnsi="Times New Roman"/>
          <w:highlight w:val="none"/>
        </w:rPr>
        <w:t>安</w:t>
      </w:r>
      <w:r>
        <w:rPr>
          <w:rFonts w:hint="eastAsia" w:ascii="Times New Roman" w:hAnsi="Times New Roman"/>
          <w:highlight w:val="none"/>
        </w:rPr>
        <w:t>全</w:t>
      </w:r>
      <w:r>
        <w:rPr>
          <w:rFonts w:ascii="Times New Roman" w:hAnsi="Times New Roman"/>
          <w:highlight w:val="none"/>
        </w:rPr>
        <w:t>设施专项提升；加大城市排水防涝治理，对墨香路等5条道路排水区域</w:t>
      </w:r>
      <w:r>
        <w:rPr>
          <w:rFonts w:hint="eastAsia" w:ascii="Times New Roman" w:hAnsi="Times New Roman"/>
          <w:highlight w:val="none"/>
        </w:rPr>
        <w:t>进行</w:t>
      </w:r>
      <w:r>
        <w:rPr>
          <w:rFonts w:ascii="Times New Roman" w:hAnsi="Times New Roman"/>
          <w:highlight w:val="none"/>
        </w:rPr>
        <w:t>整治。（责任单位：区建设局、区水务局）</w:t>
      </w:r>
    </w:p>
    <w:p>
      <w:pPr>
        <w:rPr>
          <w:rFonts w:ascii="Times New Roman" w:hAnsi="Times New Roman"/>
          <w:highlight w:val="none"/>
        </w:rPr>
      </w:pPr>
      <w:r>
        <w:rPr>
          <w:rFonts w:ascii="Times New Roman" w:hAnsi="Times New Roman" w:eastAsia="方正楷体_GBK"/>
          <w:bCs/>
          <w:highlight w:val="none"/>
        </w:rPr>
        <w:t xml:space="preserve">7. </w:t>
      </w:r>
      <w:r>
        <w:rPr>
          <w:rFonts w:hint="eastAsia" w:ascii="Times New Roman" w:hAnsi="Times New Roman" w:eastAsia="方正楷体_GBK"/>
          <w:bCs/>
          <w:highlight w:val="none"/>
        </w:rPr>
        <w:t>关爱困境妇女、青少年成长</w:t>
      </w:r>
      <w:r>
        <w:rPr>
          <w:rFonts w:ascii="Times New Roman" w:hAnsi="Times New Roman" w:eastAsia="方正楷体_GBK"/>
          <w:bCs/>
          <w:highlight w:val="none"/>
        </w:rPr>
        <w:t>。</w:t>
      </w:r>
      <w:r>
        <w:rPr>
          <w:rFonts w:hint="eastAsia" w:ascii="Times New Roman" w:hAnsi="Times New Roman"/>
          <w:highlight w:val="none"/>
        </w:rPr>
        <w:t>建立“1+7公益性家庭建设服务网络体系”，组建“专业心理咨询师+社区社工队伍”心理救援小组，为困境妇女家庭提供“一户一策”关爱服务不少于200户；</w:t>
      </w:r>
      <w:r>
        <w:rPr>
          <w:rFonts w:ascii="Times New Roman" w:hAnsi="Times New Roman"/>
          <w:highlight w:val="none"/>
        </w:rPr>
        <w:t>针对困境青少年，新建</w:t>
      </w:r>
      <w:r>
        <w:rPr>
          <w:rFonts w:hint="eastAsia" w:ascii="Times New Roman" w:hAnsi="Times New Roman"/>
          <w:highlight w:val="none"/>
        </w:rPr>
        <w:t>“</w:t>
      </w:r>
      <w:r>
        <w:rPr>
          <w:rFonts w:ascii="Times New Roman" w:hAnsi="Times New Roman"/>
          <w:highlight w:val="none"/>
        </w:rPr>
        <w:t>梦想小屋</w:t>
      </w:r>
      <w:r>
        <w:rPr>
          <w:rFonts w:hint="eastAsia" w:ascii="Times New Roman" w:hAnsi="Times New Roman"/>
          <w:highlight w:val="none"/>
        </w:rPr>
        <w:t>”</w:t>
      </w:r>
      <w:r>
        <w:rPr>
          <w:rFonts w:ascii="Times New Roman" w:hAnsi="Times New Roman"/>
          <w:highlight w:val="none"/>
        </w:rPr>
        <w:t>不少于10间；面向困境青少年、新就业群体子女等群体，举办</w:t>
      </w:r>
      <w:r>
        <w:rPr>
          <w:rFonts w:hint="eastAsia" w:ascii="Times New Roman" w:hAnsi="Times New Roman"/>
          <w:highlight w:val="none"/>
        </w:rPr>
        <w:t>“</w:t>
      </w:r>
      <w:r>
        <w:rPr>
          <w:rFonts w:ascii="Times New Roman" w:hAnsi="Times New Roman"/>
          <w:highlight w:val="none"/>
        </w:rPr>
        <w:t>爱心暑托班</w:t>
      </w:r>
      <w:r>
        <w:rPr>
          <w:rFonts w:hint="eastAsia" w:ascii="Times New Roman" w:hAnsi="Times New Roman"/>
          <w:highlight w:val="none"/>
        </w:rPr>
        <w:t>”</w:t>
      </w:r>
      <w:r>
        <w:rPr>
          <w:rFonts w:ascii="Times New Roman" w:hAnsi="Times New Roman"/>
          <w:highlight w:val="none"/>
        </w:rPr>
        <w:t>不少于14个，服务家庭不少于300户；为170名残疾儿童提供基本康复救助服务。（责任单位：</w:t>
      </w:r>
      <w:r>
        <w:rPr>
          <w:rFonts w:hint="eastAsia" w:ascii="Times New Roman" w:hAnsi="Times New Roman"/>
          <w:highlight w:val="none"/>
        </w:rPr>
        <w:t>区妇联、</w:t>
      </w:r>
      <w:r>
        <w:rPr>
          <w:rFonts w:ascii="Times New Roman" w:hAnsi="Times New Roman"/>
          <w:highlight w:val="none"/>
        </w:rPr>
        <w:t>团区委、区残联）</w:t>
      </w:r>
    </w:p>
    <w:p>
      <w:pPr>
        <w:rPr>
          <w:rFonts w:ascii="Times New Roman" w:hAnsi="Times New Roman"/>
          <w:highlight w:val="none"/>
        </w:rPr>
      </w:pPr>
      <w:r>
        <w:rPr>
          <w:rFonts w:ascii="Times New Roman" w:hAnsi="Times New Roman" w:eastAsia="方正楷体_GBK"/>
          <w:bCs/>
          <w:highlight w:val="none"/>
        </w:rPr>
        <w:t>8. 提升城市安全韧性。</w:t>
      </w:r>
      <w:r>
        <w:rPr>
          <w:rFonts w:hint="eastAsia" w:ascii="Times New Roman" w:hAnsi="Times New Roman"/>
          <w:highlight w:val="none"/>
        </w:rPr>
        <w:t>开展</w:t>
      </w:r>
      <w:r>
        <w:rPr>
          <w:rFonts w:ascii="Times New Roman" w:hAnsi="Times New Roman"/>
          <w:highlight w:val="none"/>
        </w:rPr>
        <w:t>食品质量监督抽检2400批次</w:t>
      </w:r>
      <w:r>
        <w:rPr>
          <w:rFonts w:hint="eastAsia" w:ascii="Times New Roman" w:hAnsi="Times New Roman"/>
          <w:highlight w:val="none"/>
        </w:rPr>
        <w:t>、</w:t>
      </w:r>
      <w:r>
        <w:rPr>
          <w:rFonts w:ascii="Times New Roman" w:hAnsi="Times New Roman"/>
          <w:highlight w:val="none"/>
        </w:rPr>
        <w:t>农副产品快检13万批次，食用（地产）农产品监督抽检问题处置率达100%；</w:t>
      </w:r>
      <w:r>
        <w:rPr>
          <w:rFonts w:hint="eastAsia" w:ascii="Times New Roman" w:hAnsi="Times New Roman"/>
          <w:highlight w:val="none"/>
        </w:rPr>
        <w:t>完善消防基础设施建设，</w:t>
      </w:r>
      <w:r>
        <w:rPr>
          <w:rFonts w:ascii="Times New Roman" w:hAnsi="Times New Roman"/>
          <w:highlight w:val="none"/>
        </w:rPr>
        <w:t>推动全区</w:t>
      </w:r>
      <w:r>
        <w:rPr>
          <w:rFonts w:hint="eastAsia" w:ascii="Times New Roman" w:hAnsi="Times New Roman"/>
          <w:highlight w:val="none"/>
        </w:rPr>
        <w:t>“</w:t>
      </w:r>
      <w:r>
        <w:rPr>
          <w:rFonts w:ascii="Times New Roman" w:hAnsi="Times New Roman"/>
          <w:highlight w:val="none"/>
        </w:rPr>
        <w:t>九小场所</w:t>
      </w:r>
      <w:r>
        <w:rPr>
          <w:rFonts w:hint="eastAsia" w:ascii="Times New Roman" w:hAnsi="Times New Roman"/>
          <w:highlight w:val="none"/>
        </w:rPr>
        <w:t>”</w:t>
      </w:r>
      <w:r>
        <w:rPr>
          <w:rFonts w:ascii="Times New Roman" w:hAnsi="Times New Roman"/>
          <w:highlight w:val="none"/>
        </w:rPr>
        <w:t>和独居老人安装独立式感烟火灾探测器不少于600只、简易喷淋不少于200套；开展重点小型场所单位演练活动1000余家次，基层防灾减灾和应急救护等培训演练20场以上；排查解决小区电力线路安全隐患，对树木进行合理化修剪，保障群众生命财产安全。（责任单位：区市场监管局、区消防救援局、区应急管理局、区建设局）</w:t>
      </w:r>
    </w:p>
    <w:p>
      <w:pPr>
        <w:rPr>
          <w:rFonts w:ascii="Times New Roman" w:hAnsi="Times New Roman"/>
          <w:highlight w:val="none"/>
        </w:rPr>
      </w:pPr>
      <w:r>
        <w:rPr>
          <w:rFonts w:ascii="Times New Roman" w:hAnsi="Times New Roman" w:eastAsia="方正楷体_GBK"/>
          <w:bCs/>
          <w:highlight w:val="none"/>
        </w:rPr>
        <w:t>9. 改善城市公共环境。</w:t>
      </w:r>
      <w:r>
        <w:rPr>
          <w:rFonts w:ascii="Times New Roman" w:hAnsi="Times New Roman"/>
          <w:highlight w:val="none"/>
        </w:rPr>
        <w:t>在人流活动比较聚集的大行宫公厕、红山</w:t>
      </w:r>
      <w:r>
        <w:rPr>
          <w:rFonts w:hint="eastAsia" w:ascii="Times New Roman" w:hAnsi="Times New Roman"/>
          <w:highlight w:val="none"/>
        </w:rPr>
        <w:t>森林</w:t>
      </w:r>
      <w:r>
        <w:rPr>
          <w:rFonts w:ascii="Times New Roman" w:hAnsi="Times New Roman"/>
          <w:highlight w:val="none"/>
        </w:rPr>
        <w:t>动物园公厕等6座公厕</w:t>
      </w:r>
      <w:r>
        <w:rPr>
          <w:rFonts w:hint="eastAsia" w:ascii="Times New Roman" w:hAnsi="Times New Roman"/>
          <w:highlight w:val="none"/>
        </w:rPr>
        <w:t>，</w:t>
      </w:r>
      <w:r>
        <w:rPr>
          <w:rFonts w:ascii="Times New Roman" w:hAnsi="Times New Roman"/>
          <w:highlight w:val="none"/>
        </w:rPr>
        <w:t>通过安装防撞设施、助力扶手、紧急呼叫装置等</w:t>
      </w:r>
      <w:r>
        <w:rPr>
          <w:rFonts w:hint="eastAsia" w:ascii="Times New Roman" w:hAnsi="Times New Roman"/>
          <w:highlight w:val="none"/>
        </w:rPr>
        <w:t>措施</w:t>
      </w:r>
      <w:r>
        <w:rPr>
          <w:rFonts w:ascii="Times New Roman" w:hAnsi="Times New Roman"/>
          <w:highlight w:val="none"/>
        </w:rPr>
        <w:t>，开展适老化适幼化改造；对四牌楼垃圾转运站实施改造。（责任单位：区城管局）</w:t>
      </w:r>
    </w:p>
    <w:p>
      <w:pPr>
        <w:rPr>
          <w:rFonts w:ascii="Times New Roman" w:hAnsi="Times New Roman"/>
          <w:highlight w:val="none"/>
        </w:rPr>
      </w:pPr>
      <w:r>
        <w:rPr>
          <w:rFonts w:ascii="Times New Roman" w:hAnsi="Times New Roman" w:eastAsia="方正楷体_GBK"/>
          <w:bCs/>
          <w:highlight w:val="none"/>
        </w:rPr>
        <w:t>10. 开展群众性文体活动。</w:t>
      </w:r>
      <w:r>
        <w:rPr>
          <w:rFonts w:ascii="Times New Roman" w:hAnsi="Times New Roman"/>
          <w:highlight w:val="none"/>
        </w:rPr>
        <w:t>举办第29届</w:t>
      </w:r>
      <w:r>
        <w:rPr>
          <w:rFonts w:hint="eastAsia" w:ascii="Times New Roman" w:hAnsi="Times New Roman"/>
          <w:highlight w:val="none"/>
        </w:rPr>
        <w:t>“</w:t>
      </w:r>
      <w:r>
        <w:rPr>
          <w:rFonts w:ascii="Times New Roman" w:hAnsi="Times New Roman"/>
          <w:highlight w:val="none"/>
        </w:rPr>
        <w:t>玄武之春</w:t>
      </w:r>
      <w:r>
        <w:rPr>
          <w:rFonts w:hint="eastAsia" w:ascii="Times New Roman" w:hAnsi="Times New Roman"/>
          <w:highlight w:val="none"/>
        </w:rPr>
        <w:t>”</w:t>
      </w:r>
      <w:r>
        <w:rPr>
          <w:rFonts w:ascii="Times New Roman" w:hAnsi="Times New Roman"/>
          <w:highlight w:val="none"/>
        </w:rPr>
        <w:t>、第24届社区文化艺术行、第22届长江路文化艺术行等品牌群众文化</w:t>
      </w:r>
      <w:r>
        <w:rPr>
          <w:rFonts w:ascii="Times New Roman" w:hAnsi="Times New Roman"/>
          <w:spacing w:val="6"/>
          <w:highlight w:val="none"/>
        </w:rPr>
        <w:t>活动，为全区居民提供公益文化演出40场；举办玄武区城市运</w:t>
      </w:r>
      <w:r>
        <w:rPr>
          <w:rFonts w:ascii="Times New Roman" w:hAnsi="Times New Roman"/>
          <w:highlight w:val="none"/>
        </w:rPr>
        <w:t>动定向赛</w:t>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w:t>
      </w:r>
      <w:r>
        <w:rPr>
          <w:rFonts w:ascii="Times New Roman" w:hAnsi="Times New Roman"/>
          <w:highlight w:val="none"/>
        </w:rPr>
        <w:t>5个足球、乒乓球等单项区级联赛</w:t>
      </w:r>
      <w:r>
        <w:rPr>
          <w:rFonts w:hint="eastAsia" w:ascii="Times New Roman" w:hAnsi="Times New Roman"/>
          <w:highlight w:val="none"/>
        </w:rPr>
        <w:t>，</w:t>
      </w:r>
      <w:r>
        <w:rPr>
          <w:rFonts w:ascii="Times New Roman" w:hAnsi="Times New Roman"/>
          <w:highlight w:val="none"/>
        </w:rPr>
        <w:t>打造区级体育运动赛事品牌</w:t>
      </w:r>
      <w:r>
        <w:rPr>
          <w:rFonts w:hint="eastAsia" w:ascii="Times New Roman" w:hAnsi="Times New Roman"/>
          <w:highlight w:val="none"/>
        </w:rPr>
        <w:t>；</w:t>
      </w:r>
      <w:r>
        <w:rPr>
          <w:rFonts w:ascii="Times New Roman" w:hAnsi="Times New Roman"/>
          <w:highlight w:val="none"/>
        </w:rPr>
        <w:t>组织实施4500人次国民体质监测；丰富完善城市社区</w:t>
      </w:r>
      <w:r>
        <w:rPr>
          <w:rFonts w:hint="eastAsia" w:ascii="Times New Roman" w:hAnsi="Times New Roman"/>
          <w:highlight w:val="none"/>
        </w:rPr>
        <w:t>“</w:t>
      </w:r>
      <w:r>
        <w:rPr>
          <w:rFonts w:ascii="Times New Roman" w:hAnsi="Times New Roman"/>
          <w:highlight w:val="none"/>
        </w:rPr>
        <w:t>10分钟体育健身圈</w:t>
      </w:r>
      <w:r>
        <w:rPr>
          <w:rFonts w:hint="eastAsia" w:ascii="Times New Roman" w:hAnsi="Times New Roman"/>
          <w:highlight w:val="none"/>
        </w:rPr>
        <w:t>”</w:t>
      </w:r>
      <w:r>
        <w:rPr>
          <w:rFonts w:ascii="Times New Roman" w:hAnsi="Times New Roman"/>
          <w:highlight w:val="none"/>
        </w:rPr>
        <w:t>，完成3公里健身步道建设，新改建30个全民健身工程点。（责任单位：区文旅局）</w:t>
      </w:r>
    </w:p>
    <w:p>
      <w:pPr>
        <w:rPr>
          <w:rFonts w:ascii="Times New Roman" w:hAnsi="Times New Roman"/>
          <w:highlight w:val="none"/>
        </w:rPr>
      </w:pPr>
      <w:r>
        <w:rPr>
          <w:rFonts w:ascii="Times New Roman" w:hAnsi="Times New Roman" w:eastAsia="方正楷体_GBK"/>
          <w:bCs/>
          <w:highlight w:val="none"/>
        </w:rPr>
        <w:t>11. 推进惠民便民服务。</w:t>
      </w:r>
      <w:r>
        <w:rPr>
          <w:rFonts w:ascii="Times New Roman" w:hAnsi="Times New Roman"/>
          <w:highlight w:val="none"/>
        </w:rPr>
        <w:t>制定百子红办实事清单</w:t>
      </w:r>
      <w:r>
        <w:rPr>
          <w:rFonts w:hint="eastAsia" w:ascii="Times New Roman" w:hAnsi="Times New Roman"/>
          <w:highlight w:val="none"/>
        </w:rPr>
        <w:t>，</w:t>
      </w:r>
      <w:r>
        <w:rPr>
          <w:rFonts w:ascii="Times New Roman" w:hAnsi="Times New Roman"/>
          <w:highlight w:val="none"/>
        </w:rPr>
        <w:t>打造</w:t>
      </w:r>
      <w:r>
        <w:rPr>
          <w:rFonts w:hint="eastAsia" w:ascii="Times New Roman" w:hAnsi="Times New Roman"/>
          <w:highlight w:val="none"/>
        </w:rPr>
        <w:t>“</w:t>
      </w:r>
      <w:r>
        <w:rPr>
          <w:rFonts w:ascii="Times New Roman" w:hAnsi="Times New Roman"/>
          <w:highlight w:val="none"/>
        </w:rPr>
        <w:t>睦宁里</w:t>
      </w:r>
      <w:r>
        <w:rPr>
          <w:rFonts w:hint="eastAsia" w:ascii="Times New Roman" w:hAnsi="Times New Roman"/>
          <w:highlight w:val="none"/>
        </w:rPr>
        <w:t>”</w:t>
      </w:r>
      <w:r>
        <w:rPr>
          <w:rFonts w:ascii="Times New Roman" w:hAnsi="Times New Roman"/>
          <w:highlight w:val="none"/>
        </w:rPr>
        <w:t>百子红便民服务中心2个，为居民提供一站式便民服务；</w:t>
      </w:r>
      <w:r>
        <w:rPr>
          <w:rFonts w:hint="eastAsia" w:ascii="Times New Roman" w:hAnsi="Times New Roman"/>
          <w:highlight w:val="none"/>
        </w:rPr>
        <w:t>建设</w:t>
      </w:r>
      <w:r>
        <w:rPr>
          <w:rFonts w:ascii="Times New Roman" w:hAnsi="Times New Roman"/>
          <w:highlight w:val="none"/>
        </w:rPr>
        <w:t>全龄友好的百子红社区食堂，提供嵌入式服务，实现年就餐服务10万人次。（责任单位：区城建集团）</w:t>
      </w:r>
    </w:p>
    <w:p>
      <w:pPr>
        <w:rPr>
          <w:rFonts w:ascii="Times New Roman" w:hAnsi="Times New Roman"/>
          <w:highlight w:val="none"/>
        </w:rPr>
      </w:pPr>
      <w:r>
        <w:rPr>
          <w:rFonts w:ascii="Times New Roman" w:hAnsi="Times New Roman"/>
          <w:highlight w:val="none"/>
        </w:rPr>
        <w:t>12.</w:t>
      </w:r>
      <w:r>
        <w:rPr>
          <w:rFonts w:ascii="Times New Roman" w:hAnsi="Times New Roman" w:eastAsia="方正楷体_GBK"/>
          <w:bCs/>
          <w:highlight w:val="none"/>
        </w:rPr>
        <w:t xml:space="preserve"> 营造放心消费氛围。</w:t>
      </w:r>
      <w:r>
        <w:rPr>
          <w:rFonts w:ascii="Times New Roman" w:hAnsi="Times New Roman"/>
          <w:highlight w:val="none"/>
        </w:rPr>
        <w:t>推进绿色消费品</w:t>
      </w:r>
      <w:r>
        <w:rPr>
          <w:rFonts w:hint="eastAsia" w:ascii="Times New Roman" w:hAnsi="Times New Roman"/>
          <w:highlight w:val="none"/>
        </w:rPr>
        <w:t>“</w:t>
      </w:r>
      <w:r>
        <w:rPr>
          <w:rFonts w:ascii="Times New Roman" w:hAnsi="Times New Roman"/>
          <w:highlight w:val="none"/>
        </w:rPr>
        <w:t>进机关、进小区、进企业、进院所</w:t>
      </w:r>
      <w:r>
        <w:rPr>
          <w:rFonts w:hint="eastAsia" w:ascii="Times New Roman" w:hAnsi="Times New Roman"/>
          <w:highlight w:val="none"/>
        </w:rPr>
        <w:t>”</w:t>
      </w:r>
      <w:r>
        <w:rPr>
          <w:rFonts w:ascii="Times New Roman" w:hAnsi="Times New Roman"/>
          <w:highlight w:val="none"/>
        </w:rPr>
        <w:t>活动，举办</w:t>
      </w:r>
      <w:r>
        <w:rPr>
          <w:rFonts w:hint="eastAsia" w:ascii="Times New Roman" w:hAnsi="Times New Roman"/>
          <w:highlight w:val="none"/>
        </w:rPr>
        <w:t>相关活动</w:t>
      </w:r>
      <w:r>
        <w:rPr>
          <w:rFonts w:ascii="Times New Roman" w:hAnsi="Times New Roman"/>
          <w:highlight w:val="none"/>
        </w:rPr>
        <w:t>不少于12场</w:t>
      </w:r>
      <w:r>
        <w:rPr>
          <w:rFonts w:hint="eastAsia" w:ascii="Times New Roman" w:hAnsi="Times New Roman"/>
          <w:highlight w:val="none"/>
        </w:rPr>
        <w:t>次</w:t>
      </w:r>
      <w:r>
        <w:rPr>
          <w:rFonts w:ascii="Times New Roman" w:hAnsi="Times New Roman"/>
          <w:highlight w:val="none"/>
        </w:rPr>
        <w:t>；持续推进放心消费工作，推动线下无理由退货承诺门店累计超2300家</w:t>
      </w:r>
      <w:r>
        <w:rPr>
          <w:rFonts w:hint="eastAsia" w:ascii="Times New Roman" w:hAnsi="Times New Roman"/>
          <w:highlight w:val="none"/>
        </w:rPr>
        <w:t>；</w:t>
      </w:r>
      <w:r>
        <w:rPr>
          <w:rFonts w:ascii="Times New Roman" w:hAnsi="Times New Roman"/>
          <w:highlight w:val="none"/>
        </w:rPr>
        <w:t>抓好商标品牌建设</w:t>
      </w:r>
      <w:r>
        <w:rPr>
          <w:rFonts w:hint="eastAsia" w:ascii="Times New Roman" w:hAnsi="Times New Roman"/>
          <w:highlight w:val="none"/>
        </w:rPr>
        <w:t>，</w:t>
      </w:r>
      <w:r>
        <w:rPr>
          <w:rFonts w:ascii="Times New Roman" w:hAnsi="Times New Roman"/>
          <w:highlight w:val="none"/>
        </w:rPr>
        <w:t>引导和支持全区企业注册商标新增1500件，推动消费提质升级。（责任单位：区商务局、区市场监管局）</w:t>
      </w:r>
    </w:p>
    <w:p>
      <w:pPr>
        <w:rPr>
          <w:rFonts w:ascii="Times New Roman" w:hAnsi="Times New Roman" w:eastAsia="方正黑体_GBK"/>
          <w:bCs/>
          <w:highlight w:val="none"/>
        </w:rPr>
      </w:pPr>
    </w:p>
    <w:p>
      <w:pPr>
        <w:pStyle w:val="18"/>
        <w:spacing w:after="0" w:line="590" w:lineRule="exact"/>
        <w:ind w:left="0" w:leftChars="0"/>
        <w:jc w:val="both"/>
        <w:rPr>
          <w:rFonts w:ascii="Times New Roman" w:hAnsi="Times New Roman"/>
          <w:highlight w:val="none"/>
        </w:rPr>
      </w:pPr>
    </w:p>
    <w:p>
      <w:pPr>
        <w:rPr>
          <w:rFonts w:ascii="Times New Roman" w:hAnsi="Times New Roman"/>
          <w:highlight w:val="none"/>
        </w:rPr>
      </w:pPr>
    </w:p>
    <w:p>
      <w:pPr>
        <w:pStyle w:val="18"/>
        <w:spacing w:after="0" w:line="590" w:lineRule="exact"/>
        <w:ind w:left="0" w:leftChars="0"/>
        <w:jc w:val="both"/>
        <w:rPr>
          <w:rFonts w:ascii="Times New Roman" w:hAnsi="Times New Roman"/>
          <w:highlight w:val="none"/>
        </w:rPr>
      </w:pPr>
    </w:p>
    <w:p>
      <w:pPr>
        <w:rPr>
          <w:rFonts w:ascii="Times New Roman" w:hAnsi="Times New Roman"/>
          <w:highlight w:val="none"/>
        </w:rPr>
      </w:pPr>
    </w:p>
    <w:p>
      <w:pPr>
        <w:pStyle w:val="18"/>
        <w:spacing w:after="0" w:line="590" w:lineRule="exact"/>
        <w:ind w:left="0" w:leftChars="0"/>
        <w:jc w:val="both"/>
        <w:rPr>
          <w:rFonts w:ascii="Times New Roman" w:hAnsi="Times New Roman"/>
          <w:highlight w:val="none"/>
        </w:rPr>
      </w:pPr>
    </w:p>
    <w:p>
      <w:pPr>
        <w:widowControl/>
        <w:overflowPunct/>
        <w:snapToGrid/>
        <w:spacing w:line="240" w:lineRule="auto"/>
        <w:ind w:firstLine="0" w:firstLineChars="0"/>
        <w:jc w:val="left"/>
        <w:rPr>
          <w:rFonts w:ascii="Times New Roman" w:hAnsi="Times New Roman"/>
          <w:sz w:val="24"/>
          <w:szCs w:val="32"/>
          <w:highlight w:val="none"/>
        </w:rPr>
      </w:pPr>
      <w:r>
        <w:rPr>
          <w:rFonts w:ascii="Times New Roman" w:hAnsi="Times New Roman"/>
          <w:highlight w:val="none"/>
        </w:rPr>
        <w:br w:type="page"/>
      </w:r>
    </w:p>
    <w:p>
      <w:pPr>
        <w:ind w:firstLine="0" w:firstLineChars="0"/>
        <w:rPr>
          <w:rFonts w:ascii="Times New Roman" w:hAnsi="Times New Roman" w:eastAsia="方正黑体_GBK"/>
          <w:bCs/>
          <w:highlight w:val="none"/>
        </w:rPr>
      </w:pPr>
      <w:r>
        <w:rPr>
          <w:rFonts w:ascii="Times New Roman" w:hAnsi="Times New Roman" w:eastAsia="方正黑体_GBK"/>
          <w:bCs/>
          <w:highlight w:val="none"/>
        </w:rPr>
        <w:t>附件</w:t>
      </w:r>
      <w:r>
        <w:rPr>
          <w:rFonts w:hint="eastAsia" w:ascii="Times New Roman" w:hAnsi="Times New Roman" w:eastAsia="方正黑体_GBK"/>
          <w:bCs/>
          <w:highlight w:val="none"/>
        </w:rPr>
        <w:t>3</w:t>
      </w:r>
    </w:p>
    <w:p>
      <w:pPr>
        <w:pStyle w:val="33"/>
        <w:overflowPunct w:val="0"/>
        <w:spacing w:line="500" w:lineRule="exact"/>
        <w:jc w:val="both"/>
        <w:rPr>
          <w:bCs/>
          <w:highlight w:val="none"/>
        </w:rPr>
      </w:pPr>
    </w:p>
    <w:p>
      <w:pPr>
        <w:pStyle w:val="26"/>
        <w:rPr>
          <w:rFonts w:ascii="Times New Roman" w:hAnsi="Times New Roman"/>
          <w:highlight w:val="none"/>
        </w:rPr>
      </w:pPr>
      <w:r>
        <w:rPr>
          <w:rFonts w:hint="eastAsia" w:ascii="Times New Roman" w:hAnsi="Times New Roman"/>
          <w:highlight w:val="none"/>
        </w:rPr>
        <w:t>名词解释</w:t>
      </w:r>
    </w:p>
    <w:p>
      <w:pPr>
        <w:pStyle w:val="33"/>
        <w:overflowPunct w:val="0"/>
        <w:spacing w:line="500" w:lineRule="exact"/>
        <w:jc w:val="both"/>
        <w:rPr>
          <w:bCs/>
          <w:highlight w:val="none"/>
        </w:rPr>
      </w:pPr>
    </w:p>
    <w:p>
      <w:pPr>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 xml:space="preserve">. </w:t>
      </w:r>
      <w:r>
        <w:rPr>
          <w:rFonts w:ascii="Times New Roman" w:hAnsi="Times New Roman"/>
          <w:highlight w:val="none"/>
        </w:rPr>
        <w:t>REITs：是</w:t>
      </w:r>
      <w:r>
        <w:rPr>
          <w:rFonts w:hint="eastAsia" w:ascii="Times New Roman" w:hAnsi="Times New Roman"/>
          <w:highlight w:val="none"/>
        </w:rPr>
        <w:t>指不动产投资信托基金，即在证券交易所公开发行交易，</w:t>
      </w:r>
      <w:r>
        <w:rPr>
          <w:rFonts w:ascii="Times New Roman" w:hAnsi="Times New Roman"/>
          <w:highlight w:val="none"/>
        </w:rPr>
        <w:t>通过证券化方式将具有持续、稳定收益的基础设施资产或权益，转化为流动性较强的、可上市交易的标准化、权益型</w:t>
      </w:r>
      <w:r>
        <w:rPr>
          <w:rFonts w:hint="eastAsia" w:ascii="Times New Roman" w:hAnsi="Times New Roman"/>
          <w:highlight w:val="none"/>
        </w:rPr>
        <w:t>金融产品。</w:t>
      </w:r>
    </w:p>
    <w:p>
      <w:pPr>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cs="方正仿宋_GBK"/>
          <w:highlight w:val="none"/>
        </w:rPr>
        <w:t>“四上”</w:t>
      </w:r>
      <w:r>
        <w:rPr>
          <w:rFonts w:ascii="Times New Roman" w:hAnsi="Times New Roman"/>
          <w:highlight w:val="none"/>
        </w:rPr>
        <w:t>企业：</w:t>
      </w:r>
      <w:r>
        <w:rPr>
          <w:rFonts w:hint="eastAsia" w:ascii="Times New Roman" w:hAnsi="Times New Roman"/>
          <w:highlight w:val="none"/>
        </w:rPr>
        <w:t>是指现阶段我国统计工作实践中对达到一定规模、资质或限额的法人单位的一种习惯称谓，包括规模以上工业、有资质的建筑业、限额以上批发和零售业、限额以上住宿和餐饮业、有开发经营活动的全部房地产开发经营业、规模以上服务业法人单位。</w:t>
      </w:r>
    </w:p>
    <w:p>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w:t>
      </w:r>
      <w:r>
        <w:rPr>
          <w:rFonts w:hint="eastAsia" w:ascii="Times New Roman" w:hAnsi="Times New Roman" w:cs="方正仿宋_GBK"/>
          <w:highlight w:val="none"/>
        </w:rPr>
        <w:t>“德基</w:t>
      </w:r>
      <w:r>
        <w:rPr>
          <w:rFonts w:ascii="Times New Roman" w:hAnsi="Times New Roman"/>
          <w:highlight w:val="none"/>
        </w:rPr>
        <w:t>24h</w:t>
      </w:r>
      <w:r>
        <w:rPr>
          <w:rFonts w:hint="eastAsia" w:ascii="Times New Roman" w:hAnsi="Times New Roman" w:cs="方正仿宋_GBK"/>
          <w:highlight w:val="none"/>
        </w:rPr>
        <w:t>”</w:t>
      </w:r>
      <w:r>
        <w:rPr>
          <w:rFonts w:ascii="Times New Roman" w:hAnsi="Times New Roman"/>
          <w:highlight w:val="none"/>
        </w:rPr>
        <w:t>：是</w:t>
      </w:r>
      <w:r>
        <w:rPr>
          <w:rFonts w:hint="eastAsia" w:ascii="Times New Roman" w:hAnsi="Times New Roman"/>
          <w:highlight w:val="none"/>
        </w:rPr>
        <w:t>指德基广场自2</w:t>
      </w:r>
      <w:r>
        <w:rPr>
          <w:rFonts w:ascii="Times New Roman" w:hAnsi="Times New Roman"/>
          <w:highlight w:val="none"/>
        </w:rPr>
        <w:t>024</w:t>
      </w:r>
      <w:r>
        <w:rPr>
          <w:rFonts w:hint="eastAsia" w:ascii="Times New Roman" w:hAnsi="Times New Roman"/>
          <w:highlight w:val="none"/>
        </w:rPr>
        <w:t>年1</w:t>
      </w:r>
      <w:r>
        <w:rPr>
          <w:rFonts w:ascii="Times New Roman" w:hAnsi="Times New Roman"/>
          <w:highlight w:val="none"/>
        </w:rPr>
        <w:t>2</w:t>
      </w:r>
      <w:r>
        <w:rPr>
          <w:rFonts w:hint="eastAsia" w:ascii="Times New Roman" w:hAnsi="Times New Roman"/>
          <w:highlight w:val="none"/>
        </w:rPr>
        <w:t>月2</w:t>
      </w:r>
      <w:r>
        <w:rPr>
          <w:rFonts w:ascii="Times New Roman" w:hAnsi="Times New Roman"/>
          <w:highlight w:val="none"/>
        </w:rPr>
        <w:t>6</w:t>
      </w:r>
      <w:r>
        <w:rPr>
          <w:rFonts w:hint="eastAsia" w:ascii="Times New Roman" w:hAnsi="Times New Roman"/>
          <w:highlight w:val="none"/>
        </w:rPr>
        <w:t>日起</w:t>
      </w:r>
      <w:r>
        <w:rPr>
          <w:rFonts w:ascii="Times New Roman" w:hAnsi="Times New Roman"/>
          <w:highlight w:val="none"/>
        </w:rPr>
        <w:t>推出的商业新模式，在10</w:t>
      </w:r>
      <w:r>
        <w:rPr>
          <w:rFonts w:hint="eastAsia" w:ascii="Times New Roman" w:hAnsi="Times New Roman" w:cs="宋体"/>
          <w:highlight w:val="none"/>
        </w:rPr>
        <w:t>∶</w:t>
      </w:r>
      <w:r>
        <w:rPr>
          <w:rFonts w:ascii="Times New Roman" w:hAnsi="Times New Roman"/>
          <w:highlight w:val="none"/>
        </w:rPr>
        <w:t>30</w:t>
      </w:r>
      <w:r>
        <w:rPr>
          <w:rFonts w:hint="eastAsia" w:ascii="Times New Roman" w:hAnsi="Times New Roman"/>
          <w:highlight w:val="none"/>
        </w:rPr>
        <w:t>—</w:t>
      </w:r>
      <w:r>
        <w:rPr>
          <w:rFonts w:ascii="Times New Roman" w:hAnsi="Times New Roman"/>
          <w:highlight w:val="none"/>
        </w:rPr>
        <w:t>22</w:t>
      </w:r>
      <w:r>
        <w:rPr>
          <w:rFonts w:hint="eastAsia" w:ascii="Times New Roman" w:hAnsi="Times New Roman" w:cs="宋体"/>
          <w:highlight w:val="none"/>
        </w:rPr>
        <w:t>∶</w:t>
      </w:r>
      <w:r>
        <w:rPr>
          <w:rFonts w:ascii="Times New Roman" w:hAnsi="Times New Roman"/>
          <w:highlight w:val="none"/>
        </w:rPr>
        <w:t>30营业时间</w:t>
      </w:r>
      <w:r>
        <w:rPr>
          <w:rFonts w:hint="eastAsia" w:ascii="Times New Roman" w:hAnsi="Times New Roman"/>
          <w:highlight w:val="none"/>
        </w:rPr>
        <w:t>之外</w:t>
      </w:r>
      <w:r>
        <w:rPr>
          <w:rFonts w:ascii="Times New Roman" w:hAnsi="Times New Roman"/>
          <w:highlight w:val="none"/>
        </w:rPr>
        <w:t>，补充更多元的服务项目，为消费者提供全时段服务解决方案，尤其不断拓展高品质、多样化的夜间消费与场景体验，迎合年轻消费群体对于高效和便捷的期待。</w:t>
      </w:r>
    </w:p>
    <w:p>
      <w:pPr>
        <w:rPr>
          <w:rFonts w:ascii="Times New Roman" w:hAnsi="Times New Roman"/>
          <w:highlight w:val="none"/>
        </w:rPr>
      </w:pPr>
      <w:r>
        <w:rPr>
          <w:rFonts w:hint="eastAsia" w:ascii="Times New Roman" w:hAnsi="Times New Roman"/>
          <w:highlight w:val="none"/>
        </w:rPr>
        <w:t>4.“两平台一基地一市场”：是指碳足迹公共服务平台、绿色金融服务平台、碳达峰碳中和培训基地、碳交易市场。</w:t>
      </w:r>
    </w:p>
    <w:p>
      <w:pPr>
        <w:rPr>
          <w:rFonts w:ascii="Times New Roman" w:hAnsi="Times New Roman"/>
          <w:highlight w:val="none"/>
        </w:rPr>
      </w:pPr>
      <w:r>
        <w:rPr>
          <w:rFonts w:hint="eastAsia" w:ascii="Times New Roman" w:hAnsi="Times New Roman"/>
          <w:highlight w:val="none"/>
        </w:rPr>
        <w:t>5.</w:t>
      </w:r>
      <w:r>
        <w:rPr>
          <w:rFonts w:ascii="Times New Roman" w:hAnsi="Times New Roman"/>
          <w:highlight w:val="none"/>
        </w:rPr>
        <w:t xml:space="preserve"> </w:t>
      </w:r>
      <w:r>
        <w:rPr>
          <w:rFonts w:hint="eastAsia" w:ascii="Times New Roman" w:hAnsi="Times New Roman"/>
          <w:highlight w:val="none"/>
        </w:rPr>
        <w:t>9610出口报关模式：是指针对小批量跨境出口的一种报关模式，可在相对简化的报关流程下，提高通关效率，降低通关成本，尤其适用于B2C跨境电商零售订单。</w:t>
      </w:r>
    </w:p>
    <w:p>
      <w:pPr>
        <w:rPr>
          <w:rFonts w:ascii="Times New Roman" w:hAnsi="Times New Roman"/>
          <w:spacing w:val="4"/>
          <w:highlight w:val="none"/>
        </w:rPr>
      </w:pPr>
      <w:r>
        <w:rPr>
          <w:rFonts w:hint="eastAsia" w:ascii="Times New Roman" w:hAnsi="Times New Roman"/>
          <w:highlight w:val="none"/>
        </w:rPr>
        <w:t xml:space="preserve">6. </w:t>
      </w:r>
      <w:r>
        <w:rPr>
          <w:rFonts w:ascii="Times New Roman" w:hAnsi="Times New Roman"/>
          <w:highlight w:val="none"/>
        </w:rPr>
        <w:t>概念验证中心：是指一种设立在高等院校，多种组织、机构与高校合作运行的新组织模式，旨在</w:t>
      </w:r>
      <w:r>
        <w:rPr>
          <w:rFonts w:hint="eastAsia" w:ascii="Times New Roman" w:hAnsi="Times New Roman"/>
          <w:highlight w:val="none"/>
        </w:rPr>
        <w:t>进一步</w:t>
      </w:r>
      <w:r>
        <w:rPr>
          <w:rFonts w:ascii="Times New Roman" w:hAnsi="Times New Roman"/>
          <w:highlight w:val="none"/>
        </w:rPr>
        <w:t>促进高校科技成果商业化</w:t>
      </w:r>
      <w:r>
        <w:rPr>
          <w:rFonts w:ascii="Times New Roman" w:hAnsi="Times New Roman"/>
          <w:spacing w:val="4"/>
          <w:highlight w:val="none"/>
        </w:rPr>
        <w:t>。</w:t>
      </w:r>
    </w:p>
    <w:p>
      <w:pPr>
        <w:rPr>
          <w:rFonts w:ascii="Times New Roman" w:hAnsi="Times New Roman"/>
          <w:highlight w:val="none"/>
        </w:rPr>
      </w:pPr>
      <w:r>
        <w:rPr>
          <w:rFonts w:hint="eastAsia" w:ascii="Times New Roman" w:hAnsi="Times New Roman"/>
          <w:highlight w:val="none"/>
        </w:rPr>
        <w:t xml:space="preserve">7. </w:t>
      </w:r>
      <w:r>
        <w:rPr>
          <w:rFonts w:ascii="Times New Roman" w:hAnsi="Times New Roman"/>
          <w:highlight w:val="none"/>
        </w:rPr>
        <w:t>VOCs：是指在常温下，沸点50—260℃的各种有机化合物，参与大气环境中臭氧和二次气溶胶的形成，对区域性大气臭氧污染、PM</w:t>
      </w:r>
      <w:r>
        <w:rPr>
          <w:rFonts w:ascii="Times New Roman" w:hAnsi="Times New Roman"/>
          <w:highlight w:val="none"/>
          <w:vertAlign w:val="subscript"/>
        </w:rPr>
        <w:t>2.5</w:t>
      </w:r>
      <w:r>
        <w:rPr>
          <w:rFonts w:ascii="Times New Roman" w:hAnsi="Times New Roman"/>
          <w:highlight w:val="none"/>
        </w:rPr>
        <w:t>污染具有重要的影响。</w:t>
      </w:r>
    </w:p>
    <w:p>
      <w:pPr>
        <w:rPr>
          <w:rFonts w:ascii="Times New Roman" w:hAnsi="Times New Roman"/>
          <w:highlight w:val="none"/>
        </w:rPr>
      </w:pPr>
      <w:r>
        <w:rPr>
          <w:rFonts w:hint="eastAsia" w:ascii="Times New Roman" w:hAnsi="Times New Roman"/>
          <w:highlight w:val="none"/>
        </w:rPr>
        <w:t>8.</w:t>
      </w:r>
      <w:r>
        <w:rPr>
          <w:rFonts w:hint="eastAsia" w:ascii="Times New Roman" w:hAnsi="Times New Roman" w:cs="方正仿宋_GBK"/>
          <w:highlight w:val="none"/>
        </w:rPr>
        <w:t>“新三学”</w:t>
      </w:r>
      <w:r>
        <w:rPr>
          <w:rFonts w:ascii="Times New Roman" w:hAnsi="Times New Roman"/>
          <w:highlight w:val="none"/>
        </w:rPr>
        <w:t>：是</w:t>
      </w:r>
      <w:r>
        <w:rPr>
          <w:rFonts w:hint="eastAsia" w:ascii="Times New Roman" w:hAnsi="Times New Roman"/>
          <w:highlight w:val="none"/>
        </w:rPr>
        <w:t>指</w:t>
      </w:r>
      <w:r>
        <w:rPr>
          <w:rFonts w:ascii="Times New Roman" w:hAnsi="Times New Roman"/>
          <w:highlight w:val="none"/>
        </w:rPr>
        <w:t>玄武区推行的一种课堂教学理念，主要包括</w:t>
      </w:r>
      <w:r>
        <w:rPr>
          <w:rFonts w:hint="eastAsia" w:ascii="Times New Roman" w:hAnsi="Times New Roman"/>
          <w:highlight w:val="none"/>
        </w:rPr>
        <w:t>理解学生、支持学习、提升学力</w:t>
      </w:r>
      <w:r>
        <w:rPr>
          <w:rFonts w:ascii="Times New Roman" w:hAnsi="Times New Roman"/>
          <w:highlight w:val="none"/>
        </w:rPr>
        <w:t>三个方面。</w:t>
      </w:r>
    </w:p>
    <w:p>
      <w:pPr>
        <w:rPr>
          <w:rFonts w:ascii="Times New Roman" w:hAnsi="Times New Roman"/>
          <w:highlight w:val="none"/>
        </w:rPr>
      </w:pPr>
      <w:r>
        <w:rPr>
          <w:rFonts w:hint="eastAsia" w:ascii="Times New Roman" w:hAnsi="Times New Roman"/>
          <w:highlight w:val="none"/>
        </w:rPr>
        <w:t>9.</w:t>
      </w:r>
      <w:r>
        <w:rPr>
          <w:rFonts w:hint="eastAsia" w:ascii="Times New Roman" w:hAnsi="Times New Roman" w:cs="方正仿宋_GBK"/>
          <w:spacing w:val="4"/>
          <w:highlight w:val="none"/>
        </w:rPr>
        <w:t>“两重”</w:t>
      </w:r>
      <w:r>
        <w:rPr>
          <w:rFonts w:ascii="Times New Roman" w:hAnsi="Times New Roman"/>
          <w:spacing w:val="4"/>
          <w:highlight w:val="none"/>
        </w:rPr>
        <w:t>：</w:t>
      </w:r>
      <w:r>
        <w:rPr>
          <w:rFonts w:hint="eastAsia" w:ascii="Times New Roman" w:hAnsi="Times New Roman"/>
          <w:spacing w:val="4"/>
          <w:highlight w:val="none"/>
        </w:rPr>
        <w:t>是指国家重大战略实施、重点领域安全能力建设。</w:t>
      </w:r>
    </w:p>
    <w:p>
      <w:pPr>
        <w:rPr>
          <w:rFonts w:ascii="Times New Roman" w:hAnsi="Times New Roman" w:cs="方正仿宋_GBK"/>
          <w:highlight w:val="none"/>
        </w:rPr>
      </w:pPr>
      <w:r>
        <w:rPr>
          <w:rFonts w:hint="eastAsia" w:ascii="Times New Roman" w:hAnsi="Times New Roman"/>
          <w:highlight w:val="none"/>
        </w:rPr>
        <w:t>10.</w:t>
      </w:r>
      <w:r>
        <w:rPr>
          <w:rFonts w:hint="eastAsia" w:ascii="Times New Roman" w:hAnsi="Times New Roman" w:cs="方正仿宋_GBK"/>
          <w:highlight w:val="none"/>
        </w:rPr>
        <w:t>“两新”：是指大规模设备更新、消费品以旧换新。</w:t>
      </w:r>
    </w:p>
    <w:p>
      <w:pPr>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1.“</w:t>
      </w:r>
      <w:r>
        <w:rPr>
          <w:rFonts w:ascii="Times New Roman" w:hAnsi="Times New Roman"/>
          <w:highlight w:val="none"/>
        </w:rPr>
        <w:t>一业一证</w:t>
      </w:r>
      <w:r>
        <w:rPr>
          <w:rFonts w:hint="eastAsia" w:ascii="Times New Roman" w:hAnsi="Times New Roman"/>
          <w:highlight w:val="none"/>
        </w:rPr>
        <w:t>”</w:t>
      </w:r>
      <w:r>
        <w:rPr>
          <w:rFonts w:ascii="Times New Roman" w:hAnsi="Times New Roman"/>
          <w:highlight w:val="none"/>
        </w:rPr>
        <w:t>：</w:t>
      </w:r>
      <w:r>
        <w:rPr>
          <w:rFonts w:hint="eastAsia" w:ascii="Times New Roman" w:hAnsi="Times New Roman"/>
          <w:highlight w:val="none"/>
        </w:rPr>
        <w:t>是</w:t>
      </w:r>
      <w:r>
        <w:rPr>
          <w:rFonts w:ascii="Times New Roman" w:hAnsi="Times New Roman"/>
          <w:highlight w:val="none"/>
        </w:rPr>
        <w:t>指优化行业准入业务流程，将一个行业准入涉及的多张许可证整合为一张</w:t>
      </w:r>
      <w:r>
        <w:rPr>
          <w:rFonts w:hint="eastAsia" w:ascii="Times New Roman" w:hAnsi="Times New Roman" w:cs="方正仿宋_GBK"/>
          <w:highlight w:val="none"/>
        </w:rPr>
        <w:t>“行业综合许可证”，</w:t>
      </w:r>
      <w:r>
        <w:rPr>
          <w:rFonts w:ascii="Times New Roman" w:hAnsi="Times New Roman"/>
          <w:highlight w:val="none"/>
        </w:rPr>
        <w:t>大幅压减审批环节和时限，简化审批手续，有效提升行政效能和办事效率，更大激发市场主体发展活力。</w:t>
      </w:r>
    </w:p>
    <w:p>
      <w:pPr>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 xml:space="preserve">2. </w:t>
      </w:r>
      <w:r>
        <w:rPr>
          <w:rFonts w:ascii="Times New Roman" w:hAnsi="Times New Roman"/>
          <w:spacing w:val="4"/>
          <w:highlight w:val="none"/>
        </w:rPr>
        <w:t>ESG：是英文Environmental（</w:t>
      </w:r>
      <w:r>
        <w:rPr>
          <w:rFonts w:hint="eastAsia" w:ascii="Times New Roman" w:hAnsi="Times New Roman"/>
          <w:spacing w:val="4"/>
          <w:highlight w:val="none"/>
        </w:rPr>
        <w:t>环境</w:t>
      </w:r>
      <w:r>
        <w:rPr>
          <w:rFonts w:ascii="Times New Roman" w:hAnsi="Times New Roman"/>
          <w:spacing w:val="4"/>
          <w:highlight w:val="none"/>
        </w:rPr>
        <w:t>）</w:t>
      </w:r>
      <w:r>
        <w:rPr>
          <w:rFonts w:hint="eastAsia" w:ascii="Times New Roman" w:hAnsi="Times New Roman"/>
          <w:spacing w:val="4"/>
          <w:highlight w:val="none"/>
        </w:rPr>
        <w:t>，</w:t>
      </w:r>
      <w:r>
        <w:rPr>
          <w:rFonts w:ascii="Times New Roman" w:hAnsi="Times New Roman"/>
          <w:spacing w:val="4"/>
          <w:highlight w:val="none"/>
        </w:rPr>
        <w:t>Social（社会）</w:t>
      </w:r>
      <w:r>
        <w:rPr>
          <w:rFonts w:hint="eastAsia" w:ascii="Times New Roman" w:hAnsi="Times New Roman"/>
          <w:spacing w:val="4"/>
          <w:highlight w:val="none"/>
        </w:rPr>
        <w:t>，</w:t>
      </w:r>
      <w:r>
        <w:rPr>
          <w:rFonts w:ascii="Times New Roman" w:hAnsi="Times New Roman"/>
          <w:spacing w:val="4"/>
          <w:highlight w:val="none"/>
        </w:rPr>
        <w:t>Governance（治理）的简称</w:t>
      </w:r>
      <w:r>
        <w:rPr>
          <w:rFonts w:hint="eastAsia" w:ascii="Times New Roman" w:hAnsi="Times New Roman"/>
          <w:spacing w:val="4"/>
          <w:highlight w:val="none"/>
        </w:rPr>
        <w:t>，</w:t>
      </w:r>
      <w:r>
        <w:rPr>
          <w:rFonts w:ascii="Times New Roman" w:hAnsi="Times New Roman"/>
          <w:spacing w:val="4"/>
          <w:highlight w:val="none"/>
        </w:rPr>
        <w:t>是</w:t>
      </w:r>
      <w:r>
        <w:rPr>
          <w:rFonts w:hint="eastAsia" w:ascii="Times New Roman" w:hAnsi="Times New Roman"/>
          <w:spacing w:val="4"/>
          <w:highlight w:val="none"/>
        </w:rPr>
        <w:t>指</w:t>
      </w:r>
      <w:r>
        <w:rPr>
          <w:rFonts w:ascii="Times New Roman" w:hAnsi="Times New Roman"/>
          <w:spacing w:val="4"/>
          <w:highlight w:val="none"/>
        </w:rPr>
        <w:t>一种充分关注企业环境、社会、治理等非财务绩效的企业发展理念和企业评价标准。基于ESG评价，投资者可以通过观测企业ESG绩效，评估其投资行为和企业在促进经济可持续发展、履行社会责任等方面贡献的相关性。</w:t>
      </w:r>
    </w:p>
    <w:p>
      <w:pPr>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3.</w:t>
      </w:r>
      <w:r>
        <w:rPr>
          <w:rFonts w:hint="eastAsia" w:ascii="Times New Roman" w:hAnsi="Times New Roman" w:cs="方正仿宋_GBK"/>
          <w:highlight w:val="none"/>
        </w:rPr>
        <w:t>“四个最严”</w:t>
      </w:r>
      <w:r>
        <w:rPr>
          <w:rFonts w:ascii="Times New Roman" w:hAnsi="Times New Roman"/>
          <w:highlight w:val="none"/>
        </w:rPr>
        <w:t>：</w:t>
      </w:r>
      <w:r>
        <w:rPr>
          <w:rFonts w:hint="eastAsia" w:ascii="Times New Roman" w:hAnsi="Times New Roman"/>
          <w:highlight w:val="none"/>
        </w:rPr>
        <w:t>指</w:t>
      </w:r>
      <w:r>
        <w:rPr>
          <w:rFonts w:ascii="Times New Roman" w:hAnsi="Times New Roman"/>
          <w:highlight w:val="none"/>
        </w:rPr>
        <w:t>最严谨的标准、最严格的监管、最严厉的处罚、最严肃的问责</w:t>
      </w:r>
      <w:r>
        <w:rPr>
          <w:rFonts w:hint="eastAsia" w:ascii="Times New Roman" w:hAnsi="Times New Roman"/>
          <w:highlight w:val="none"/>
        </w:rPr>
        <w:t>。</w:t>
      </w:r>
    </w:p>
    <w:p>
      <w:pPr>
        <w:rPr>
          <w:rFonts w:ascii="Times New Roman" w:hAnsi="Times New Roman"/>
          <w:highlight w:val="none"/>
        </w:rPr>
      </w:pPr>
      <w:r>
        <w:rPr>
          <w:rFonts w:hint="eastAsia" w:ascii="Times New Roman" w:hAnsi="Times New Roman"/>
          <w:highlight w:val="none"/>
        </w:rPr>
        <w:t>14.</w:t>
      </w:r>
      <w:r>
        <w:rPr>
          <w:rFonts w:hint="eastAsia" w:ascii="Times New Roman" w:hAnsi="Times New Roman" w:cs="方正仿宋_GBK"/>
          <w:highlight w:val="none"/>
        </w:rPr>
        <w:t>“两个责任”：</w:t>
      </w:r>
      <w:r>
        <w:rPr>
          <w:rFonts w:hint="eastAsia" w:ascii="Times New Roman" w:hAnsi="Times New Roman"/>
          <w:highlight w:val="none"/>
        </w:rPr>
        <w:t>是指属地管理责任和企业主体责任</w:t>
      </w:r>
      <w:r>
        <w:rPr>
          <w:rFonts w:ascii="Times New Roman" w:hAnsi="Times New Roman"/>
          <w:highlight w:val="none"/>
        </w:rPr>
        <w:t>。</w:t>
      </w:r>
    </w:p>
    <w:p>
      <w:pPr>
        <w:widowControl/>
        <w:overflowPunct/>
        <w:snapToGrid/>
        <w:spacing w:line="20" w:lineRule="exact"/>
        <w:ind w:firstLine="0" w:firstLineChars="0"/>
        <w:jc w:val="left"/>
        <w:rPr>
          <w:rFonts w:ascii="Times New Roman" w:hAnsi="Times New Roman"/>
          <w:highlight w:val="none"/>
        </w:rPr>
      </w:pPr>
      <w:r>
        <w:rPr>
          <w:rFonts w:ascii="Times New Roman" w:hAnsi="Times New Roman"/>
          <w:highlight w:val="none"/>
        </w:rPr>
        <w:br w:type="page"/>
      </w: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widowControl/>
        <w:overflowPunct/>
        <w:snapToGrid/>
        <w:spacing w:line="240" w:lineRule="auto"/>
        <w:ind w:firstLine="0" w:firstLineChars="0"/>
        <w:jc w:val="left"/>
        <w:rPr>
          <w:rFonts w:ascii="Times New Roman" w:hAnsi="Times New Roman"/>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margin">
                  <wp:posOffset>4123690</wp:posOffset>
                </wp:positionH>
                <wp:positionV relativeFrom="paragraph">
                  <wp:posOffset>6979920</wp:posOffset>
                </wp:positionV>
                <wp:extent cx="1790700" cy="1104900"/>
                <wp:effectExtent l="0" t="0" r="0" b="0"/>
                <wp:wrapNone/>
                <wp:docPr id="1" name="矩形 2"/>
                <wp:cNvGraphicFramePr/>
                <a:graphic xmlns:a="http://schemas.openxmlformats.org/drawingml/2006/main">
                  <a:graphicData uri="http://schemas.microsoft.com/office/word/2010/wordprocessingShape">
                    <wps:wsp>
                      <wps:cNvSpPr/>
                      <wps:spPr>
                        <a:xfrm>
                          <a:off x="0" y="0"/>
                          <a:ext cx="1790700" cy="1104900"/>
                        </a:xfrm>
                        <a:prstGeom prst="rect">
                          <a:avLst/>
                        </a:prstGeom>
                        <a:solidFill>
                          <a:srgbClr val="FFFFFF"/>
                        </a:solidFill>
                        <a:ln w="25400" cap="flat" cmpd="sng">
                          <a:solidFill>
                            <a:srgbClr val="FFFFFF"/>
                          </a:solidFill>
                          <a:prstDash val="solid"/>
                          <a:round/>
                        </a:ln>
                      </wps:spPr>
                      <wps:bodyPr vert="horz" wrap="square" lIns="91440" tIns="45720" rIns="91440" bIns="45720" anchor="ctr" anchorCtr="0" upright="1">
                        <a:noAutofit/>
                      </wps:bodyPr>
                    </wps:wsp>
                  </a:graphicData>
                </a:graphic>
              </wp:anchor>
            </w:drawing>
          </mc:Choice>
          <mc:Fallback>
            <w:pict>
              <v:rect id="矩形 2" o:spid="_x0000_s1026" o:spt="1" style="position:absolute;left:0pt;margin-left:324.7pt;margin-top:549.6pt;height:87pt;width:141pt;mso-position-horizontal-relative:margin;z-index:251659264;v-text-anchor:middle;mso-width-relative:page;mso-height-relative:page;" fillcolor="#FFFFFF" filled="t" stroked="t" coordsize="21600,21600" o:gfxdata="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wKpvcAAAADQEAAA8AAAAAAAAAAQAgAAAAOAAAAGRycy9kb3ducmV2Lnht&#10;bFBLAQIUABQAAAAIAIdO4kAjdbkzGAIAAE8EAAAOAAAAAAAAAAEAIAAAAEEBAABkcnMvZTJvRG9j&#10;LnhtbFBLBQYAAAAABgAGAFkBAADLBQAAAAA=&#10;">
                <v:fill on="t" focussize="0,0"/>
                <v:stroke weight="2pt" color="#FFFFFF" joinstyle="round"/>
                <v:imagedata o:title=""/>
                <o:lock v:ext="edit" aspectratio="f"/>
              </v:rect>
            </w:pict>
          </mc:Fallback>
        </mc:AlternateContent>
      </w:r>
      <w:r>
        <w:rPr>
          <w:rFonts w:ascii="Times New Roman" w:hAnsi="Times New Roman"/>
          <w:highlight w:val="none"/>
        </w:rPr>
        <w:br w:type="page"/>
      </w: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spacing w:line="500" w:lineRule="exact"/>
        <w:rPr>
          <w:rFonts w:ascii="Times New Roman" w:hAnsi="Times New Roman"/>
          <w:highlight w:val="none"/>
        </w:rPr>
      </w:pPr>
    </w:p>
    <w:tbl>
      <w:tblPr>
        <w:tblStyle w:val="19"/>
        <w:tblW w:w="5000" w:type="pct"/>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PrEx>
        <w:trPr>
          <w:jc w:val="center"/>
        </w:trPr>
        <w:tc>
          <w:tcPr>
            <w:tcW w:w="5000" w:type="pct"/>
            <w:tcBorders>
              <w:top w:val="nil"/>
              <w:left w:val="nil"/>
              <w:bottom w:val="nil"/>
              <w:right w:val="nil"/>
            </w:tcBorders>
            <w:noWrap/>
          </w:tcPr>
          <w:p>
            <w:pPr>
              <w:adjustRightInd w:val="0"/>
              <w:snapToGrid w:val="0"/>
              <w:spacing w:after="60" w:afterLines="25" w:line="500" w:lineRule="exact"/>
              <w:ind w:firstLine="0" w:firstLineChars="0"/>
              <w:rPr>
                <w:rFonts w:ascii="Times New Roman" w:hAnsi="Times New Roman"/>
                <w:sz w:val="30"/>
                <w:szCs w:val="30"/>
                <w:highlight w:val="none"/>
              </w:rPr>
            </w:pPr>
            <w:r>
              <w:rPr>
                <w:rFonts w:hint="eastAsia" w:ascii="Times New Roman" w:hAnsi="Times New Roman"/>
                <w:color w:val="000000"/>
                <w:sz w:val="30"/>
                <w:szCs w:val="30"/>
                <w:highlight w:val="none"/>
              </w:rPr>
              <w:t>大会</w:t>
            </w:r>
            <w:r>
              <w:rPr>
                <w:rFonts w:ascii="Times New Roman" w:hAnsi="Times New Roman"/>
                <w:color w:val="000000"/>
                <w:sz w:val="30"/>
                <w:szCs w:val="30"/>
                <w:highlight w:val="none"/>
              </w:rPr>
              <w:t>秘书处</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202</w:t>
            </w:r>
            <w:r>
              <w:rPr>
                <w:rFonts w:hint="eastAsia" w:ascii="Times New Roman" w:hAnsi="Times New Roman"/>
                <w:color w:val="000000"/>
                <w:sz w:val="30"/>
                <w:szCs w:val="30"/>
                <w:highlight w:val="none"/>
              </w:rPr>
              <w:t>5</w:t>
            </w:r>
            <w:r>
              <w:rPr>
                <w:rFonts w:ascii="Times New Roman" w:hAnsi="Times New Roman"/>
                <w:color w:val="000000"/>
                <w:sz w:val="30"/>
                <w:szCs w:val="30"/>
                <w:highlight w:val="none"/>
              </w:rPr>
              <w:t>年</w:t>
            </w:r>
            <w:r>
              <w:rPr>
                <w:rFonts w:hint="eastAsia" w:ascii="Times New Roman" w:hAnsi="Times New Roman"/>
                <w:color w:val="000000"/>
                <w:sz w:val="30"/>
                <w:szCs w:val="30"/>
                <w:highlight w:val="none"/>
              </w:rPr>
              <w:t>1</w:t>
            </w:r>
            <w:r>
              <w:rPr>
                <w:rFonts w:ascii="Times New Roman" w:hAnsi="Times New Roman"/>
                <w:color w:val="000000"/>
                <w:sz w:val="30"/>
                <w:szCs w:val="30"/>
                <w:highlight w:val="none"/>
              </w:rPr>
              <w:t>月</w:t>
            </w:r>
            <w:r>
              <w:rPr>
                <w:rFonts w:hint="eastAsia" w:ascii="Times New Roman" w:hAnsi="Times New Roman"/>
                <w:color w:val="000000"/>
                <w:sz w:val="30"/>
                <w:szCs w:val="30"/>
                <w:highlight w:val="none"/>
              </w:rPr>
              <w:t>4日</w:t>
            </w:r>
            <w:r>
              <w:rPr>
                <w:rFonts w:ascii="Times New Roman" w:hAnsi="Times New Roman"/>
                <w:color w:val="000000"/>
                <w:sz w:val="30"/>
                <w:szCs w:val="30"/>
                <w:highlight w:val="none"/>
              </w:rPr>
              <w:t>印</w:t>
            </w:r>
          </w:p>
        </w:tc>
      </w:tr>
    </w:tbl>
    <w:p>
      <w:pPr>
        <w:spacing w:line="40" w:lineRule="exact"/>
        <w:ind w:firstLine="0" w:firstLineChars="0"/>
        <w:rPr>
          <w:rFonts w:ascii="Times New Roman" w:hAnsi="Times New Roman"/>
          <w:highlight w:val="none"/>
        </w:rPr>
      </w:pPr>
    </w:p>
    <w:p>
      <w:pPr>
        <w:spacing w:line="20" w:lineRule="exact"/>
        <w:rPr>
          <w:rFonts w:ascii="Times New Roman" w:hAnsi="Times New Roman"/>
          <w:highlight w:val="none"/>
        </w:rPr>
      </w:pPr>
    </w:p>
    <w:p>
      <w:pPr>
        <w:spacing w:line="20" w:lineRule="exact"/>
        <w:rPr>
          <w:rFonts w:ascii="Times New Roman" w:hAnsi="Times New Roman"/>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8255</wp:posOffset>
                </wp:positionH>
                <wp:positionV relativeFrom="paragraph">
                  <wp:posOffset>94615</wp:posOffset>
                </wp:positionV>
                <wp:extent cx="1104900" cy="681990"/>
                <wp:effectExtent l="0" t="0" r="0" b="0"/>
                <wp:wrapNone/>
                <wp:docPr id="3" name="矩形 1"/>
                <wp:cNvGraphicFramePr/>
                <a:graphic xmlns:a="http://schemas.openxmlformats.org/drawingml/2006/main">
                  <a:graphicData uri="http://schemas.microsoft.com/office/word/2010/wordprocessingShape">
                    <wps:wsp>
                      <wps:cNvSpPr/>
                      <wps:spPr>
                        <a:xfrm>
                          <a:off x="0" y="0"/>
                          <a:ext cx="1104900" cy="681990"/>
                        </a:xfrm>
                        <a:prstGeom prst="rect">
                          <a:avLst/>
                        </a:prstGeom>
                        <a:solidFill>
                          <a:srgbClr val="FFFFFF"/>
                        </a:solidFill>
                        <a:ln w="25400" cap="flat" cmpd="sng">
                          <a:solidFill>
                            <a:srgbClr val="FFFFFF"/>
                          </a:solidFill>
                          <a:prstDash val="solid"/>
                          <a:round/>
                        </a:ln>
                      </wps:spPr>
                      <wps:bodyPr vert="horz" wrap="square" lIns="91440" tIns="45720" rIns="91440" bIns="45720" anchor="ctr" anchorCtr="0" upright="1">
                        <a:noAutofit/>
                      </wps:bodyPr>
                    </wps:wsp>
                  </a:graphicData>
                </a:graphic>
              </wp:anchor>
            </w:drawing>
          </mc:Choice>
          <mc:Fallback>
            <w:pict>
              <v:rect id="矩形 1" o:spid="_x0000_s1026" o:spt="1" style="position:absolute;left:0pt;margin-left:0.65pt;margin-top:7.45pt;height:53.7pt;width:87pt;z-index:251659264;v-text-anchor:middle;mso-width-relative:page;mso-height-relative:page;" fillcolor="#FFFFFF" filled="t" stroked="t" coordsize="21600,21600" o:gfxdata="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hS57FtcAAAAIAQAADwAAAAAAAAABACAAAAA4AAAAZHJzL2Rvd25yZXYueG1sUEsB&#10;AhQAFAAAAAgAh07iQAkUFx0ZAgAATgQAAA4AAAAAAAAAAQAgAAAAPAEAAGRycy9lMm9Eb2MueG1s&#10;UEsFBgAAAAAGAAYAWQEAAMcFAAAAAA==&#10;">
                <v:fill on="t" focussize="0,0"/>
                <v:stroke weight="2pt" color="#FFFFFF" joinstyle="round"/>
                <v:imagedata o:title=""/>
                <o:lock v:ext="edit" aspectratio="f"/>
              </v:rect>
            </w:pict>
          </mc:Fallback>
        </mc:AlternateContent>
      </w:r>
    </w:p>
    <w:sectPr>
      <w:footerReference r:id="rId9" w:type="first"/>
      <w:headerReference r:id="rId5" w:type="default"/>
      <w:footerReference r:id="rId7" w:type="default"/>
      <w:headerReference r:id="rId6" w:type="even"/>
      <w:footerReference r:id="rId8" w:type="even"/>
      <w:pgSz w:w="11907" w:h="16840"/>
      <w:pgMar w:top="2098" w:right="1531" w:bottom="1701" w:left="1531" w:header="567" w:footer="1588" w:gutter="0"/>
      <w:pgNumType w:start="1"/>
      <w:cols w:space="720" w:num="1"/>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宋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pPr>
    <w:r>
      <w:rPr>
        <w:rFonts w:hint="eastAsia"/>
      </w:rPr>
      <w:t>─</w:t>
    </w:r>
    <w:r>
      <w:t xml:space="preserve"> </w:t>
    </w:r>
    <w:r>
      <w:fldChar w:fldCharType="begin"/>
    </w:r>
    <w:r>
      <w:instrText xml:space="preserve">PAGE  </w:instrText>
    </w:r>
    <w:r>
      <w:fldChar w:fldCharType="separate"/>
    </w:r>
    <w:r>
      <w:t>1</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ind w:firstLine="300" w:firstLineChars="100"/>
    </w:pPr>
    <w:r>
      <w:rPr>
        <w:rFonts w:hint="eastAsia"/>
      </w:rPr>
      <w:t>─</w:t>
    </w:r>
    <w:r>
      <w:t xml:space="preserve"> </w:t>
    </w:r>
    <w:r>
      <w:fldChar w:fldCharType="begin"/>
    </w:r>
    <w:r>
      <w:instrText xml:space="preserve">PAGE  </w:instrText>
    </w:r>
    <w:r>
      <w:fldChar w:fldCharType="separate"/>
    </w:r>
    <w:r>
      <w:t>16</w:t>
    </w:r>
    <w:r>
      <w:fldChar w:fldCharType="end"/>
    </w:r>
    <w: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ulTrailSpace/>
    <w:doNotExpandShiftReturn/>
    <w:useFELayout/>
    <w:compatSetting w:name="compatibilityMode" w:uri="http://schemas.microsoft.com/office/word" w:val="15"/>
  </w:compat>
  <w:rsids>
    <w:rsidRoot w:val="00000000"/>
    <w:rsid w:val="08D16AA8"/>
    <w:rsid w:val="5FBFD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szCs w:val="20"/>
      <w:lang w:val="en-US" w:eastAsia="zh-CN" w:bidi="ar-SA"/>
    </w:rPr>
  </w:style>
  <w:style w:type="paragraph" w:styleId="2">
    <w:name w:val="heading 1"/>
    <w:basedOn w:val="1"/>
    <w:next w:val="1"/>
    <w:qFormat/>
    <w:uiPriority w:val="0"/>
    <w:pPr>
      <w:keepNext/>
      <w:keepLines/>
      <w:widowControl w:val="0"/>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spacing w:before="260" w:after="260" w:line="416" w:lineRule="atLeast"/>
      <w:outlineLvl w:val="1"/>
    </w:pPr>
    <w:rPr>
      <w:rFonts w:ascii="Arial" w:hAnsi="Arial" w:eastAsia="黑体"/>
      <w:b/>
      <w:bCs/>
      <w:szCs w:val="32"/>
    </w:rPr>
  </w:style>
  <w:style w:type="paragraph" w:styleId="4">
    <w:name w:val="heading 3"/>
    <w:basedOn w:val="1"/>
    <w:next w:val="1"/>
    <w:qFormat/>
    <w:uiPriority w:val="0"/>
    <w:pPr>
      <w:keepNext/>
      <w:keepLines/>
      <w:widowControl w:val="0"/>
      <w:spacing w:before="260" w:after="260" w:line="416" w:lineRule="atLeast"/>
      <w:outlineLvl w:val="2"/>
    </w:pPr>
    <w:rPr>
      <w:b/>
      <w:bCs/>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overflowPunct/>
      <w:snapToGrid/>
      <w:spacing w:line="600" w:lineRule="exact"/>
    </w:pPr>
    <w:rPr>
      <w:rFonts w:ascii="Times New Roman" w:hAnsi="Times New Roman"/>
      <w:szCs w:val="32"/>
    </w:rPr>
  </w:style>
  <w:style w:type="paragraph" w:styleId="6">
    <w:name w:val="annotation text"/>
    <w:basedOn w:val="1"/>
    <w:qFormat/>
    <w:uiPriority w:val="0"/>
    <w:pPr>
      <w:overflowPunct/>
      <w:snapToGrid/>
      <w:spacing w:line="600" w:lineRule="exact"/>
      <w:jc w:val="left"/>
    </w:pPr>
    <w:rPr>
      <w:rFonts w:ascii="Times New Roman" w:hAnsi="Times New Roman"/>
      <w:szCs w:val="32"/>
      <w:lang w:val="zh-CN" w:eastAsia="zh-CN"/>
    </w:rPr>
  </w:style>
  <w:style w:type="paragraph" w:styleId="7">
    <w:name w:val="Body Text Indent"/>
    <w:basedOn w:val="1"/>
    <w:qFormat/>
    <w:uiPriority w:val="0"/>
    <w:pPr>
      <w:spacing w:after="120"/>
      <w:ind w:left="200" w:leftChars="200"/>
    </w:pPr>
  </w:style>
  <w:style w:type="paragraph" w:styleId="8">
    <w:name w:val="Date"/>
    <w:basedOn w:val="1"/>
    <w:next w:val="1"/>
    <w:qFormat/>
    <w:uiPriority w:val="0"/>
    <w:pPr>
      <w:overflowPunct/>
      <w:snapToGrid/>
      <w:spacing w:line="240" w:lineRule="auto"/>
      <w:ind w:left="2500" w:leftChars="2500"/>
    </w:pPr>
    <w:rPr>
      <w:rFonts w:ascii="Times New Roman" w:hAnsi="Times New Roman" w:eastAsia="宋体"/>
      <w:b/>
      <w:bCs/>
      <w:sz w:val="28"/>
      <w:szCs w:val="24"/>
    </w:rPr>
  </w:style>
  <w:style w:type="paragraph" w:styleId="9">
    <w:name w:val="endnote text"/>
    <w:basedOn w:val="1"/>
    <w:qFormat/>
    <w:uiPriority w:val="0"/>
    <w:pPr>
      <w:overflowPunct/>
      <w:spacing w:line="600" w:lineRule="exact"/>
      <w:jc w:val="left"/>
    </w:pPr>
    <w:rPr>
      <w:rFonts w:ascii="Times New Roman" w:hAnsi="Times New Roman" w:eastAsia="宋体"/>
      <w:sz w:val="21"/>
      <w:szCs w:val="24"/>
      <w:lang w:val="zh-CN" w:eastAsia="zh-CN"/>
    </w:rPr>
  </w:style>
  <w:style w:type="paragraph" w:styleId="10">
    <w:name w:val="Balloon Text"/>
    <w:basedOn w:val="1"/>
    <w:qFormat/>
    <w:uiPriority w:val="0"/>
    <w:pPr>
      <w:overflowPunct/>
      <w:snapToGrid/>
      <w:spacing w:line="600" w:lineRule="exact"/>
    </w:pPr>
    <w:rPr>
      <w:rFonts w:ascii="Calibri" w:hAnsi="Calibri" w:eastAsia="宋体"/>
      <w:kern w:val="0"/>
      <w:sz w:val="18"/>
      <w:szCs w:val="18"/>
      <w:lang w:val="zh-CN" w:eastAsia="zh-CN"/>
    </w:rPr>
  </w:style>
  <w:style w:type="paragraph" w:styleId="11">
    <w:name w:val="footer"/>
    <w:basedOn w:val="1"/>
    <w:qFormat/>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12">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13">
    <w:name w:val="Subtitle"/>
    <w:basedOn w:val="1"/>
    <w:next w:val="1"/>
    <w:qFormat/>
    <w:uiPriority w:val="0"/>
    <w:pPr>
      <w:overflowPunct/>
      <w:snapToGrid/>
      <w:spacing w:line="600" w:lineRule="exact"/>
      <w:jc w:val="left"/>
    </w:pPr>
    <w:rPr>
      <w:rFonts w:ascii="仿宋_GB2312" w:hAnsi="仿宋_GB2312" w:eastAsia="方正楷体_GBK"/>
      <w:color w:val="000000"/>
      <w:szCs w:val="32"/>
      <w:lang w:val="zh-TW" w:eastAsia="zh-TW"/>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snapToGrid/>
      <w:spacing w:line="600" w:lineRule="exact"/>
      <w:jc w:val="left"/>
    </w:pPr>
    <w:rPr>
      <w:rFonts w:ascii="宋体" w:eastAsia="宋体"/>
      <w:kern w:val="0"/>
      <w:sz w:val="24"/>
      <w:szCs w:val="24"/>
      <w:lang w:val="zh-CN" w:eastAsia="zh-CN"/>
    </w:rPr>
  </w:style>
  <w:style w:type="paragraph" w:styleId="15">
    <w:name w:val="Normal (Web)"/>
    <w:basedOn w:val="1"/>
    <w:qFormat/>
    <w:uiPriority w:val="0"/>
    <w:pPr>
      <w:widowControl/>
      <w:overflowPunct/>
      <w:snapToGrid/>
      <w:spacing w:before="100" w:beforeAutospacing="1" w:after="100" w:afterAutospacing="1" w:line="600" w:lineRule="exact"/>
      <w:jc w:val="left"/>
    </w:pPr>
    <w:rPr>
      <w:rFonts w:ascii="宋体" w:hAnsi="宋体" w:cs="宋体"/>
      <w:kern w:val="0"/>
      <w:sz w:val="24"/>
      <w:szCs w:val="32"/>
    </w:rPr>
  </w:style>
  <w:style w:type="paragraph" w:styleId="16">
    <w:name w:val="Title"/>
    <w:basedOn w:val="1"/>
    <w:next w:val="1"/>
    <w:qFormat/>
    <w:uiPriority w:val="0"/>
    <w:pPr>
      <w:overflowPunct/>
      <w:snapToGrid/>
      <w:spacing w:line="600" w:lineRule="exact"/>
      <w:jc w:val="left"/>
      <w:outlineLvl w:val="0"/>
    </w:pPr>
    <w:rPr>
      <w:rFonts w:ascii="Cambria" w:hAnsi="Cambria" w:eastAsia="方正黑体_GBK"/>
      <w:bCs/>
      <w:szCs w:val="32"/>
      <w:lang w:val="zh-CN" w:eastAsia="zh-CN"/>
    </w:rPr>
  </w:style>
  <w:style w:type="paragraph" w:styleId="17">
    <w:name w:val="annotation subject"/>
    <w:basedOn w:val="6"/>
    <w:next w:val="6"/>
    <w:qFormat/>
    <w:uiPriority w:val="0"/>
    <w:rPr>
      <w:b/>
      <w:bCs/>
    </w:rPr>
  </w:style>
  <w:style w:type="paragraph" w:styleId="18">
    <w:name w:val="Body Text First Indent 2"/>
    <w:basedOn w:val="7"/>
    <w:next w:val="1"/>
    <w:qFormat/>
    <w:uiPriority w:val="0"/>
    <w:pPr>
      <w:overflowPunct/>
      <w:snapToGrid/>
      <w:spacing w:line="360" w:lineRule="auto"/>
      <w:jc w:val="left"/>
    </w:pPr>
    <w:rPr>
      <w:rFonts w:ascii="宋体" w:hAnsi="宋体"/>
      <w:sz w:val="2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0"/>
    <w:rPr>
      <w:i/>
      <w:iCs/>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paragraph" w:customStyle="1" w:styleId="26">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eastAsia="方正小标宋_GBK"/>
      <w:sz w:val="44"/>
    </w:rPr>
  </w:style>
  <w:style w:type="paragraph" w:customStyle="1" w:styleId="27">
    <w:name w:val="标题2"/>
    <w:basedOn w:val="1"/>
    <w:next w:val="1"/>
    <w:qFormat/>
    <w:uiPriority w:val="0"/>
    <w:pPr>
      <w:ind w:firstLine="0" w:firstLineChars="0"/>
      <w:jc w:val="center"/>
    </w:pPr>
    <w:rPr>
      <w:rFonts w:ascii="方正楷体_GBK" w:eastAsia="方正楷体_GBK"/>
    </w:rPr>
  </w:style>
  <w:style w:type="paragraph" w:customStyle="1" w:styleId="28">
    <w:name w:val="标题3"/>
    <w:basedOn w:val="1"/>
    <w:next w:val="1"/>
    <w:qFormat/>
    <w:uiPriority w:val="0"/>
    <w:pPr>
      <w:adjustRightInd w:val="0"/>
      <w:snapToGrid w:val="0"/>
    </w:pPr>
    <w:rPr>
      <w:rFonts w:ascii="方正黑体简体" w:eastAsia="方正黑体简体"/>
    </w:rPr>
  </w:style>
  <w:style w:type="paragraph" w:customStyle="1" w:styleId="29">
    <w:name w:val="标题4"/>
    <w:basedOn w:val="28"/>
    <w:next w:val="1"/>
    <w:qFormat/>
    <w:uiPriority w:val="0"/>
    <w:pPr>
      <w:jc w:val="center"/>
    </w:pPr>
  </w:style>
  <w:style w:type="paragraph" w:styleId="30">
    <w:name w:val="List Paragraph"/>
    <w:basedOn w:val="1"/>
    <w:qFormat/>
    <w:uiPriority w:val="0"/>
    <w:pPr>
      <w:overflowPunct/>
      <w:snapToGrid/>
      <w:spacing w:line="600" w:lineRule="exact"/>
    </w:pPr>
    <w:rPr>
      <w:rFonts w:ascii="Times New Roman" w:hAnsi="Times New Roman"/>
      <w:szCs w:val="32"/>
    </w:rPr>
  </w:style>
  <w:style w:type="paragraph" w:customStyle="1" w:styleId="31">
    <w:name w:val="列出段落1"/>
    <w:basedOn w:val="1"/>
    <w:qFormat/>
    <w:uiPriority w:val="0"/>
    <w:pPr>
      <w:overflowPunct/>
      <w:snapToGrid/>
      <w:spacing w:line="600" w:lineRule="exact"/>
    </w:pPr>
    <w:rPr>
      <w:rFonts w:ascii="Times New Roman" w:hAnsi="Times New Roman"/>
    </w:rPr>
  </w:style>
  <w:style w:type="character" w:customStyle="1" w:styleId="32">
    <w:name w:val="fontstyle41"/>
    <w:qFormat/>
    <w:uiPriority w:val="0"/>
    <w:rPr>
      <w:rFonts w:ascii="方正仿宋_GBK" w:eastAsia="方正仿宋_GBK" w:cs="Times New Roman"/>
      <w:color w:val="000000"/>
      <w:sz w:val="32"/>
      <w:szCs w:val="32"/>
    </w:rPr>
  </w:style>
  <w:style w:type="paragraph" w:customStyle="1" w:styleId="33">
    <w:name w:val="样式1"/>
    <w:basedOn w:val="1"/>
    <w:qFormat/>
    <w:uiPriority w:val="0"/>
    <w:pPr>
      <w:overflowPunct/>
      <w:snapToGrid/>
      <w:spacing w:line="760" w:lineRule="atLeast"/>
      <w:jc w:val="center"/>
    </w:pPr>
    <w:rPr>
      <w:rFonts w:ascii="Times New Roman" w:hAnsi="Times New Roman" w:eastAsia="方正小标宋简体"/>
      <w:sz w:val="44"/>
      <w:szCs w:val="44"/>
    </w:rPr>
  </w:style>
  <w:style w:type="paragraph" w:customStyle="1" w:styleId="34">
    <w:name w:val="样式2"/>
    <w:basedOn w:val="1"/>
    <w:qFormat/>
    <w:uiPriority w:val="0"/>
    <w:pPr>
      <w:adjustRightInd w:val="0"/>
      <w:snapToGrid w:val="0"/>
      <w:spacing w:line="460" w:lineRule="exact"/>
      <w:ind w:firstLine="0" w:firstLineChars="0"/>
    </w:pPr>
    <w:rPr>
      <w:rFonts w:ascii="Times New Roman" w:hAnsi="Times New Roman" w:eastAsia="方正黑体_GBK"/>
      <w:bCs/>
      <w:spacing w:val="12"/>
      <w:szCs w:val="32"/>
      <w:lang w:val="zh-CN" w:eastAsia="zh-CN"/>
    </w:rPr>
  </w:style>
  <w:style w:type="paragraph" w:customStyle="1" w:styleId="35">
    <w:name w:val="样式3"/>
    <w:basedOn w:val="1"/>
    <w:qFormat/>
    <w:uiPriority w:val="0"/>
    <w:pPr>
      <w:adjustRightInd w:val="0"/>
      <w:snapToGrid w:val="0"/>
      <w:spacing w:line="560" w:lineRule="exact"/>
    </w:pPr>
    <w:rPr>
      <w:rFonts w:ascii="Times New Roman" w:hAnsi="Times New Roman"/>
      <w:bCs/>
      <w:sz w:val="44"/>
      <w:szCs w:val="44"/>
      <w:lang w:val="zh-CN" w:eastAsia="zh-CN"/>
    </w:rPr>
  </w:style>
  <w:style w:type="paragraph" w:customStyle="1" w:styleId="36">
    <w:name w:val="样式4"/>
    <w:basedOn w:val="1"/>
    <w:qFormat/>
    <w:uiPriority w:val="0"/>
    <w:pPr>
      <w:overflowPunct/>
      <w:adjustRightInd w:val="0"/>
      <w:snapToGrid w:val="0"/>
      <w:spacing w:line="560" w:lineRule="exact"/>
      <w:ind w:firstLine="0" w:firstLineChars="0"/>
      <w:jc w:val="center"/>
    </w:pPr>
    <w:rPr>
      <w:rFonts w:ascii="Times New Roman" w:hAnsi="Times New Roman" w:eastAsia="方正楷体_GBK"/>
      <w:szCs w:val="32"/>
      <w:lang w:val="zh-CN" w:eastAsia="zh-CN"/>
    </w:rPr>
  </w:style>
  <w:style w:type="character" w:customStyle="1" w:styleId="37">
    <w:name w:val="尾注文本 Char1"/>
    <w:qFormat/>
    <w:uiPriority w:val="0"/>
    <w:rPr>
      <w:rFonts w:ascii="Times New Roman" w:hAnsi="Times New Roman" w:eastAsia="方正仿宋_GBK" w:cs="Times New Roman"/>
      <w:kern w:val="2"/>
      <w:sz w:val="32"/>
      <w:szCs w:val="32"/>
    </w:rPr>
  </w:style>
  <w:style w:type="paragraph" w:customStyle="1" w:styleId="38">
    <w:name w:val="正文 New"/>
    <w:qFormat/>
    <w:uiPriority w:val="0"/>
    <w:pPr>
      <w:widowControl w:val="0"/>
      <w:snapToGrid w:val="0"/>
      <w:spacing w:line="336" w:lineRule="auto"/>
      <w:jc w:val="both"/>
    </w:pPr>
    <w:rPr>
      <w:rFonts w:ascii="Calibri" w:hAnsi="Calibri" w:eastAsia="仿宋_GB2312" w:cs="Times New Roman"/>
      <w:kern w:val="32"/>
      <w:sz w:val="32"/>
      <w:szCs w:val="32"/>
      <w:lang w:val="en-US" w:eastAsia="zh-CN" w:bidi="ar-SA"/>
    </w:rPr>
  </w:style>
  <w:style w:type="character" w:customStyle="1" w:styleId="39">
    <w:name w:val="NormalCharacter"/>
    <w:qFormat/>
    <w:uiPriority w:val="0"/>
  </w:style>
  <w:style w:type="paragraph" w:customStyle="1" w:styleId="40">
    <w:name w:val="Table Paragraph"/>
    <w:basedOn w:val="1"/>
    <w:qFormat/>
    <w:uiPriority w:val="0"/>
    <w:pPr>
      <w:overflowPunct/>
      <w:autoSpaceDE w:val="0"/>
      <w:autoSpaceDN w:val="0"/>
      <w:snapToGrid/>
      <w:spacing w:line="372" w:lineRule="exact"/>
      <w:ind w:firstLine="0" w:firstLineChars="0"/>
      <w:jc w:val="left"/>
    </w:pPr>
    <w:rPr>
      <w:rFonts w:ascii="方正楷体_GBK" w:eastAsia="方正楷体_GBK" w:cs="方正楷体_GBK"/>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36</Pages>
  <Words>11168</Words>
  <Characters>11534</Characters>
  <Lines>753</Lines>
  <Paragraphs>89</Paragraphs>
  <TotalTime>60</TotalTime>
  <ScaleCrop>false</ScaleCrop>
  <LinksUpToDate>false</LinksUpToDate>
  <CharactersWithSpaces>11537</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2025-01-05T09:16:00Z</dcterms:created>
  <dc:creator>Windows</dc:creator>
  <cp:lastModifiedBy>uos</cp:lastModifiedBy>
  <cp:lastPrinted>2025-01-05T14:40:00Z</cp:lastPrinted>
  <dcterms:modified xsi:type="dcterms:W3CDTF">2025-09-12T16:43:28Z</dcterms:modified>
  <dc:title>公文通报模板</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eyJoZGlkIjoiMTJiN2E1NDVjMjlmOTJmMDkwMjU5N2FiODhhY2ExZmQifQ==</vt:lpwstr>
  </property>
  <property fmtid="{D5CDD505-2E9C-101B-9397-08002B2CF9AE}" pid="3" name="KSOProductBuildVer">
    <vt:lpwstr>2052-11.8.2.1132</vt:lpwstr>
  </property>
  <property fmtid="{D5CDD505-2E9C-101B-9397-08002B2CF9AE}" pid="4" name="ICV">
    <vt:lpwstr>3437A71279EE4F969E8DF4A7E385EFA3_13</vt:lpwstr>
  </property>
</Properties>
</file>