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南京市玄武区住房保障和房产局</w:t>
            </w:r>
            <w:r>
              <w:rPr>
                <w:rFonts w:ascii="宋体" w:hAnsi="宋体" w:cs="宋体" w:eastAsia="宋体"/>
                <w:b w:val="true"/>
                <w:sz w:val="52"/>
              </w:rPr>
              <w:t xml:space="preserve"></w:t>
              <w:br w:type="textWrapping"/>
              <w:t>部门决算公开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部门</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部门</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承担统筹全区住房保障、房产管理责任。承担住房制度改革和保障性住房建设管理的责任，落实住房制度改革政策，负责全区保障性住房的计划、调配和管理。承担统筹全区人才安居工作及棚户区改造的责任，制定棚户区改造等保障性安居工程的实施方案和计划。</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2.负责对本区域内物业管理企业、行业及活动的业务指导、监管，规范全区物业管理市场。负责商品房维修资金审核。统筹全区老旧住宅小区的整治、既有住宅增设电梯、宜居住区建设改造工作。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负责全区房屋安全监督管理及房屋结构变动行政许可初审。负责全区危旧房改造和直管公房的资产管理。落实党和国家有关政策，处理好有关私房、代管、宗教等房产的历史遗留问题。负责全区被征收项目安全监督管理。监督管理全区既有建筑幕墙维护检修。</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4.负责全区出租房屋的备案、发证及日常管理。负责全区房屋租赁税收代征、政策宣传及出租户的日常排查和管理。负责全区房产经纪机构备案初审等日常管理。</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负责编制全区国有土地上房屋征收计划和集体土地（含撤组剩余）涉及房屋征收补偿安置计划。负责全区国有土地上房屋征收补偿的组织实施和监督管理，负责全区集体土地（含撤组剩余）涉及房屋征收补偿与安置的组织实施和监督管理。</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负责拟订、论证全区征收安置方案及征收补偿、安置、补助、奖励政策和标准。负责组织征收项目的社会稳定风险评估。负责征收资金的管理，负责房屋征收补偿决定的申报与各类行政复议及涉诉工作，负责征收项目报审结算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7.负责住房保障、房产管理、征收拆迁安置等与部门职能相关的信访稳定工作。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8.参与公用应急抢险、公用事业中重大事故的调查处理和应急管理工作。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9.完成区委、区政府交办的其他任务。</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eastAsia="仿宋" w:hAnsi="仿宋" w:cs="仿宋" w:hint="eastAsia"/>
          <w:lang w:val="en-US"/>
        </w:rPr>
        <w:t>1.</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综合科（财务科）、住房保障科、物业管理科（老旧小区整治办公室）、房产管理科（既有住宅增设电梯办公室）、租赁管理科、征收管理科。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本部门下属单位包括：南京市玄武区住房保障和房产局本级、南京市玄武区住房保障中心。</w:t>
      </w:r>
      <w:r>
        <w:rPr>
          <w:rFonts w:ascii="仿宋" w:hAnsi="仿宋" w:cs="仿宋" w:eastAsia="仿宋"/>
        </w:rPr>
        <w:t/>
      </w:r>
      <w:r>
        <w:rPr>
          <w:rFonts w:ascii="仿宋" w:hAnsi="仿宋" w:cs="仿宋" w:eastAsia="仿宋"/>
        </w:rPr>
        <w:t/>
      </w:r>
    </w:p>
    <w:p w14:paraId="3A5AE81B"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2.</w:t>
      </w:r>
      <w:r>
        <w:rPr>
          <w:rFonts w:ascii="仿宋" w:eastAsia="仿宋" w:hAnsi="仿宋" w:cs="仿宋" w:hint="eastAsia"/>
        </w:rPr>
        <w:t>从决算单位构成看</w:t>
      </w:r>
      <w:r w:rsidRPr="00CF349C">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sidRPr="00CF349C">
        <w:rPr>
          <w:rFonts w:ascii="仿宋" w:eastAsia="仿宋" w:hAnsi="仿宋" w:cs="仿宋" w:hint="eastAsia"/>
          <w:lang w:val="en-US"/>
        </w:rPr>
        <w:t>202</w:t>
      </w:r>
      <w:r>
        <w:rPr>
          <w:rFonts w:ascii="仿宋" w:eastAsia="仿宋" w:hAnsi="仿宋" w:cs="仿宋" w:hint="eastAsia"/>
          <w:lang w:val="en-US"/>
        </w:rPr>
        <w:t>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hint="eastAsia"/>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ascii="仿宋" w:eastAsia="仿宋" w:hAnsi="仿宋" w:cs="仿宋" w:hint="eastAsia"/>
        </w:rPr>
        <w:t>家</w:t>
      </w:r>
      <w:r w:rsidRPr="00CF349C">
        <w:rPr>
          <w:rFonts w:ascii="仿宋" w:eastAsia="仿宋" w:hAnsi="仿宋" w:cs="仿宋" w:hint="eastAsia"/>
          <w:lang w:val="en-US"/>
        </w:rPr>
        <w:t>，</w:t>
      </w:r>
      <w:r>
        <w:rPr>
          <w:rFonts w:ascii="仿宋" w:eastAsia="仿宋" w:hAnsi="仿宋" w:cs="仿宋" w:hint="eastAsia"/>
        </w:rPr>
        <w:t>具体包括</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南京市玄武区住房保障和房产局本级、南京市玄武区住房保障中心。</w:t>
      </w:r>
      <w:r>
        <w:rPr>
          <w:rFonts w:ascii="仿宋" w:hAnsi="仿宋" w:cs="仿宋" w:eastAsia="仿宋"/>
        </w:rPr>
        <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（一）小区改造</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玄武区共12个老旧小区改造任务，共计148栋房屋，建筑面积约36.07万平方米，涉及居民5400户，项目总投资约10821万元。12个改造项目均由区城建集团（南京百子城市建设有限公司）负责建设实施。既有住宅增设电梯新增初审单元40个，领取规划许可证38个，新增开工单元36个。</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（二）物业管理</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是突出“红色物业”。践行党建引领物业行业发展理念，开展书记为民办实事项目活动。制定《2023年度玄武区物业党建工作方案》，高标准做好2022年省级、市级示范点迎查工作，开展2023年度玄武区“党建引领物业管理服务工作示范点”培育。2023年，设立区物业行业党委、街道物业党总支物业党建书记项目22个，指导社区党组织牵头联动物业党组织，设立社区为民办实事项目104个。</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是融合社会治理。指导全区60个社区开展社区居委会增设环境和物业管理委员会建设工作。引导物业服务企业拓展物业服务深度，红庙物业社区服务中心、清溪村9号小区先后于去年底今年初，被市房产局授牌“睦宁里”便民服务点，另有红庙物业严家桥站点、百子物业营苑新寓站点正在建设中。指导百子物业深化打造玄武“百子红”党建引领基层治理模式2.0版，开展百子红集市24次。全年办理人大建议、政协提案25件，满意率100%。</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是开展环境提升。制定《玄武区物业管理区域环境综合整治提升行动工作方案》，分组挂钩各街道开展环境卫生督查。牵头城管、公安、消防及各街道扎实推进居民小区文明创建工作，每月开展“文明有宁携手同行”宣传宣讲活动，发放宣传册600余份。选聘区行业协会专家，协助开展迎接国家卫生城市复审督导检查48人次，完成居民小区检查全覆盖。</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（三）房屋安全管理</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全区在册危房8幢：3幢D级危房已完成“人员撤离，停止使用”要求，1幢C级危房（四牌楼59号小区供水泵房）已翻建，1幢C级危房（富贵山路25-2号）已治理完毕，其余3幢C级危房已“人房分离”。建设玄武区房屋使用安全管理平台，通过手机端程序，对全区危房、疑似危房和建筑幕墙进行动态管理。全年累计接居民投诉496起，组织装修现场勘察253处570余人次，办结226起，责令整改违法拆改行为86起，协助街道调解装修邻里矛盾140余起。</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（四）租赁管理</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落实房地产经纪行业规范经营，累计办理辖区内经纪机构备案150件次；高效完成租赁合同备案和登记工作，累计办理房屋租赁登记备案3174件次。</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（五）城市更新</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结合新发布的《南京市城市更新办法》文件中对搬迁类项目规定，拟定按3个阶段、8个步骤推进锁金六村22-25幢城市更新（安全消险）项目。与街道、社区、公安派出所累计完成5轮居民“逐户过堂会”，摸清居民家庭情况及社会关系。针对特殊情况租住户多、群众诉求统一难等堵点问题，分门别类制定8套应对措施，拟定托底安置、家庭公证等协议，减少安置纠纷。</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（六）住房保障</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引导多主体投资、多渠道供给筹集保障性租赁住房。申报中央奖补资金3293万元，专项用于徐庄东南青年汇项目安居工程建设。发放人才安居租赁补贴1323.7万元，惠及11970人次，购房补贴100万元，6人次。摸排全区保障房项目剩余房源，共计726套。</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南京市玄武区住房保障和房产局</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color w:val="000000"/>
                <w:lang w:eastAsia="ar-SA"/>
              </w:rPr>
              <w:t>南京市玄武区住房保障和房产局</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17,581.61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22.37</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35,357.19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14.02</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5,192.97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165.56</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60.29</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46,960.02</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10,827.93</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58,131.77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58,050.19</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2,901.68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2,983.26</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61,033.45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61,033.45</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58,131.77</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52,938.80</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5,192.97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43.60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34.90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政府办公厅（室）及相关机构事务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2010308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信访事务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20107</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税收事务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34.90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34.90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2010710</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税收业务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34.90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34.90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165.56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165.56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165.56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165.56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165.42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165.42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0.14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0.14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59.60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59.60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59.60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59.60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2101101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44.17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44.17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2101102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15.43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15.43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47,021.05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43,174.78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3,846.27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1,870.52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1,850.52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905.91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905.91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776.99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756.99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187.62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187.62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城乡社区公共设施</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2120303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小城镇基础设施建设</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35,120.19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35,120.19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征地和拆迁补偿支出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29,807.00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29,807.00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城市建设支出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5,151.69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5,151.69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2120813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保障性住房租金补贴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161.50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161.50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城市基础设施配套费安排的支出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237.00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237.00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2121399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其他城市基础设施配套费安排的支出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237.00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237.00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9,788.34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5,962.07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3,826.27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2129999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9,788.34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5,962.07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3,826.27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10,827.94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9,516.14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1,311.80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保障性安居工程支出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9,306.34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7,994.55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1,311.79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2210103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棚户区改造</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2210107</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保障性住房租金补贴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168.30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168.30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2210108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老旧小区改造</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5,560.17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4,491.55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1,068.62</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其他保障性安居工程支出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3,557.87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3,314.70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243.17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771.32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771.32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159.76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159.76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611.56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611.56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城乡社区住宅</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750.28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750.27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0.01</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2210399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其他城乡社区住宅支出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750.28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750.27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0.01</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58,050.19</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2,239.87</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55,810.32</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22.37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22.37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政府办公厅（室）及相关机构事务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8.70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8.70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2010308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信访事务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8.70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8.70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20107</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税收事务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13.67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13.67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2010710</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税收业务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13.67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13.67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165.56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165.56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165.56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165.56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165.42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165.42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0.14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0.14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60.29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60.29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行政事业单位医疗</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60.29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60.29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2101101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行政单位医疗</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44.17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44.17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2101102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事业单位医疗</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16.12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16.12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46,960.02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907.15</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46,052.87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城乡社区管理事务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1,930.52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905.91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1,024.61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2120101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905.91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905.91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776.99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776.99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2120109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住宅建设与房地产市场监管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其他城乡社区管理事务支出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187.62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187.62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城乡社区公共设施</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2120303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小城镇基础设施建设</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35,120.19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35,120.19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征地和拆迁补偿支出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29,807.00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29,807.00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城市建设支出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5,151.69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5,151.69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2120813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保障性住房租金补贴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161.50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161.50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城市基础设施配套费安排的支出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237.00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237.00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2121399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其他城市基础设施配套费安排的支出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237.00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237.00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其他城乡社区支出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9,667.31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9,666.07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2129999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其他城乡社区支出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9,667.31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9,666.07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10,827.93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1,106.87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9,721.06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保障性安居工程支出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9,306.34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9,306.34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2210103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棚户区改造</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2210107</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保障性住房租金补贴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168.30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168.30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2210108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老旧小区改造</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5,560.17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5,560.17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其他保障性安居工程支出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3,557.87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3,557.87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771.32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771.32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159.76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159.76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611.56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611.56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城乡社区住宅</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750.27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335.55</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414.72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2210399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其他城乡社区住宅支出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750.27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335.55</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414.72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17,581.61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35,357.19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43,176.02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7,818.83</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35,357.19</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9,516.14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9,516.14</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52,938.80</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52,940.73</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17,583.54</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35,357.19</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6.81</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4.88</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4.88</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6.81</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52,945.61</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52,945.61</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17,588.42</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35,357.19</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52,940.73</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2,239.87</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50,700.86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20103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政府办公厅（室）及相关机构事务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2010308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信访事务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165.42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165.42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2101101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44.17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44.17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2101102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16.12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16.12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43,176.02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907.15</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42,268.87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1,850.52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905.91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944.61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905.91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905.91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756.99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756.99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187.62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187.62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城乡社区公共设施</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2120303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小城镇基础设施建设</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35,120.19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35,120.19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征地和拆迁补偿支出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29,807.00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29,807.00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城市建设支出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5,151.69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5,151.69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2120813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保障性住房租金补贴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161.50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161.50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城市基础设施配套费安排的支出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2121399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其他城市基础设施配套费安排的支出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5,963.31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5,962.07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2129999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5,963.31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5,962.07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9,516.14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1,106.87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8,409.27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保障性安居工程支出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7,994.55</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7,994.55</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2210103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棚户区改造</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2210107</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保障性住房租金补贴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168.30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168.30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2210108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老旧小区改造</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4,491.55</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4,491.55</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其他保障性安居工程支出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3,314.70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3,314.70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611.56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611.56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城乡社区住宅</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750.27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335.55</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414.72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2210399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其他城乡社区住宅支出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750.27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335.55</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414.72</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2,239.87</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2,160.21</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79.66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1,729.13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1,729.13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410.08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410.08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538.70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538.70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260.38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260.38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80.45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80.45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134.12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134.12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74.76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74.76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8.87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8.87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431.08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431.08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423.59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423.59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17,583.54</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2,239.87</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15,343.67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20103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政府办公厅（室）及相关机构事务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2010308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信访事务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165.56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165.42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165.42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2101101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44.17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44.17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2101102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16.12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16.12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7,818.83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907.15</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6,911.68</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1,850.52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905.91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944.61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2120101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905.91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905.91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2120102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756.99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756.99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187.62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187.62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城乡社区公共设施</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2120303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小城镇基础设施建设</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5,963.31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5,962.07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2129999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5,963.31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5,962.07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9,516.14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1,106.87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8,409.27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保障性安居工程支出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7,994.55</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7,994.55</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2210103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棚户区改造</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2210107</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保障性住房租金补贴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168.30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168.30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2210108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老旧小区改造</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4,491.55</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4,491.55</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其他保障性安居工程支出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3,314.70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3,314.70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611.56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611.56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城乡社区住宅</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750.27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335.55</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414.72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2210399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其他城乡社区住宅支出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750.27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335.55</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414.72</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2,239.87</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2,160.21</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79.66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1,729.13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1,729.13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410.08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410.08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538.70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538.70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260.38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260.38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80.45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80.45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134.12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134.12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67.34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60.29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74.76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74.76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8.87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8.87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431.08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431.08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423.59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423.59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4.90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0.84</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0.84</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38</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35,357.19</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35,357.19</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35,357.19</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35,357.19</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35,120.19</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35,120.19</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2120801</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征地和拆迁补偿支出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29,807.00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29,807.00</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2120803</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城市建设支出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5,151.69</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5,151.69</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2120813</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保障性住房租金补贴</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161.50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161.50</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21213</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城市基础设施配套费安排的支出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237.00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237.00</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2121399</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其他城市基础设施配套费安排的支出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237.00</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237.00</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部门</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55.63</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50.73</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23.90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0.64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9.58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0.62</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4.10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0.84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0.20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6.78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4.07</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4.90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4.90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南京市玄武区住房保障和房产局</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26.89</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3.92</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22.97</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2023年度收入、支出决算总计61,033.45万元。与上年相比，收、支总计各增加32,638.86万元，增长114.95%。其中：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（一）收入决算总计61,033.45万元。包括：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1.本年收入决算合计58,131.77万元。与上年相比，增加35,907.61万元，增长161.57%，变动原因：项目增加和上级转移支付。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3.年初结转和结余2,901.68万元。与上年相比，减少3,268.75万元，减少52.97%，变动原因：项目减少。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（二）支出决算总计61,033.45万元。包括：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1.本年支出决算合计58,050.19万元。与上年相比，增加32,557.28万元，增长127.71%，变动原因：项目增加和上级转移支付。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3.年末结转和结余2,983.26万元。结转和结余事项：主要包括小区整治工程。与上年相比，增加81.58万元，增长2.81%，变动原因：上年度支出预算因客观原因未执行完毕，结转到本年度按有关规定继续使用的资金。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58,131.77万元，其中：财政拨款收入52,938.8万元，占91.07%；上级补助收入0万元，占0%；财政专户管理教育收费0万元，占0%；事业收入（不含专户管理教育收费）0万元，占0%；经营收入0万元，占0%；附属单位上缴收入0万元，占0%；其他收入5,192.97万元，占8.93%。</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2023年度本年支出决算合计58,050.19万元，其中：基本支出2,239.87万元，占3.86%；项目支出55,810.32万元，占96.14%；上缴上级支出0万元，占0%；经营支出0万元，占0%；对附属单位补助支出0万元，占0%。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2023年度财政拨款收入、支出决算总计52,945.61万元。与上年相比，收、支总计各增加35,486.62万元，增长203.26%，变动原因：项目增加和上级转移支付。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2023年度财政拨款支出决算52,940.73万元，占本年支出合计的91.2%。与2023年度财政拨款支出年初预算7,025.95万元相比，完成年初预算的753.5%。其中：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（一）一般公共服务支出（类）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政府办公厅（室）及相关机构事务（款）信访事务（项）。年初预算0万元，支出决算8.7万元，（年初预算数为0万元，无法计算完成比率）决算数与年初预算数的差异原因：支付信访积案化解经费。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（二）科学技术支出（类）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其他科学技术支出（款）其他科学技术支出（项）。年初预算0万元，支出决算14.02万元，（年初预算数为0万元，无法计算完成比率）决算数与年初预算数的差异原因：支付区房屋使用安全管理平台项目续建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行政单位离退休（项）。年初预算110.11万元，支出决算165.42万元，完成年初预算的150.23%。决算数与年初预算数的差异原因：退休人员一次性退休补贴和退休人员去世一次性抚恤金、丧葬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2.行政事业单位养老支出（款）事业单位离退休（项）。年初预算1.34万元，支出决算0.14万元，完成年初预算的10.45%。决算数与年初预算数的差异原因：退休人员未开展活动。</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（四）卫生健康支出（类）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1.行政事业单位医疗（款）行政单位医疗（项）。年初预算42.66万元，支出决算44.17万元，完成年初预算的103.54%。决算数与年初预算数的差异原因：人员调整、基数调整。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2.行政事业单位医疗（款）事业单位医疗（项）。年初预算16.58万元，支出决算16.12万元，完成年初预算的97.23%。决算数与年初预算数的差异原因：资金使用功能科目调整。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（五）城乡社区支出（类）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1.城乡社区管理事务（款）行政运行（项）。年初预算906.32万元，支出决算905.91万元，完成年初预算的99.95%。决算数与年初预算数的差异原因：支付尾差。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城乡社区管理事务（款）一般行政管理事务（项）。年初预算782.3万元，支出决算756.99万元，完成年初预算的96.76%。决算数与年初预算数的差异原因：房产经营公司退休人员提租补贴和民生政策宣讲专项经费因客观原因部分未执行完毕。</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3.城乡社区管理事务（款）其他城乡社区管理事务支出（项）。年初预算187.62万元，支出决算187.62万元，完成年初预算的100%。决算数与年初预算数相同。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4.城乡社区公共设施（款）小城镇基础设施建设（项）。年初预算0万元，支出决算5万元，（年初预算数为0万元，无法计算完成比率）决算数与年初预算数的差异原因：支付自建房安全隐患排查补助。</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国有土地使用权出让收入安排的支出（款）征地和拆迁补偿支出（项）。年初预算0万元，支出决算29,807万元，（年初预算数为0万元，无法计算完成比率）决算数与年初预算数的差异原因：支付征收及危旧房改造项目资金和锁金六村22-25幢房屋综合治理项目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国有土地使用权出让收入安排的支出（款）城市建设支出（项）。年初预算0万元，支出决算5,151.69万元，（年初预算数为0万元，无法计算完成比率）决算数与年初预算数的差异原因：支付2017年老旧小区整治工程市级补贴资金、2018年老旧小区整治工程、2022年老旧小区改造工程中央补助和市级补贴资金、2023年老旧小区改造项目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7.国有土地使用权出让收入安排的支出（款）保障性住房租金补贴（项）。年初预算0万元，支出决算161.5万元，（年初预算数为0万元，无法计算完成比率）决算数与年初预算数的差异原因：资金使用功能科目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8.城市基础设施配套费安排的支出（款）其他城市基础设施配套费安排的支出（项）。年初预算0万元，支出决算237万元，（年初预算数为0万元，无法计算完成比率）决算数与年初预算数的差异原因：支付既有住宅增设电梯补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9.其他城乡社区支出（款）其他城乡社区支出（项）。年初预算3,489.04万元，支出决算5,963.31万元，完成年初预算的170.92%。决算数与年初预算数的差异原因：项目增加和上级转移支付。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1.保障性安居工程支出（款）棚户区改造（项）。年初预算0万元，支出决算20万元，（年初预算数为0万元，无法计算完成比率）决算数与年初预算数的差异原因：支付2021年省级保障性安居工程建设引导资金。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2.保障性安居工程支出（款）保障性住房租金补贴（项）。年初预算0万元，支出决算168.3万元，（年初预算数为0万元，无法计算完成比率）决算数与年初预算数的差异原因：资金使用功能科目调整。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3.保障性安居工程支出（款）老旧小区改造（项）。年初预算0万元，支出决算4,491.55万元，（年初预算数为0万元，无法计算完成比率）决算数与年初预算数的差异原因：支付2023年老旧小区改造项目资金。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保障性安居工程支出（款）其他保障性安居工程支出（项）。年初预算0万元，支出决算3,314.7万元，（年初预算数为0万元，无法计算完成比率）决算数与年初预算数的差异原因：支付2023年保障性安居工程（第一批）中央基建投资预算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5.住房改革支出（款）住房公积金（项）。年初预算162.71万元，支出决算159.76万元，完成年初预算的98.19%。决算数与年初预算数的差异原因：人员调整、基数调整。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6.住房改革支出（款）提租补贴（项）。年初预算616.98万元，支出决算611.56万元，完成年初预算的99.12%。决算数与年初预算数的差异原因：人员调整、基数调整。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7.城乡社区住宅（款）其他城乡社区住宅支出（项）。年初预算710.29万元，支出决算750.27万元，完成年初预算的105.63%。决算数与年初预算数的差异原因：租赁补贴资金使用功能科目调整和支付老旧小区管理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2023年度财政拨款基本支出决算2,239.87万元，其中：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（一）人员经费2,160.21万元。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绩效工资、机关事业单位基本养老保险缴费、职业年金缴费、职工基本医疗保险缴费、其他社会保障缴费、住房公积金、其他工资福利支出、退休费、抚恤金、医疗费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（二）公用经费79.66万元。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主要包括：办公费、咨询费、水费、电费、邮电费、差旅费、维修（护）费、培训费、劳务费、工会经费、福利费、其他商品和服务支出、办公设备购置。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2023年度一般公共预算财政拨款支出决算17,583.54万元。与上年相比，增加4,340.86万元，增长32.78%，变动原因：项目增加和上级转移支付。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2023年度一般公共预算财政拨款基本支出决算2,239.87万元，其中：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（一）人员经费2,160.21万元。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绩效工资、机关事业单位基本养老保险缴费、职业年金缴费、职工基本医疗保险缴费、其他社会保障缴费、住房公积金、其他工资福利支出、退休费、抚恤金、医疗费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（二）公用经费79.66万元。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主要包括：办公费、咨询费、水费、电费、邮电费、差旅费、维修（护）费、培训费、劳务费、工会经费、福利费、其他商品和服务支出、办公设备购置。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2023年度财政拨款“三公”经费支出决算0万元（其中：一般公共预算支出0万元；政府性基金预算支出0万元；国有资本经营预算支出0万元）。与上年决算数相同。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0万元。公务用车运行维护费主要用于按规定保留的公务用车的燃料费、维修费、过桥过路费、保险费、安全奖励费用等支出。截至2023年12月31日，使用财政拨款开支的公务用车保有量为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2023年度全年召开会议0个，参加会议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0.84万元（其中：一般公共预算支出0.84万元；政府性基金预算支出0万元；国有资本经营预算支出0万元），支出决算0.84万元（其中：一般公共预算支出0.84万元；政府性基金预算支出0万元；国有资本经营预算支出0万元），完成调整后预算的100%，决算数与预算数相同。2023年度全年组织培训0个，组织培训38人次，开支内容：领导干部高校培训和物业、消防培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2023年度政府性基金预算财政拨款支出决算35,357.19万元。与上年相比，增加31,147.7万元，增长739.94%，变动原因：项目资金拨款渠道发生改变。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55.63万元（其中：一般公共预算支出55.63万元；政府性基金预算支出0万元；国有资本经营预算支出0万元）。与上年相比，减少9.89万元，减少15.09%，变动原因：项目资金拨款渠道发生改变。</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26.89万元，其中：政府采购货物支出3.92万元、政府采购工程支出0万元、政府采购服务支出22.97万元。政府采购授予中小企业合同金额0万元，占政府采购支出总额的0%，其中：授予小微企业合同金额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部门共有车辆11辆，其中：副部(省)级及以上领导用车0辆、主要领导干部用车0辆、机要通信用车0辆、应急保障用车0辆、执法执勤用车0辆、特种专业技术用车0辆、离退休干部用车0辆、其他用车11辆；单价50万元（含）以上的通用设备0台（套），单价100万元（含）以上的专用设备0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2023年度，本部门共1个项目开展了财政重点绩效评价，涉及财政性资金合计58,050.19万元；本部门开展部门整体支出财政重点绩效评价，涉及财政性资金58,050.19万元。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本部门组织所属单位共对2023年度已实施完成的1个项目开展了绩效自评价，涉及财政性资金合计58,050.19万元；本部门组织所属单位共开展1项单位整体支出绩效自评价，涉及财政性资金合计58,050.19万元。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本部门共1个项目开展了部门评价，涉及财政性资金合计58,050.19万元；本部门开展1个部门整体支出部门评价，涉及财政性资金58,050.19万元。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十九、一般公共服务支出(类)政府办公厅（室）及相关机构事务(款)信访事务(项)</w:t>
      </w:r>
      <w:r>
        <w:rPr>
          <w:rFonts w:ascii="仿宋" w:hAnsi="仿宋" w:cs="仿宋" w:eastAsia="仿宋"/>
          <w:b w:val="true"/>
        </w:rPr>
        <w:t>：</w:t>
      </w:r>
      <w:r>
        <w:rPr>
          <w:rFonts w:ascii="仿宋" w:eastAsia="仿宋" w:hAnsi="仿宋" w:cs="仿宋" w:hint="eastAsia"/>
        </w:rPr>
        <w:t>反映各级政府用于接待群众来信来访方面的支出。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二十、一般公共服务支出(类)税收事务(款)税收业务(项)</w:t>
      </w:r>
      <w:r>
        <w:rPr>
          <w:rFonts w:ascii="仿宋" w:hAnsi="仿宋" w:cs="仿宋" w:eastAsia="仿宋"/>
          <w:b w:val="true"/>
        </w:rPr>
        <w:t>：</w:t>
      </w:r>
      <w:r>
        <w:rPr>
          <w:rFonts w:ascii="仿宋" w:eastAsia="仿宋" w:hAnsi="仿宋" w:cs="仿宋" w:hint="eastAsia"/>
        </w:rPr>
        <w:t>反映各级税务部门开展税费征收、票证管理、稽查办案、纳税服务等税收专项业务方面的支出。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二十一、科学技术支出(类)其他科学技术支出(款)其他科学技术支出(项)</w:t>
      </w:r>
      <w:r>
        <w:rPr>
          <w:rFonts w:ascii="仿宋" w:hAnsi="仿宋" w:cs="仿宋" w:eastAsia="仿宋"/>
          <w:b w:val="true"/>
        </w:rPr>
        <w:t>：</w:t>
      </w:r>
      <w:r>
        <w:rPr>
          <w:rFonts w:ascii="仿宋" w:eastAsia="仿宋" w:hAnsi="仿宋" w:cs="仿宋" w:hint="eastAsia"/>
        </w:rPr>
        <w:t>反映其他科学技术支出中除以上各项外用于科技方面的支出。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二十二、社会保障和就业支出(类)行政事业单位养老支出(款)行政单位离退休(项)</w:t>
      </w:r>
      <w:r>
        <w:rPr>
          <w:rFonts w:ascii="仿宋" w:hAnsi="仿宋" w:cs="仿宋" w:eastAsia="仿宋"/>
          <w:b w:val="true"/>
        </w:rPr>
        <w:t>：</w:t>
      </w:r>
      <w:r>
        <w:rPr>
          <w:rFonts w:ascii="仿宋" w:eastAsia="仿宋" w:hAnsi="仿宋" w:cs="仿宋" w:hint="eastAsia"/>
        </w:rPr>
        <w:t>反映行政单位（包括实行公务员管理的事业单位）开支的离退休经费。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二十三、社会保障和就业支出(类)行政事业单位养老支出(款)事业单位离退休(项)</w:t>
      </w:r>
      <w:r>
        <w:rPr>
          <w:rFonts w:ascii="仿宋" w:hAnsi="仿宋" w:cs="仿宋" w:eastAsia="仿宋"/>
          <w:b w:val="true"/>
        </w:rPr>
        <w:t>：</w:t>
      </w:r>
      <w:r>
        <w:rPr>
          <w:rFonts w:ascii="仿宋" w:eastAsia="仿宋" w:hAnsi="仿宋" w:cs="仿宋" w:hint="eastAsia"/>
        </w:rPr>
        <w:t>反映事业单位开支的离退休经费。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二十四、卫生健康支出(类)行政事业单位医疗(款)行政单位医疗(项)</w:t>
      </w:r>
      <w:r>
        <w:rPr>
          <w:rFonts w:ascii="仿宋" w:hAnsi="仿宋" w:cs="仿宋" w:eastAsia="仿宋"/>
          <w:b w:val="true"/>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二十五、卫生健康支出(类)行政事业单位医疗(款)事业单位医疗(项)</w:t>
      </w:r>
      <w:r>
        <w:rPr>
          <w:rFonts w:ascii="仿宋" w:hAnsi="仿宋" w:cs="仿宋" w:eastAsia="仿宋"/>
          <w:b w:val="true"/>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二十六、城乡社区支出(类)城乡社区管理事务(款)行政运行(项)</w:t>
      </w:r>
      <w:r>
        <w:rPr>
          <w:rFonts w:ascii="仿宋" w:hAnsi="仿宋" w:cs="仿宋" w:eastAsia="仿宋"/>
          <w:b w:val="true"/>
        </w:rPr>
        <w:t>：</w:t>
      </w:r>
      <w:r>
        <w:rPr>
          <w:rFonts w:ascii="仿宋" w:eastAsia="仿宋" w:hAnsi="仿宋" w:cs="仿宋" w:hint="eastAsia"/>
        </w:rPr>
        <w:t>反映行政单位（包括实行公务员管理的事业单位）的基本支出。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二十七、城乡社区支出(类)城乡社区管理事务(款)一般行政管理事务(项)</w:t>
      </w:r>
      <w:r>
        <w:rPr>
          <w:rFonts w:ascii="仿宋" w:hAnsi="仿宋" w:cs="仿宋" w:eastAsia="仿宋"/>
          <w:b w:val="true"/>
        </w:rPr>
        <w:t>：</w:t>
      </w:r>
      <w:r>
        <w:rPr>
          <w:rFonts w:ascii="仿宋" w:eastAsia="仿宋" w:hAnsi="仿宋" w:cs="仿宋" w:hint="eastAsia"/>
        </w:rPr>
        <w:t>反映行政单位（包括实行公务员管理的事业单位）未单独设置项级科目的其他项目支出。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二十八、城乡社区支出(类)城乡社区管理事务(款)住宅建设与房地产市场监管(项)</w:t>
      </w:r>
      <w:r>
        <w:rPr>
          <w:rFonts w:ascii="仿宋" w:hAnsi="仿宋" w:cs="仿宋" w:eastAsia="仿宋"/>
          <w:b w:val="true"/>
        </w:rPr>
        <w:t>：</w:t>
      </w:r>
      <w:r>
        <w:rPr>
          <w:rFonts w:ascii="仿宋" w:eastAsia="仿宋" w:hAnsi="仿宋" w:cs="仿宋" w:hint="eastAsia"/>
        </w:rPr>
        <w:t>反映调控房地产市场运行、研究拟定城镇住房制度改革法规、对住房公积金和其他房改资金进行政策指导并监督使用等方面的支出。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二十九、城乡社区支出(类)城乡社区管理事务(款)其他城乡社区管理事务支出(项)</w:t>
      </w:r>
      <w:r>
        <w:rPr>
          <w:rFonts w:ascii="仿宋" w:hAnsi="仿宋" w:cs="仿宋" w:eastAsia="仿宋"/>
          <w:b w:val="true"/>
        </w:rPr>
        <w:t>：</w:t>
      </w:r>
      <w:r>
        <w:rPr>
          <w:rFonts w:ascii="仿宋" w:eastAsia="仿宋" w:hAnsi="仿宋" w:cs="仿宋" w:hint="eastAsia"/>
        </w:rPr>
        <w:t>反映除上述项目以外其他用于城乡社区管理事务方面的支出。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三十、城乡社区支出(类)城乡社区公共设施(款)小城镇基础设施建设(项)</w:t>
      </w:r>
      <w:r>
        <w:rPr>
          <w:rFonts w:ascii="仿宋" w:hAnsi="仿宋" w:cs="仿宋" w:eastAsia="仿宋"/>
          <w:b w:val="true"/>
        </w:rPr>
        <w:t>：</w:t>
      </w:r>
      <w:r>
        <w:rPr>
          <w:rFonts w:ascii="仿宋" w:eastAsia="仿宋" w:hAnsi="仿宋" w:cs="仿宋" w:hint="eastAsia"/>
        </w:rPr>
        <w:t>反映用于小城镇路、气、水、电等基础建设方面的支出。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三十一、城乡社区支出(类)国有土地使用权出让收入安排的支出(款)征地和拆迁补偿支出(项)</w:t>
      </w:r>
      <w:r>
        <w:rPr>
          <w:rFonts w:ascii="仿宋" w:hAnsi="仿宋" w:cs="仿宋" w:eastAsia="仿宋"/>
          <w:b w:val="true"/>
        </w:rPr>
        <w:t>：</w:t>
      </w:r>
      <w:r>
        <w:rPr>
          <w:rFonts w:ascii="仿宋" w:eastAsia="仿宋" w:hAnsi="仿宋" w:cs="仿宋" w:hint="eastAsia"/>
        </w:rPr>
        <w:t>反映新疆生产建设兵团和地方政府在征地和收购土地过程中支付的土地补偿费、安置补助费、地上附着和青苗补偿费、拆迁补偿费支出。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三十二、城乡社区支出(类)国有土地使用权出让收入安排的支出(款)城市建设支出(项)</w:t>
      </w:r>
      <w:r>
        <w:rPr>
          <w:rFonts w:ascii="仿宋" w:hAnsi="仿宋" w:cs="仿宋" w:eastAsia="仿宋"/>
          <w:b w:val="true"/>
        </w:rPr>
        <w:t>：</w:t>
      </w:r>
      <w:r>
        <w:rPr>
          <w:rFonts w:ascii="仿宋" w:eastAsia="仿宋" w:hAnsi="仿宋" w:cs="仿宋" w:hint="eastAsia"/>
        </w:rPr>
        <w:t>反映土地出让收入用于完善国有土地使用功能的配套设施建设和城市基础设施建设支出。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三十三、城乡社区支出(类)国有土地使用权出让收入安排的支出(款)保障性住房租金补贴(项)</w:t>
      </w:r>
      <w:r>
        <w:rPr>
          <w:rFonts w:ascii="仿宋" w:hAnsi="仿宋" w:cs="仿宋" w:eastAsia="仿宋"/>
          <w:b w:val="true"/>
        </w:rPr>
        <w:t>：</w:t>
      </w:r>
      <w:r>
        <w:rPr>
          <w:rFonts w:ascii="仿宋" w:eastAsia="仿宋" w:hAnsi="仿宋" w:cs="仿宋" w:hint="eastAsia"/>
        </w:rPr>
        <w:t>反映用土地出让收益向低收入住房保障家庭发放的租赁补贴支出。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三十四、城乡社区支出(类)城市基础设施配套费安排的支出(款)其他城市基础设施配套费安排的支出(项)</w:t>
      </w:r>
      <w:r>
        <w:rPr>
          <w:rFonts w:ascii="仿宋" w:hAnsi="仿宋" w:cs="仿宋" w:eastAsia="仿宋"/>
          <w:b w:val="true"/>
        </w:rPr>
        <w:t>：</w:t>
      </w:r>
      <w:r>
        <w:rPr>
          <w:rFonts w:ascii="仿宋" w:eastAsia="仿宋" w:hAnsi="仿宋" w:cs="仿宋" w:hint="eastAsia"/>
        </w:rPr>
        <w:t>反映上述项目以外的城市基础设施配套费支出。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三十五、城乡社区支出(类)其他城乡社区支出(款)其他城乡社区支出(项)</w:t>
      </w:r>
      <w:r>
        <w:rPr>
          <w:rFonts w:ascii="仿宋" w:hAnsi="仿宋" w:cs="仿宋" w:eastAsia="仿宋"/>
          <w:b w:val="true"/>
        </w:rPr>
        <w:t>：</w:t>
      </w:r>
      <w:r>
        <w:rPr>
          <w:rFonts w:ascii="仿宋" w:eastAsia="仿宋" w:hAnsi="仿宋" w:cs="仿宋" w:hint="eastAsia"/>
        </w:rPr>
        <w:t>反映除上述项目以外其他用于城乡社区方面的支出。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三十六、住房保障支出(类)保障性安居工程支出(款)棚户区改造(项)</w:t>
      </w:r>
      <w:r>
        <w:rPr>
          <w:rFonts w:ascii="仿宋" w:hAnsi="仿宋" w:cs="仿宋" w:eastAsia="仿宋"/>
          <w:b w:val="true"/>
        </w:rPr>
        <w:t>：</w:t>
      </w:r>
      <w:r>
        <w:rPr>
          <w:rFonts w:ascii="仿宋" w:eastAsia="仿宋" w:hAnsi="仿宋" w:cs="仿宋" w:hint="eastAsia"/>
        </w:rPr>
        <w:t>反映用于棚户区改造方面的支出。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三十七、住房保障支出(类)保障性安居工程支出(款)保障性住房租金补贴(项)</w:t>
      </w:r>
      <w:r>
        <w:rPr>
          <w:rFonts w:ascii="仿宋" w:hAnsi="仿宋" w:cs="仿宋" w:eastAsia="仿宋"/>
          <w:b w:val="true"/>
        </w:rPr>
        <w:t>：</w:t>
      </w:r>
      <w:r>
        <w:rPr>
          <w:rFonts w:ascii="仿宋" w:eastAsia="仿宋" w:hAnsi="仿宋" w:cs="仿宋" w:hint="eastAsia"/>
        </w:rPr>
        <w:t>反映各级政府向低收入住房保障家庭发放的住房租赁补贴支出。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三十八、住房保障支出(类)保障性安居工程支出(款)老旧小区改造(项)</w:t>
      </w:r>
      <w:r>
        <w:rPr>
          <w:rFonts w:ascii="仿宋" w:hAnsi="仿宋" w:cs="仿宋" w:eastAsia="仿宋"/>
          <w:b w:val="true"/>
        </w:rPr>
        <w:t>：</w:t>
      </w:r>
      <w:r>
        <w:rPr>
          <w:rFonts w:ascii="仿宋" w:eastAsia="仿宋" w:hAnsi="仿宋" w:cs="仿宋" w:hint="eastAsia"/>
        </w:rPr>
        <w:t>反映用于老旧小区改造方面的支出。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三十九、住房保障支出(类)保障性安居工程支出(款)其他保障性安居工程支出(项)</w:t>
      </w:r>
      <w:r>
        <w:rPr>
          <w:rFonts w:ascii="仿宋" w:hAnsi="仿宋" w:cs="仿宋" w:eastAsia="仿宋"/>
          <w:b w:val="true"/>
        </w:rPr>
        <w:t>：</w:t>
      </w:r>
      <w:r>
        <w:rPr>
          <w:rFonts w:ascii="仿宋" w:eastAsia="仿宋" w:hAnsi="仿宋" w:cs="仿宋" w:hint="eastAsia"/>
        </w:rPr>
        <w:t>反映除上述项目以外其他用于保障性住房方面的支出。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四十一、住房保障支出(类)住房改革支出(款)提租补贴(项)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四十二、住房保障支出(类)城乡社区住宅(款)其他城乡社区住宅支出(项)</w:t>
      </w:r>
      <w:r>
        <w:rPr>
          <w:rFonts w:ascii="仿宋" w:hAnsi="仿宋" w:cs="仿宋" w:eastAsia="仿宋"/>
          <w:b w:val="true"/>
        </w:rPr>
        <w:t>：</w:t>
      </w:r>
      <w:r>
        <w:rPr>
          <w:rFonts w:ascii="仿宋" w:eastAsia="仿宋" w:hAnsi="仿宋" w:cs="仿宋" w:hint="eastAsia"/>
        </w:rPr>
        <w:t>反映除上述项目以外其他用于城乡社区住宅方面的支出。</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南京市玄武区住房保障和房产局</w:t>
    </w:r>
    <w:r>
      <w:t>2023年度</w:t>
    </w:r>
    <w:r>
      <w:t>部门</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