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800" w:type="dxa"/>
        <w:tblInd w:w="98" w:type="dxa"/>
        <w:tblLayout w:type="autofit"/>
        <w:tblCellMar>
          <w:top w:w="0" w:type="dxa"/>
          <w:left w:w="108" w:type="dxa"/>
          <w:bottom w:w="0" w:type="dxa"/>
          <w:right w:w="108" w:type="dxa"/>
        </w:tblCellMar>
      </w:tblPr>
      <w:tblGrid>
        <w:gridCol w:w="397"/>
        <w:gridCol w:w="766"/>
        <w:gridCol w:w="1720"/>
        <w:gridCol w:w="5577"/>
        <w:gridCol w:w="5340"/>
      </w:tblGrid>
      <w:tr>
        <w:tblPrEx>
          <w:tblCellMar>
            <w:top w:w="0" w:type="dxa"/>
            <w:left w:w="108" w:type="dxa"/>
            <w:bottom w:w="0" w:type="dxa"/>
            <w:right w:w="108" w:type="dxa"/>
          </w:tblCellMar>
        </w:tblPrEx>
        <w:trPr>
          <w:trHeight w:val="480" w:hRule="atLeast"/>
        </w:trPr>
        <w:tc>
          <w:tcPr>
            <w:tcW w:w="1160" w:type="dxa"/>
            <w:gridSpan w:val="2"/>
            <w:tcBorders>
              <w:top w:val="nil"/>
              <w:left w:val="nil"/>
              <w:bottom w:val="nil"/>
              <w:right w:val="nil"/>
            </w:tcBorders>
            <w:shd w:val="clear" w:color="auto" w:fill="auto"/>
            <w:noWrap/>
            <w:vAlign w:val="bottom"/>
          </w:tcPr>
          <w:p>
            <w:pPr>
              <w:widowControl/>
              <w:jc w:val="left"/>
              <w:rPr>
                <w:rFonts w:hint="default" w:ascii="Times New Roman" w:hAnsi="Times New Roman" w:cs="Times New Roman"/>
                <w:color w:val="000000"/>
                <w:kern w:val="0"/>
                <w:sz w:val="28"/>
                <w:szCs w:val="28"/>
              </w:rPr>
            </w:pPr>
            <w:bookmarkStart w:id="26" w:name="_GoBack"/>
            <w:bookmarkEnd w:id="26"/>
            <w:r>
              <w:rPr>
                <w:rFonts w:hint="default" w:ascii="Times New Roman" w:hAnsi="Times New Roman" w:eastAsia="仿宋_GB2312" w:cs="Times New Roman"/>
                <w:sz w:val="32"/>
                <w:szCs w:val="32"/>
              </w:rPr>
              <w:t>附件：</w:t>
            </w:r>
          </w:p>
        </w:tc>
        <w:tc>
          <w:tcPr>
            <w:tcW w:w="1720" w:type="dxa"/>
            <w:tcBorders>
              <w:top w:val="nil"/>
              <w:left w:val="nil"/>
              <w:bottom w:val="nil"/>
              <w:right w:val="nil"/>
            </w:tcBorders>
            <w:shd w:val="clear" w:color="auto" w:fill="auto"/>
            <w:noWrap/>
            <w:vAlign w:val="bottom"/>
          </w:tcPr>
          <w:p>
            <w:pPr>
              <w:widowControl/>
              <w:jc w:val="left"/>
              <w:rPr>
                <w:rFonts w:hint="default" w:ascii="Times New Roman" w:hAnsi="Times New Roman" w:cs="Times New Roman"/>
                <w:color w:val="000000"/>
                <w:kern w:val="0"/>
                <w:sz w:val="18"/>
                <w:szCs w:val="18"/>
              </w:rPr>
            </w:pPr>
          </w:p>
        </w:tc>
        <w:tc>
          <w:tcPr>
            <w:tcW w:w="5580"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18"/>
                <w:szCs w:val="18"/>
              </w:rPr>
            </w:pPr>
          </w:p>
        </w:tc>
        <w:tc>
          <w:tcPr>
            <w:tcW w:w="534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79" w:hRule="atLeast"/>
        </w:trPr>
        <w:tc>
          <w:tcPr>
            <w:tcW w:w="13800" w:type="dxa"/>
            <w:gridSpan w:val="5"/>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sz w:val="36"/>
                <w:szCs w:val="36"/>
              </w:rPr>
              <w:t>南京市玄武区应急管理局委托权力事项清单</w:t>
            </w:r>
          </w:p>
        </w:tc>
      </w:tr>
      <w:tr>
        <w:tblPrEx>
          <w:tblCellMar>
            <w:top w:w="0" w:type="dxa"/>
            <w:left w:w="108" w:type="dxa"/>
            <w:bottom w:w="0" w:type="dxa"/>
            <w:right w:w="108" w:type="dxa"/>
          </w:tblCellMar>
        </w:tblPrEx>
        <w:trPr>
          <w:trHeight w:val="5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序号</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权力类型</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权力名称</w:t>
            </w:r>
          </w:p>
        </w:tc>
        <w:tc>
          <w:tcPr>
            <w:tcW w:w="55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违反条款</w:t>
            </w:r>
          </w:p>
        </w:tc>
        <w:tc>
          <w:tcPr>
            <w:tcW w:w="53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处罚条款</w:t>
            </w:r>
          </w:p>
        </w:tc>
      </w:tr>
      <w:tr>
        <w:tblPrEx>
          <w:tblCellMar>
            <w:top w:w="0" w:type="dxa"/>
            <w:left w:w="108" w:type="dxa"/>
            <w:bottom w:w="0" w:type="dxa"/>
            <w:right w:w="108" w:type="dxa"/>
          </w:tblCellMar>
        </w:tblPrEx>
        <w:trPr>
          <w:trHeight w:val="51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对生产经营单位未按照规定设置安全生产管理机构或者配备安全生产管理人员的处罚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法律】《中华人民共和国安全生产法》（2021年国家主席令第88号）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【地方性法规】《江苏省安全生产条例》第十六条</w:t>
            </w:r>
            <w:bookmarkStart w:id="0" w:name="tiao_16_kuan_1"/>
            <w:bookmarkEnd w:id="0"/>
            <w:r>
              <w:rPr>
                <w:rFonts w:hint="default" w:ascii="Times New Roman" w:hAnsi="Times New Roman" w:cs="Times New Roman"/>
                <w:sz w:val="18"/>
                <w:szCs w:val="18"/>
              </w:rPr>
              <w:t>　矿山、金属冶炼、建筑施工、船舶修造、船舶拆解、运输单位和危险物品的生产、经营、储存、装卸单位，应当按照下列规定设置安全生产管理机构、配备专职安全生产管理人员：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 w:name="tiao_16_kuan_1_xiang_1"/>
            <w:bookmarkEnd w:id="1"/>
            <w:r>
              <w:rPr>
                <w:rFonts w:hint="default" w:ascii="Times New Roman" w:hAnsi="Times New Roman" w:cs="Times New Roman"/>
                <w:sz w:val="18"/>
                <w:szCs w:val="18"/>
              </w:rPr>
              <w:t>　　（一）从业人员不足三十人的，配备一名以上专职安全生产管理人员；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2" w:name="tiao_16_kuan_1_xiang_2"/>
            <w:bookmarkEnd w:id="2"/>
            <w:r>
              <w:rPr>
                <w:rFonts w:hint="default" w:ascii="Times New Roman" w:hAnsi="Times New Roman" w:cs="Times New Roman"/>
                <w:sz w:val="18"/>
                <w:szCs w:val="18"/>
              </w:rPr>
              <w:t>　　（二）从业人员三十人以上不足一百人的，设置专门的安全生产管理机构，并配备两名以上专职安全生产管理人员；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3" w:name="tiao_16_kuan_1_xiang_3"/>
            <w:bookmarkEnd w:id="3"/>
            <w:r>
              <w:rPr>
                <w:rFonts w:hint="default" w:ascii="Times New Roman" w:hAnsi="Times New Roman" w:cs="Times New Roman"/>
                <w:sz w:val="18"/>
                <w:szCs w:val="18"/>
              </w:rPr>
              <w:t>　　（三）从业人员一百人以上不足三百人的，设置专门的安全生产管理机构，并配备三名以上专职安全生产管理人员；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4" w:name="tiao_16_kuan_1_xiang_4"/>
            <w:bookmarkEnd w:id="4"/>
            <w:r>
              <w:rPr>
                <w:rFonts w:hint="default" w:ascii="Times New Roman" w:hAnsi="Times New Roman" w:cs="Times New Roman"/>
                <w:sz w:val="18"/>
                <w:szCs w:val="18"/>
              </w:rPr>
              <w:t>　　（四）从业人员三百人以上的，设置专门的安全生产管理机构，并按照不低于从业人员百分之一的比例配备专职安全生产管理人员。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5" w:name="tiao_16_kuan_2"/>
            <w:bookmarkEnd w:id="5"/>
            <w:r>
              <w:rPr>
                <w:rFonts w:hint="default" w:ascii="Times New Roman" w:hAnsi="Times New Roman" w:cs="Times New Roman"/>
                <w:sz w:val="18"/>
                <w:szCs w:val="18"/>
              </w:rPr>
              <w:t>　　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6" w:name="tiao_16_kuan_3"/>
            <w:bookmarkEnd w:id="6"/>
            <w:r>
              <w:rPr>
                <w:rFonts w:hint="default" w:ascii="Times New Roman" w:hAnsi="Times New Roman" w:cs="Times New Roman"/>
                <w:sz w:val="18"/>
                <w:szCs w:val="18"/>
              </w:rPr>
              <w:t>　　生产经营单位使用被派遣劳动者的，被派遣劳动者数量计入生产经营单位从业人员总数。</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7" w:name="tiao_16_kuan_4"/>
            <w:bookmarkEnd w:id="7"/>
            <w:r>
              <w:rPr>
                <w:rFonts w:hint="default" w:ascii="Times New Roman" w:hAnsi="Times New Roman" w:cs="Times New Roman"/>
                <w:sz w:val="18"/>
                <w:szCs w:val="18"/>
              </w:rPr>
              <w:t>　　国家对建筑施工等劳动密集型行业在设立安全生产管理机构或者配备专职安全生产管理人员方面另有规定的，按照其规定执行。</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【地方性法规】《江苏省安全生产条例》第六十九条</w:t>
            </w:r>
            <w:bookmarkStart w:id="8" w:name="tiao_69_kuan_1"/>
            <w:bookmarkEnd w:id="8"/>
            <w:r>
              <w:rPr>
                <w:rFonts w:hint="default" w:ascii="Times New Roman" w:hAnsi="Times New Roman" w:cs="Times New Roman"/>
                <w:sz w:val="18"/>
                <w:szCs w:val="18"/>
              </w:rPr>
              <w:t>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对重点生产经营单位的主要负责人和安全生产管理人员未按照规定经考核合格的处罚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第二十七条 生产经营单位的主要负责人和安全生产管理人员必须具备与本单位所从事的生产经营活动相应的安全生产知识和管理能力。</w:t>
            </w:r>
            <w:r>
              <w:rPr>
                <w:rFonts w:hint="default" w:ascii="Times New Roman" w:hAnsi="Times New Roman" w:cs="Times New Roman"/>
                <w:sz w:val="18"/>
                <w:szCs w:val="18"/>
              </w:rPr>
              <w:br w:type="page"/>
            </w:r>
            <w:r>
              <w:rPr>
                <w:rFonts w:hint="default" w:ascii="Times New Roman" w:hAnsi="Times New Roman" w:cs="Times New Roman"/>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【地方性法规】《江苏省安全生产条例》</w:t>
            </w:r>
            <w:r>
              <w:rPr>
                <w:rFonts w:hint="default" w:ascii="Times New Roman" w:hAnsi="Times New Roman" w:cs="Times New Roman"/>
                <w:sz w:val="18"/>
                <w:szCs w:val="18"/>
              </w:rPr>
              <w:br w:type="page"/>
            </w:r>
            <w:r>
              <w:rPr>
                <w:rFonts w:hint="default" w:ascii="Times New Roman" w:hAnsi="Times New Roman" w:cs="Times New Roman"/>
                <w:sz w:val="18"/>
                <w:szCs w:val="18"/>
              </w:rPr>
              <w:t>第二十二条</w:t>
            </w:r>
            <w:bookmarkStart w:id="9" w:name="tiao_22_kuan_1"/>
            <w:bookmarkEnd w:id="9"/>
            <w:r>
              <w:rPr>
                <w:rFonts w:hint="default" w:ascii="Times New Roman" w:hAnsi="Times New Roman" w:cs="Times New Roman"/>
                <w:sz w:val="18"/>
                <w:szCs w:val="18"/>
              </w:rPr>
              <w:t>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0" w:name="tiao_22_kuan_2"/>
            <w:bookmarkEnd w:id="10"/>
            <w:r>
              <w:rPr>
                <w:rFonts w:hint="default" w:ascii="Times New Roman" w:hAnsi="Times New Roman" w:cs="Times New Roman"/>
                <w:sz w:val="18"/>
                <w:szCs w:val="18"/>
              </w:rPr>
              <w:t>　　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1" w:name="tiao_22_kuan_3"/>
            <w:bookmarkEnd w:id="11"/>
            <w:r>
              <w:rPr>
                <w:rFonts w:hint="default" w:ascii="Times New Roman" w:hAnsi="Times New Roman" w:cs="Times New Roman"/>
                <w:sz w:val="18"/>
                <w:szCs w:val="18"/>
              </w:rPr>
              <w:t>　　生产经营单位的特种作业人员，应当按照国家有关规定接受专门的安全作业培训，经考核合格取得相应资格，方可上岗作业。</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【规章】《生产经营单位安全培训规定》（2015修正）（国家安监总局第3号令，国家安监总局令第80号修正）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第二十四条 煤矿、非煤矿山、危险化学品、烟花爆竹、金属冶炼等生产经营单位主要负责人和安全生产管理人员，自任职之日起6个月内，必须经安全生产监管监察部门对其安全生产知识和管理能力考核合格。</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 </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【地方性法规】第七十二条</w:t>
            </w:r>
            <w:bookmarkStart w:id="12" w:name="tiao_72_kuan_1"/>
            <w:bookmarkEnd w:id="12"/>
            <w:r>
              <w:rPr>
                <w:rFonts w:hint="default" w:ascii="Times New Roman" w:hAnsi="Times New Roman" w:cs="Times New Roman"/>
                <w:sz w:val="18"/>
                <w:szCs w:val="18"/>
              </w:rPr>
              <w:t>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r>
              <w:rPr>
                <w:rFonts w:hint="default" w:ascii="Times New Roman" w:hAnsi="Times New Roman" w:cs="Times New Roman"/>
                <w:sz w:val="18"/>
                <w:szCs w:val="18"/>
              </w:rPr>
              <w:t xml:space="preserve">【规章】《生产经营单位安全培训规定》（国家安监总局第3号令，国家安监总局令第80号修正）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第三十条第一款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tc>
      </w:tr>
      <w:tr>
        <w:tblPrEx>
          <w:tblCellMar>
            <w:top w:w="0" w:type="dxa"/>
            <w:left w:w="108" w:type="dxa"/>
            <w:bottom w:w="0" w:type="dxa"/>
            <w:right w:w="108" w:type="dxa"/>
          </w:tblCellMar>
        </w:tblPrEx>
        <w:trPr>
          <w:trHeight w:val="817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对生产经营单位未按照规定对从业人员、被派遣劳动者、实习学生进行安全生产教育和培训，或者未按照规定如实告知有关的安全生产事项的处罚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生产经营单位应当建立安全生产教育和培训档案，如实记录安全生产教育和培训的时间、内容、参加人员以及考核结果等情况。 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第四条生产经营单位应当进行安全培训的从业人员包括主要负责人、安全生产管理人员、特种作业人员和其他从业人员。</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生产经营单位从业人员应当接受安全培训，熟悉有关安全生产规章制度和安全操作规程，具备必要的安全生产知识，掌握本岗位的安全操作技能，了解事故应急处理措施，知悉自身在安全生产方面的权利和义务。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六条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【规章】《生产经营单位安全培训规定》（2015修正）（中华人民共和国国家安监总局令第80号修正）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第（二）项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未按照规定对从业人员、被派遣劳动者、实习学生进行安全生产教育和培训或者未如实告知其有关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第一款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tblPrEx>
          <w:tblCellMar>
            <w:top w:w="0" w:type="dxa"/>
            <w:left w:w="108" w:type="dxa"/>
            <w:bottom w:w="0" w:type="dxa"/>
            <w:right w:w="108" w:type="dxa"/>
          </w:tblCellMar>
        </w:tblPrEx>
        <w:trPr>
          <w:trHeight w:val="68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对生产经营单位未如实记录安全生产教育和培训情况的处罚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对从业人员进行安全生产教育和培训，保证从业人员具备必要的安全生产知识，熟悉有关的安全生产规章制度和安全操作规程， 第二十八条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 生产经营单位应当建立安全生产教育和培训档案，如实记录安全生产教育和培训的时间、内容、参加人员以及考核结果等情况。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第二十二条生产经营单位应当建立健全从业人员安全生产教育和培训档案，由生产经营单位的安全生产管理机构以及安全生产管理人员详细、准确记录培训的时间、内容、参加人员以及考核结果等情况。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r>
              <w:rPr>
                <w:rFonts w:hint="default" w:ascii="Times New Roman" w:hAnsi="Times New Roman" w:cs="Times New Roman"/>
                <w:color w:val="000000"/>
                <w:kern w:val="0"/>
                <w:sz w:val="18"/>
                <w:szCs w:val="18"/>
              </w:rPr>
              <w:br w:type="page"/>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对生产经营单位特种作业人员未按照规定经专门的安全作业培训并取得相应资格，上岗作业的处罚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第三十条 生产经营单位的特种作业人员必须按照国家有关规定经专门的安全作业培训，取得相应资格，方可上岗作业。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第十八条生产经营单位的特种作业人员，必须按照国家有关法律、法规的规定接受专门的安全培训，经考核合格，取得特种作业操作资格证书后，方可上岗作业。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tblPrEx>
          <w:tblCellMar>
            <w:top w:w="0" w:type="dxa"/>
            <w:left w:w="108" w:type="dxa"/>
            <w:bottom w:w="0" w:type="dxa"/>
            <w:right w:w="108" w:type="dxa"/>
          </w:tblCellMar>
        </w:tblPrEx>
        <w:trPr>
          <w:trHeight w:val="259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对生产经营单位未将事故隐患排查治理情况如实记录或者未向从业人员通报的处罚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r>
      <w:tr>
        <w:tblPrEx>
          <w:tblCellMar>
            <w:top w:w="0" w:type="dxa"/>
            <w:left w:w="108" w:type="dxa"/>
            <w:bottom w:w="0" w:type="dxa"/>
            <w:right w:w="108" w:type="dxa"/>
          </w:tblCellMar>
        </w:tblPrEx>
        <w:trPr>
          <w:trHeight w:val="81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对生产经营单位未按照规定制定生产安全事故应急救援预案或者未定期组织演练的处罚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第八十一条生产经营单位应当制定本单位生产安全事故应急救援预案，与所在地县级以上地方人民政府组织制定的生产安全事故应急救援预案相衔接，并定期组织演练。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第三十三条生产经营单位应当制定本单位的应急预案演练计划，根据本单位的事故风险特点，每年至少组织一次综合应急预案演练或者专项应急预案演练，每半年至少组织一次现场处置方案演练。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一条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四条第一款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一）未按照规定编制应急预案的；（二）未按照规定定期组织应急预案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r>
      <w:tr>
        <w:tblPrEx>
          <w:tblCellMar>
            <w:top w:w="0" w:type="dxa"/>
            <w:left w:w="108" w:type="dxa"/>
            <w:bottom w:w="0" w:type="dxa"/>
            <w:right w:w="108" w:type="dxa"/>
          </w:tblCellMar>
        </w:tblPrEx>
        <w:trPr>
          <w:trHeight w:val="81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对生产经营单位未在有较大危险因素的生产经营场所和有关设施、设备上设置明显的安全警示标志的处罚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生产经营单位应当在有较大危险因素的生产经营场所和有关设施、设备上，设置明显的安全警示标志。 第三十五条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第十八条危险化学品单位应当在重大危险源所在场所设置明显的安全警示标志，写明紧急情况下的应急处置办法。</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第十九条工贸企业有限空间作业还应当符合下列要求：（二）设置明显的安全警示标志和警示说明。</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第十一条第二款粉尘涉爆企业应当在粉尘爆炸较大危险因素的工艺、场所、设施设备和岗位，设置安全警示标志。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tblPrEx>
          <w:tblCellMar>
            <w:top w:w="0" w:type="dxa"/>
            <w:left w:w="108" w:type="dxa"/>
            <w:bottom w:w="0" w:type="dxa"/>
            <w:right w:w="108" w:type="dxa"/>
          </w:tblCellMar>
        </w:tblPrEx>
        <w:trPr>
          <w:trHeight w:val="38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对生产经营单位安全设备的安装、使用、检测、改造和报废不符合国家标准或者行业标准的处罚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安全设备的设计、制造、安装、使用、检测、维修、改造和报废，应当符合国家标准或者行业标准。 第三十六条第一款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一款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tblPrEx>
          <w:tblCellMar>
            <w:top w:w="0" w:type="dxa"/>
            <w:left w:w="108" w:type="dxa"/>
            <w:bottom w:w="0" w:type="dxa"/>
            <w:right w:w="108" w:type="dxa"/>
          </w:tblCellMar>
        </w:tblPrEx>
        <w:trPr>
          <w:trHeight w:val="70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对生产经营单位未对安全设备进行经常性维护、保养和定期检测的处罚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第三十六条第二款 生产经营单位必须对安全设备进行经常性维护、保养，并定期检测，保证正常运转。维护、保养、检测应当作好记录，并由有关人员签字。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tblPrEx>
          <w:tblCellMar>
            <w:top w:w="0" w:type="dxa"/>
            <w:left w:w="108" w:type="dxa"/>
            <w:bottom w:w="0" w:type="dxa"/>
            <w:right w:w="108" w:type="dxa"/>
          </w:tblCellMar>
        </w:tblPrEx>
        <w:trPr>
          <w:trHeight w:val="66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对生产经营单位未为从业人员提供符合国家标准或者行业标准的劳动防护用品的处罚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第四十五条 生产经营单位必须为从业人员提供符合国家标准或者行业标准的劳动防护用品，并监督、教育从业人员按照使用规则佩戴、使用。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第十八条工贸企业应当根据有限空间存在危险有害因素的种类和危害程度，为作业人员提供符合国家标准或者行业标准规定的劳动防护用品，并教育监督作业人员正确佩戴与使用。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第九条粉尘涉爆企业应当为粉尘作业岗位从业人员提供符合国家标准或者行业标准的劳动防护用品，并监督、教育从业人员按照使用规则佩戴、使用。</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tc>
      </w:tr>
      <w:tr>
        <w:tblPrEx>
          <w:tblCellMar>
            <w:top w:w="0" w:type="dxa"/>
            <w:left w:w="108" w:type="dxa"/>
            <w:bottom w:w="0" w:type="dxa"/>
            <w:right w:w="108" w:type="dxa"/>
          </w:tblCellMar>
        </w:tblPrEx>
        <w:trPr>
          <w:trHeight w:val="57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对生产经营单位进行危险作业，未履行安全管理职责的处罚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ind w:right="374"/>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第四十三条生产经营单位进行爆破、吊装、动火、临时用电以及国务院应急管理部门会同国务院有关部门规定的其他危险作业，应当安排专门人员进行现场安全管理，确保操作规程的遵守和安全措施的落实。 </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Style w:val="15"/>
                <w:rFonts w:hint="default" w:ascii="Times New Roman" w:hAnsi="Times New Roman" w:cs="Times New Roman"/>
                <w:b w:val="0"/>
                <w:color w:val="000000"/>
                <w:sz w:val="18"/>
                <w:szCs w:val="18"/>
              </w:rPr>
              <w:t>第三十四条</w:t>
            </w:r>
            <w:bookmarkStart w:id="13" w:name="tiao_34_kuan_1"/>
            <w:bookmarkEnd w:id="13"/>
            <w:r>
              <w:rPr>
                <w:rFonts w:hint="default" w:ascii="Times New Roman" w:hAnsi="Times New Roman" w:cs="Times New Roman"/>
                <w:b/>
                <w:color w:val="000000"/>
                <w:sz w:val="18"/>
                <w:szCs w:val="18"/>
              </w:rPr>
              <w:t>　</w:t>
            </w:r>
            <w:r>
              <w:rPr>
                <w:rFonts w:hint="default" w:ascii="Times New Roman" w:hAnsi="Times New Roman" w:cs="Times New Roman"/>
                <w:color w:val="000000"/>
                <w:sz w:val="18"/>
                <w:szCs w:val="18"/>
              </w:rPr>
              <w:t>生产经营单位进行动火作业、临时用电、高处作业、有限（受限）空间作业、临近高压输电线路作业以及爆破、吊装、挖掘、建（构）筑物拆除、大型检修、装卸等危险作业，应当执行有关危险作业管理制度，并履行下列职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14"/>
              <w:ind w:right="374"/>
              <w:rPr>
                <w:rFonts w:hint="default" w:ascii="Times New Roman" w:hAnsi="Times New Roman" w:cs="Times New Roman"/>
                <w:color w:val="000000"/>
                <w:sz w:val="18"/>
                <w:szCs w:val="18"/>
              </w:rPr>
            </w:pPr>
            <w:bookmarkStart w:id="14" w:name="tiao_34_kuan_1_xiang_1"/>
            <w:bookmarkEnd w:id="14"/>
            <w:r>
              <w:rPr>
                <w:rFonts w:hint="default" w:ascii="Times New Roman" w:hAnsi="Times New Roman" w:cs="Times New Roman"/>
                <w:color w:val="000000"/>
                <w:sz w:val="18"/>
                <w:szCs w:val="18"/>
              </w:rPr>
              <w:t>（一）进行危害风险评估，制定作业方案、安全操作规程和应急救援预案；</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5" w:name="tiao_34_kuan_1_xiang_2"/>
            <w:bookmarkEnd w:id="15"/>
            <w:r>
              <w:rPr>
                <w:rFonts w:hint="default" w:ascii="Times New Roman" w:hAnsi="Times New Roman" w:cs="Times New Roman"/>
                <w:color w:val="000000"/>
                <w:sz w:val="18"/>
                <w:szCs w:val="18"/>
              </w:rPr>
              <w:t>（二）确认现场作业条件符合安全作业要求；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6" w:name="tiao_34_kuan_1_xiang_3"/>
            <w:bookmarkEnd w:id="16"/>
            <w:r>
              <w:rPr>
                <w:rFonts w:hint="default" w:ascii="Times New Roman" w:hAnsi="Times New Roman" w:cs="Times New Roman"/>
                <w:color w:val="000000"/>
                <w:sz w:val="18"/>
                <w:szCs w:val="18"/>
              </w:rPr>
              <w:t>（三）确认作业单位从业资质，作业人员上岗资格、身体状况以及配备、使用劳动防护用品符合安全作业要求；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7" w:name="tiao_34_kuan_1_xiang_4"/>
            <w:bookmarkEnd w:id="17"/>
            <w:r>
              <w:rPr>
                <w:rFonts w:hint="default" w:ascii="Times New Roman" w:hAnsi="Times New Roman" w:cs="Times New Roman"/>
                <w:color w:val="000000"/>
                <w:sz w:val="18"/>
                <w:szCs w:val="18"/>
              </w:rPr>
              <w:t>（四）配备相应的安全设施、应急救援装备和物资，采取安全防范措施，设置作业现场的安全区域；</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8" w:name="tiao_34_kuan_1_xiang_5"/>
            <w:bookmarkEnd w:id="18"/>
            <w:r>
              <w:rPr>
                <w:rFonts w:hint="default" w:ascii="Times New Roman" w:hAnsi="Times New Roman" w:cs="Times New Roman"/>
                <w:color w:val="000000"/>
                <w:sz w:val="18"/>
                <w:szCs w:val="18"/>
              </w:rPr>
              <w:t>（五）向作业人员详细说明危险因素、作业安全要求和应急措施，并现场签字确认；</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9" w:name="tiao_34_kuan_1_xiang_6"/>
            <w:bookmarkEnd w:id="19"/>
            <w:r>
              <w:rPr>
                <w:rFonts w:hint="default" w:ascii="Times New Roman" w:hAnsi="Times New Roman" w:cs="Times New Roman"/>
                <w:color w:val="000000"/>
                <w:sz w:val="18"/>
                <w:szCs w:val="18"/>
              </w:rPr>
              <w:t>（六）安排专门人员进行现场安全管理；</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0" w:name="tiao_34_kuan_1_xiang_7"/>
            <w:bookmarkEnd w:id="20"/>
            <w:r>
              <w:rPr>
                <w:rFonts w:hint="default" w:ascii="Times New Roman" w:hAnsi="Times New Roman" w:cs="Times New Roman"/>
                <w:color w:val="000000"/>
                <w:sz w:val="18"/>
                <w:szCs w:val="18"/>
              </w:rPr>
              <w:t>（七）发现直接危及人身安全紧急情况的，采取应急措施，停止作业，撤出人员；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1" w:name="tiao_34_kuan_1_xiang_8"/>
            <w:bookmarkEnd w:id="21"/>
            <w:r>
              <w:rPr>
                <w:rFonts w:hint="default" w:ascii="Times New Roman" w:hAnsi="Times New Roman" w:cs="Times New Roman"/>
                <w:color w:val="000000"/>
                <w:sz w:val="18"/>
                <w:szCs w:val="18"/>
              </w:rPr>
              <w:t>（八）法律、法规和国家标准或者行业标准规定的其他现场安全管理要求。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14"/>
              <w:ind w:right="374" w:firstLine="360" w:firstLineChars="200"/>
              <w:rPr>
                <w:rFonts w:hint="default" w:ascii="Times New Roman" w:hAnsi="Times New Roman" w:cs="Times New Roman"/>
                <w:color w:val="000000"/>
                <w:sz w:val="18"/>
                <w:szCs w:val="18"/>
              </w:rPr>
            </w:pPr>
            <w:bookmarkStart w:id="22" w:name="tiao_34_kuan_2"/>
            <w:bookmarkEnd w:id="22"/>
            <w:r>
              <w:rPr>
                <w:rFonts w:hint="default" w:ascii="Times New Roman" w:hAnsi="Times New Roman" w:cs="Times New Roman"/>
                <w:color w:val="000000"/>
                <w:sz w:val="18"/>
                <w:szCs w:val="18"/>
              </w:rPr>
              <w:t>现场作业方案应当经本单位施工技术负责人审查同意后方可实施。生产经营单位应当对危险作业进行全过程录。</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Fonts w:hint="default" w:ascii="Times New Roman" w:hAnsi="Times New Roman" w:cs="Times New Roman"/>
                <w:color w:val="000000"/>
                <w:sz w:val="18"/>
                <w:szCs w:val="18"/>
              </w:rPr>
              <w:br w:type="page"/>
            </w:r>
            <w:r>
              <w:rPr>
                <w:rStyle w:val="15"/>
                <w:rFonts w:hint="default" w:ascii="Times New Roman" w:hAnsi="Times New Roman" w:cs="Times New Roman"/>
                <w:b w:val="0"/>
                <w:color w:val="000000"/>
                <w:sz w:val="18"/>
                <w:szCs w:val="18"/>
              </w:rPr>
              <w:t>第六十条</w:t>
            </w:r>
            <w:bookmarkStart w:id="23" w:name="tiao_60_kuan_1"/>
            <w:bookmarkEnd w:id="23"/>
            <w:r>
              <w:rPr>
                <w:rFonts w:hint="default" w:ascii="Times New Roman" w:hAnsi="Times New Roman" w:cs="Times New Roman"/>
                <w:color w:val="000000"/>
                <w:sz w:val="18"/>
                <w:szCs w:val="18"/>
              </w:rPr>
              <w:t>　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42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对生产经营单位未建立事故隐患排查治理制度的处罚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第四十一条 生产经营单位应当建立安全风险分级管控制度，按照安全风险分级采取相应的管控措施。</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第四条生产经营单位应当建立健全事故隐患排查治理制度。</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第二十六条第一款生产经营单位违反本规定，有下列行为之一的，由安全监管监察部门给予警告，并处三万元以下的罚款：（六）整改不合格或者未经安全监管监察部门审查同意擅自恢复生产经营的。</w:t>
            </w:r>
          </w:p>
        </w:tc>
      </w:tr>
      <w:tr>
        <w:tblPrEx>
          <w:tblCellMar>
            <w:top w:w="0" w:type="dxa"/>
            <w:left w:w="108" w:type="dxa"/>
            <w:bottom w:w="0" w:type="dxa"/>
            <w:right w:w="108" w:type="dxa"/>
          </w:tblCellMar>
        </w:tblPrEx>
        <w:trPr>
          <w:trHeight w:val="442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对生产经营单位未采取措施消除事故隐患的处罚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r>
        <w:tblPrEx>
          <w:tblCellMar>
            <w:top w:w="0" w:type="dxa"/>
            <w:left w:w="108" w:type="dxa"/>
            <w:bottom w:w="0" w:type="dxa"/>
            <w:right w:w="108" w:type="dxa"/>
          </w:tblCellMar>
        </w:tblPrEx>
        <w:trPr>
          <w:trHeight w:val="31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对生产经营单位将生产经营项目、场所、设备发包或者出租给不具备安全生产条件或者相应资质的单位或者个人的处罚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【法律】《中华人民共和国安全生产法》（2021年国家主席令第88号）第四十九条第一款 生产经营单位不得将生产经营项目、场所、设备发包或者出租给不具备安全生产条件或者相应资质的单位或者个人。</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tblPrEx>
          <w:tblCellMar>
            <w:top w:w="0" w:type="dxa"/>
            <w:left w:w="108" w:type="dxa"/>
            <w:bottom w:w="0" w:type="dxa"/>
            <w:right w:w="108" w:type="dxa"/>
          </w:tblCellMar>
        </w:tblPrEx>
        <w:trPr>
          <w:trHeight w:val="29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tblPrEx>
          <w:tblCellMar>
            <w:top w:w="0" w:type="dxa"/>
            <w:left w:w="108" w:type="dxa"/>
            <w:bottom w:w="0" w:type="dxa"/>
            <w:right w:w="108" w:type="dxa"/>
          </w:tblCellMar>
        </w:tblPrEx>
        <w:trPr>
          <w:trHeight w:val="30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对生产、经营、储存、使用危险物品的车间、商店、仓库与员工宿舍在同一座建筑内，或者与员工宿舍的距离不符合安全要求的处罚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第四十二条第一款生产、经营、储存、使用危险物品的车间、商店、仓库不得与员工宿舍在同一座建筑物内，并应当与员工宿舍保持安全距离。</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r>
      <w:tr>
        <w:tblPrEx>
          <w:tblCellMar>
            <w:top w:w="0" w:type="dxa"/>
            <w:left w:w="108" w:type="dxa"/>
            <w:bottom w:w="0" w:type="dxa"/>
            <w:right w:w="108" w:type="dxa"/>
          </w:tblCellMar>
        </w:tblPrEx>
        <w:trPr>
          <w:trHeight w:val="23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对生产经营场所和员工宿舍未设有符合紧急疏散需要、标志明显、保持畅通的出口，或者锁闭、封堵生产经营场所或者员工宿舍出口的处罚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第四十二条第二款生产经营场所和员工宿舍应当设有符合紧急疏散要求、标志明显、保持畅通的出口、疏散通道。禁止占用、锁闭、封堵生产经营场所或者员工宿舍的出口、疏散通道。</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r>
      <w:tr>
        <w:tblPrEx>
          <w:tblCellMar>
            <w:top w:w="0" w:type="dxa"/>
            <w:left w:w="108" w:type="dxa"/>
            <w:bottom w:w="0" w:type="dxa"/>
            <w:right w:w="108" w:type="dxa"/>
          </w:tblCellMar>
        </w:tblPrEx>
        <w:trPr>
          <w:trHeight w:val="15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未落实安全生产风险分级管控制度的处罚</w:t>
            </w:r>
          </w:p>
        </w:tc>
        <w:tc>
          <w:tcPr>
            <w:tcW w:w="5580" w:type="dxa"/>
            <w:tcBorders>
              <w:top w:val="single" w:color="auto" w:sz="4" w:space="0"/>
              <w:left w:val="single" w:color="auto" w:sz="4" w:space="0"/>
              <w:bottom w:val="single" w:color="auto" w:sz="4" w:space="0"/>
              <w:right w:val="single" w:color="auto" w:sz="4" w:space="0"/>
            </w:tcBorders>
            <w:shd w:val="clear" w:color="auto" w:fill="auto"/>
          </w:tcPr>
          <w:p>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第二十六条</w:t>
            </w:r>
            <w:bookmarkStart w:id="24" w:name="tiao_26_kuan_1"/>
            <w:bookmarkEnd w:id="24"/>
            <w:r>
              <w:rPr>
                <w:rFonts w:hint="default" w:ascii="Times New Roman" w:hAnsi="Times New Roman" w:cs="Times New Roman"/>
                <w:color w:val="000000"/>
                <w:sz w:val="18"/>
                <w:szCs w:val="18"/>
              </w:rPr>
              <w:t>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5" w:name="tiao_26_kuan_2"/>
            <w:bookmarkEnd w:id="25"/>
            <w:r>
              <w:rPr>
                <w:rFonts w:hint="default" w:ascii="Times New Roman" w:hAnsi="Times New Roman" w:cs="Times New Roman"/>
                <w:color w:val="000000"/>
                <w:sz w:val="18"/>
                <w:szCs w:val="18"/>
              </w:rPr>
              <w:t>生产经营单位对存在的重大安全风险，应当制定专项管控方案，通过隔离安全风险源、采取技术手段、实施个体防护、设置监控预警设备等针对性措施加强管控。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tc>
        <w:tc>
          <w:tcPr>
            <w:tcW w:w="5340" w:type="dxa"/>
            <w:tcBorders>
              <w:top w:val="single" w:color="auto" w:sz="4" w:space="0"/>
              <w:left w:val="single" w:color="auto" w:sz="4" w:space="0"/>
              <w:bottom w:val="single" w:color="auto" w:sz="4" w:space="0"/>
              <w:right w:val="single" w:color="auto" w:sz="4" w:space="0"/>
            </w:tcBorders>
            <w:shd w:val="clear" w:color="auto" w:fill="auto"/>
          </w:tcPr>
          <w:p>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第七十三条</w:t>
            </w:r>
            <w:r>
              <w:rPr>
                <w:rFonts w:hint="default" w:ascii="Times New Roman" w:hAnsi="Times New Roman" w:cs="Times New Roman"/>
                <w:color w:val="000000"/>
                <w:sz w:val="18"/>
                <w:szCs w:val="18"/>
              </w:rPr>
              <w:t>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（一）未组织对安全风险进行辨识评估，确定安全风险等级的；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（二）对安全风险未逐项制定管控措施，编制安全风险管控清单的；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（三）未按照安全风险等级实施分级管控的；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（四）未对重大安全风险制定专项管控方案的。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16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p>
        </w:tc>
        <w:tc>
          <w:tcPr>
            <w:tcW w:w="5580" w:type="dxa"/>
            <w:tcBorders>
              <w:top w:val="single" w:color="auto" w:sz="4" w:space="0"/>
              <w:left w:val="nil"/>
              <w:bottom w:val="single" w:color="auto" w:sz="4" w:space="0"/>
              <w:right w:val="single" w:color="auto" w:sz="4" w:space="0"/>
            </w:tcBorders>
            <w:shd w:val="clear" w:color="auto" w:fill="auto"/>
            <w:vAlign w:val="center"/>
          </w:tcPr>
          <w:p>
            <w:pPr>
              <w:pStyle w:val="5"/>
              <w:shd w:val="clear" w:color="auto" w:fill="FFFFFF"/>
              <w:spacing w:before="0" w:beforeAutospacing="0" w:after="225" w:afterAutospacing="0"/>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000000"/>
                <w:sz w:val="18"/>
                <w:szCs w:val="18"/>
              </w:rPr>
              <w:t xml:space="preserve">【法律】《中华人民共和国安全生产法》（2021年国家主席令第88号） </w:t>
            </w:r>
            <w:r>
              <w:rPr>
                <w:rFonts w:hint="default" w:ascii="Times New Roman" w:hAnsi="Times New Roman" w:cs="Times New Roman" w:eastAsiaTheme="minorEastAsia"/>
                <w:color w:val="000000"/>
                <w:sz w:val="18"/>
                <w:szCs w:val="18"/>
              </w:rPr>
              <w:br w:type="page"/>
            </w:r>
            <w:r>
              <w:rPr>
                <w:rFonts w:hint="default" w:ascii="Times New Roman" w:hAnsi="Times New Roman" w:cs="Times New Roman" w:eastAsiaTheme="minorEastAsia"/>
                <w:color w:val="000000"/>
                <w:sz w:val="18"/>
                <w:szCs w:val="18"/>
              </w:rPr>
              <w:t>第四十六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【法律】《中华人民共和国安全生产法》（2021年国家主席令第88号）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CellMar>
            <w:top w:w="0" w:type="dxa"/>
            <w:left w:w="108" w:type="dxa"/>
            <w:bottom w:w="0" w:type="dxa"/>
            <w:right w:w="108" w:type="dxa"/>
          </w:tblCellMar>
        </w:tblPrEx>
        <w:trPr>
          <w:trHeight w:val="18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对特种作业人员转借、转让、冒用特种作业操作证的处罚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第四十一条第二款特种作业人员转借、转让、冒用特种作业操作证的，给予警告，并处2000元以上10000元以下的罚款。</w:t>
            </w:r>
          </w:p>
        </w:tc>
      </w:tr>
      <w:tr>
        <w:tblPrEx>
          <w:tblCellMar>
            <w:top w:w="0" w:type="dxa"/>
            <w:left w:w="108" w:type="dxa"/>
            <w:bottom w:w="0" w:type="dxa"/>
            <w:right w:w="108" w:type="dxa"/>
          </w:tblCellMar>
        </w:tblPrEx>
        <w:trPr>
          <w:trHeight w:val="184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对特种作业人员伪造、涂改特种作业操作证或者使用伪造的特种作业操作证的处罚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第四十一条第一款特种作业人员伪造、涂改特种作业操作证或者使用伪造的特种作业操作证的，给予警告，并处1000元以上5000元以下的罚款。</w:t>
            </w:r>
          </w:p>
        </w:tc>
      </w:tr>
      <w:tr>
        <w:tblPrEx>
          <w:tblCellMar>
            <w:top w:w="0" w:type="dxa"/>
            <w:left w:w="108" w:type="dxa"/>
            <w:bottom w:w="0" w:type="dxa"/>
            <w:right w:w="108" w:type="dxa"/>
          </w:tblCellMar>
        </w:tblPrEx>
        <w:trPr>
          <w:trHeight w:val="18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对生产经营单位非法印制、伪造、倒卖特种作业操作证，或者使用非法印制、伪造、倒卖的特种作业操作证的处罚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第三十六条第一款生产经营单位不得印制、伪造、倒卖特种作业操作证，或者使用非法印制、伪造、倒卖的特种作业操作证。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第四十条生产经营单位非法印制、伪造、倒卖特种作业操作证，或者使用非法印制、伪造、倒卖的特种作业操作证的，给予警告，并处1万元以上3万元以下的罚款；构成犯罪的，依法追究刑事责任。</w:t>
            </w:r>
          </w:p>
        </w:tc>
      </w:tr>
      <w:tr>
        <w:tblPrEx>
          <w:tblCellMar>
            <w:top w:w="0" w:type="dxa"/>
            <w:left w:w="108" w:type="dxa"/>
            <w:bottom w:w="0" w:type="dxa"/>
            <w:right w:w="108" w:type="dxa"/>
          </w:tblCellMar>
        </w:tblPrEx>
        <w:trPr>
          <w:trHeight w:val="226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对生产经营单位及其主要负责人或者其他人员违反操作规程或者安全管理规定作业的处罚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第四十四条第一款生产经营单位应当教育和督促从业人员严格执行本单位的安全生产规章制度和安全操作规程；并向从业人员如实告知作业场所和工作岗位存在的危险因素、防范措施以及事故应急措施。</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tc>
      </w:tr>
      <w:tr>
        <w:tblPrEx>
          <w:tblCellMar>
            <w:top w:w="0" w:type="dxa"/>
            <w:left w:w="108" w:type="dxa"/>
            <w:bottom w:w="0" w:type="dxa"/>
            <w:right w:w="108" w:type="dxa"/>
          </w:tblCellMar>
        </w:tblPrEx>
        <w:trPr>
          <w:trHeight w:val="21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对生产经营单位及其主要负责人或者其他人员违章指挥从业人员或者强令从业人员违章、冒险作业的处罚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tc>
      </w:tr>
      <w:tr>
        <w:tblPrEx>
          <w:tblCellMar>
            <w:top w:w="0" w:type="dxa"/>
            <w:left w:w="108" w:type="dxa"/>
            <w:bottom w:w="0" w:type="dxa"/>
            <w:right w:w="108" w:type="dxa"/>
          </w:tblCellMar>
        </w:tblPrEx>
        <w:trPr>
          <w:trHeight w:val="198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对生产经营单位及其主要负责人或者其他人员发现从业人员违章作业不加制止的处罚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tc>
      </w:tr>
      <w:tr>
        <w:tblPrEx>
          <w:tblCellMar>
            <w:top w:w="0" w:type="dxa"/>
            <w:left w:w="108" w:type="dxa"/>
            <w:bottom w:w="0" w:type="dxa"/>
            <w:right w:w="108" w:type="dxa"/>
          </w:tblCellMar>
        </w:tblPrEx>
        <w:trPr>
          <w:trHeight w:val="21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对生产经营单位及其主要负责人或者其他人员超过核定的生产能力、强度或者定员进行生产的处罚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国务院关于预防煤矿生产安全事故的特别规定》（国务院令第446号）第八条煤矿的通风、防瓦斯、防水、防火、防煤尘、防冒顶等安全设备、设施和条件应当符合国家标准、行业标准，并有防范生产安全事故发生的措施和完善的应急处理预案。</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煤矿有下列重大安全生产隐患和行为的，应当立即停止生产，排除隐患：（一）超能力、超强度或者超定员组织生产的。</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tc>
      </w:tr>
      <w:tr>
        <w:tblPrEx>
          <w:tblCellMar>
            <w:top w:w="0" w:type="dxa"/>
            <w:left w:w="108" w:type="dxa"/>
            <w:bottom w:w="0" w:type="dxa"/>
            <w:right w:w="108" w:type="dxa"/>
          </w:tblCellMar>
        </w:tblPrEx>
        <w:trPr>
          <w:trHeight w:val="234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对生产经营单位及其主要负责人或者其他人员拒不执行安全监管监察部门依法下达的安全监管监察指令的处罚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十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tc>
      </w:tr>
      <w:tr>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对未建立应急救援组织或者未指定兼职应急救援人员的处罚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一款危险物品的生产、经营、储存单位以及矿山、金属冶炼、城市轨道交通运营、建筑施工单位应当建立应急救援组织；生产经营规模较小的，可以不建立应急救援组织，但应当指定兼职的应急救援人员。</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一）未建立应急救援组织或者生产经营规模较小、未指定兼职应急救援人员的。</w:t>
            </w:r>
          </w:p>
        </w:tc>
      </w:tr>
      <w:tr>
        <w:tblPrEx>
          <w:tblCellMar>
            <w:top w:w="0" w:type="dxa"/>
            <w:left w:w="108" w:type="dxa"/>
            <w:bottom w:w="0" w:type="dxa"/>
            <w:right w:w="108" w:type="dxa"/>
          </w:tblCellMar>
        </w:tblPrEx>
        <w:trPr>
          <w:trHeight w:val="21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对未配备必要的应急救援器材、设备和物资，并进行经常性维护、保养，保证正常运转的处罚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二款 危险物品的生产、经营、储存、运输单位以及矿山、金属冶炼、城市轨道交通运营、建筑施工单位应当配备必要的应急救援器材、设备和物资，并进行经常性维护、保养，保证正常运转。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二）未配备必要的应急救援器材、设备和物资，并进行经常性维护、保养，保证正常运转的。</w:t>
            </w:r>
          </w:p>
        </w:tc>
      </w:tr>
      <w:tr>
        <w:tblPrEx>
          <w:tblCellMar>
            <w:top w:w="0" w:type="dxa"/>
            <w:left w:w="108" w:type="dxa"/>
            <w:bottom w:w="0" w:type="dxa"/>
            <w:right w:w="108" w:type="dxa"/>
          </w:tblCellMar>
        </w:tblPrEx>
        <w:trPr>
          <w:trHeight w:val="24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对向未取得安全生产许可证或者其他批准文件擅自从事生产经营活动的单位提供生产经营场所、运输、保管、仓储等条件的处罚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r>
      <w:tr>
        <w:tblPrEx>
          <w:tblCellMar>
            <w:top w:w="0" w:type="dxa"/>
            <w:left w:w="108" w:type="dxa"/>
            <w:bottom w:w="0" w:type="dxa"/>
            <w:right w:w="108" w:type="dxa"/>
          </w:tblCellMar>
        </w:tblPrEx>
        <w:trPr>
          <w:trHeight w:val="20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对生产经营单位未按规定上报事故隐患排查治理统计分析表的处罚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第二十六条生产经营单位违反本规定，有下列行为之一的，由安全监管监察部门给予警告，并处三万元以下的罚款：（二）未按规定上报事故隐患排查治理统计分析表的。</w:t>
            </w:r>
          </w:p>
        </w:tc>
      </w:tr>
      <w:tr>
        <w:tblPrEx>
          <w:tblCellMar>
            <w:top w:w="0" w:type="dxa"/>
            <w:left w:w="108" w:type="dxa"/>
            <w:bottom w:w="0" w:type="dxa"/>
            <w:right w:w="108" w:type="dxa"/>
          </w:tblCellMar>
        </w:tblPrEx>
        <w:trPr>
          <w:trHeight w:val="18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对生产经营单位未制定事故隐患治理方案的处罚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十五条第二款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第二十六条生产经营单位违反本规定，有下列行为之一的，由安全监管监察部门给予警告，并处三万元以下的罚款：（三）未制定事故隐患治理方案的。</w:t>
            </w:r>
          </w:p>
        </w:tc>
      </w:tr>
      <w:tr>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对生产经营单位重大事故隐患不报或者未及时报告的处罚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四条第二款对于重大事故隐患，生产经营单位除依照前款规定报送外，应当及时向安全监管监察部门和有关部门报告。重大事故隐患报告内容应当包括：（一）隐患的现状及其产生原因；（二）隐患的危害程度和整改难易程度分析；（三）隐患的治理方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第二十六条生产经营单位违反本规定，有下列行为之一的，由安全监管监察部门给予警告，并处三万元以下的罚款：（四）重大事故隐患不报或者未及时报告的。</w:t>
            </w:r>
          </w:p>
        </w:tc>
      </w:tr>
      <w:tr>
        <w:tblPrEx>
          <w:tblCellMar>
            <w:top w:w="0" w:type="dxa"/>
            <w:left w:w="108" w:type="dxa"/>
            <w:bottom w:w="0" w:type="dxa"/>
            <w:right w:w="108" w:type="dxa"/>
          </w:tblCellMar>
        </w:tblPrEx>
        <w:trPr>
          <w:trHeight w:val="289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对生产经营单位未对事故隐患进行排查治理擅自生产经营的处罚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应当将重大事故隐患纳入相关信息系统，建立健全重大事故隐患治理督办制度，督促生产经营单位消除重大事故隐患。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五）未对事故隐患进行排查治理擅自生产经营的。</w:t>
            </w:r>
          </w:p>
        </w:tc>
      </w:tr>
      <w:tr>
        <w:tblPrEx>
          <w:tblCellMar>
            <w:top w:w="0" w:type="dxa"/>
            <w:left w:w="108" w:type="dxa"/>
            <w:bottom w:w="0" w:type="dxa"/>
            <w:right w:w="108" w:type="dxa"/>
          </w:tblCellMar>
        </w:tblPrEx>
        <w:trPr>
          <w:trHeight w:val="20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对生产经营单位整改不合格或者未经安全监管监察部门审查同意擅自恢复生产经营的处罚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六）整改不合格或者未经安全监管监察部门审查同意擅自恢复生产经营的。</w:t>
            </w:r>
          </w:p>
        </w:tc>
      </w:tr>
      <w:tr>
        <w:tblPrEx>
          <w:tblCellMar>
            <w:top w:w="0" w:type="dxa"/>
            <w:left w:w="108" w:type="dxa"/>
            <w:bottom w:w="0" w:type="dxa"/>
            <w:right w:w="108" w:type="dxa"/>
          </w:tblCellMar>
        </w:tblPrEx>
        <w:trPr>
          <w:trHeight w:val="21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对工贸企业未按照本规定对有限空间作业进行辨识、提出防范措施、建立有限空间管理台账的处罚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第七条工贸企业应当对本企业的有限空间进行辨识，确定有限空间的数量、位置以及危险有害因素等基本情况，建立有限空间管理台账，并及时更新。</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tc>
      </w:tr>
      <w:tr>
        <w:tblPrEx>
          <w:tblCellMar>
            <w:top w:w="0" w:type="dxa"/>
            <w:left w:w="108" w:type="dxa"/>
            <w:bottom w:w="0" w:type="dxa"/>
            <w:right w:w="108" w:type="dxa"/>
          </w:tblCellMar>
        </w:tblPrEx>
        <w:trPr>
          <w:trHeight w:val="22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对工贸企业未按照规定对有限空间作业制定作业方案或者方案未经审批擅自作业的处罚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第十条工贸企业实施有限空间作业前，应当将有限空间作业方案和作业现场可能存在的危险有害因素、防控措施告知作业人员。现场负责人应当监督作业人员按照方案进行作业准备。</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tc>
      </w:tr>
      <w:tr>
        <w:tblPrEx>
          <w:tblCellMar>
            <w:top w:w="0" w:type="dxa"/>
            <w:left w:w="108" w:type="dxa"/>
            <w:bottom w:w="0" w:type="dxa"/>
            <w:right w:w="108" w:type="dxa"/>
          </w:tblCellMar>
        </w:tblPrEx>
        <w:trPr>
          <w:trHeight w:val="23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对工贸企业有限空间作业未按照规定进行危险有害因素检测或者监测，并实行专人监护作业的处罚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第十六条在有限空间作业过程中，工贸企业应当对作业场所中的危险有害因素进行定时检测或者连续监测。作业中断超过30分钟，作业人员再次进入有限空间作业前，应当重新通风、检测合格后方可进入。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第九条工贸企业应当按照有限空间作业方案，明确作业现场负责人、监护人员、作业人员及其安全职责。</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r>
      <w:tr>
        <w:tblPrEx>
          <w:tblCellMar>
            <w:top w:w="0" w:type="dxa"/>
            <w:left w:w="108" w:type="dxa"/>
            <w:bottom w:w="0" w:type="dxa"/>
            <w:right w:w="108" w:type="dxa"/>
          </w:tblCellMar>
        </w:tblPrEx>
        <w:trPr>
          <w:trHeight w:val="15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对生产经营单位在应急预案编制前未按照规定开展风险评估和应急资源调查的处罚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第十条编制应急预案前，编制单位应当进行事故风险辨识、评估和应急资源调查。</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第四十五条生产经营单位有下列情形之一的，由县级以上人民政府应急管理部门责令限期改正，可以处1万元以上3万元以下的罚款：（一）在应急预案编制前未按照规定开展风险辨识、评估和应急资源调查的。</w:t>
            </w:r>
          </w:p>
        </w:tc>
      </w:tr>
      <w:tr>
        <w:tblPrEx>
          <w:tblCellMar>
            <w:top w:w="0" w:type="dxa"/>
            <w:left w:w="108" w:type="dxa"/>
            <w:bottom w:w="0" w:type="dxa"/>
            <w:right w:w="108" w:type="dxa"/>
          </w:tblCellMar>
        </w:tblPrEx>
        <w:trPr>
          <w:trHeight w:val="27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对生产经营单位未按照规定开展应急预案评审的处罚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前款规定以外的其他生产经营单位可以根据自身需要，对本单位编制的应急预案进行论证。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二）未按照规定开展应急预案评审的。</w:t>
            </w:r>
          </w:p>
        </w:tc>
      </w:tr>
      <w:tr>
        <w:tblPrEx>
          <w:tblCellMar>
            <w:top w:w="0" w:type="dxa"/>
            <w:left w:w="108" w:type="dxa"/>
            <w:bottom w:w="0" w:type="dxa"/>
            <w:right w:w="108" w:type="dxa"/>
          </w:tblCellMar>
        </w:tblPrEx>
        <w:trPr>
          <w:trHeight w:val="62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对生产经营单位未按照规定进行应急预案备案的处罚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油气输送管道运营单位的应急预案，除按照本条第一款、第二款的规定备案外，还应当抄送所经行政区域的县级人民政府应急管理部门。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海洋石油开采企业的应急预案，除按照本条第一款、第二款的规定备案外，还应当抄送所经行政区域的县级人民政府应急管理部门和海洋石油安全监管机构。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煤矿企业的应急预案除按照本条第一款、第二款的规定备案外，还应当抄送所在地的煤矿安全监察机构。</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【行政法规】《生产安全事故应急条例》（国务院708号令）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br w:type="page"/>
            </w:r>
          </w:p>
        </w:tc>
      </w:tr>
      <w:tr>
        <w:tblPrEx>
          <w:tblCellMar>
            <w:top w:w="0" w:type="dxa"/>
            <w:left w:w="108" w:type="dxa"/>
            <w:bottom w:w="0" w:type="dxa"/>
            <w:right w:w="108" w:type="dxa"/>
          </w:tblCellMar>
        </w:tblPrEx>
        <w:trPr>
          <w:trHeight w:val="23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对生产经营单位未将事故风险的性质、影响范围和应急防范措施告知周边单位和人员的处罚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第二十四条第二款事故风险可能影响周边其他单位、人员的，生产经营单位应当将有关事故风险的性质、影响范围和应急防范措施告知周边的其他单位和人员。</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tblPrEx>
          <w:tblCellMar>
            <w:top w:w="0" w:type="dxa"/>
            <w:left w:w="108" w:type="dxa"/>
            <w:bottom w:w="0" w:type="dxa"/>
            <w:right w:w="108" w:type="dxa"/>
          </w:tblCellMar>
        </w:tblPrEx>
        <w:trPr>
          <w:trHeight w:val="27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对生产经营单位未按照规定开展应急预案评估的处罚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五条应急预案编制单位应当建立应急预案定期评估制度，对预案内容的针对性和实用性进行分析，并对应急预案是否需要修订作出结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应急预案评估可以邀请相关专业机构或者有关专家、有实际应急救援工作经验的人员参加，必要时可以委托安全生产技术服务机构实施。</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四）未按照规定开展应急预案评估的。</w:t>
            </w:r>
          </w:p>
        </w:tc>
      </w:tr>
      <w:tr>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对生产经营单位未按照规定进行应急预案修订的处罚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五）未按照规定进行应急预案修订的。</w:t>
            </w:r>
          </w:p>
        </w:tc>
      </w:tr>
      <w:tr>
        <w:tblPrEx>
          <w:tblCellMar>
            <w:top w:w="0" w:type="dxa"/>
            <w:left w:w="108" w:type="dxa"/>
            <w:bottom w:w="0" w:type="dxa"/>
            <w:right w:w="108" w:type="dxa"/>
          </w:tblCellMar>
        </w:tblPrEx>
        <w:trPr>
          <w:trHeight w:val="19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对生产经营单位未落实应急预案规定的应急物资及装备的处罚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第四十五条生产经营单位有下列情形之一的，由县级以上人民政府应急管理部门责令限期改正，可以处1万元以上3万元以下的罚款：（六）未落实应急预案规定的应急物资及装备的。</w:t>
            </w:r>
          </w:p>
        </w:tc>
      </w:tr>
      <w:tr>
        <w:tblPrEx>
          <w:tblCellMar>
            <w:top w:w="0" w:type="dxa"/>
            <w:left w:w="108" w:type="dxa"/>
            <w:bottom w:w="0" w:type="dxa"/>
            <w:right w:w="108" w:type="dxa"/>
          </w:tblCellMar>
        </w:tblPrEx>
        <w:trPr>
          <w:trHeight w:val="20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48</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对生产经营单位未将安全培训工作纳入本单位工作计划并保证安全培训工作所需资金的处罚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第二十一条第一款生产经营单位应当将安全培训工作纳入本单位年度工作计划。保证本单位安全培训工作所需资金。</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一）未将安全培训工作纳入本单位工作计划并保证安全培训工作所需资金的。</w:t>
            </w:r>
          </w:p>
        </w:tc>
      </w:tr>
      <w:tr>
        <w:tblPrEx>
          <w:tblCellMar>
            <w:top w:w="0" w:type="dxa"/>
            <w:left w:w="108" w:type="dxa"/>
            <w:bottom w:w="0" w:type="dxa"/>
            <w:right w:w="108" w:type="dxa"/>
          </w:tblCellMar>
        </w:tblPrEx>
        <w:trPr>
          <w:trHeight w:val="183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49</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对生产经营单位从业人员进行安全培训期间未支付工资并承担安全培训费用的处罚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第二十三条生产经营单位安排从业人员进行安全培训期间，应当支付工资和必要的费用。</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二）从业人员进行安全培训期间未支付工资并承担安全培训费用的。</w:t>
            </w:r>
          </w:p>
        </w:tc>
      </w:tr>
      <w:tr>
        <w:tblPrEx>
          <w:tblCellMar>
            <w:top w:w="0" w:type="dxa"/>
            <w:left w:w="108" w:type="dxa"/>
            <w:bottom w:w="0" w:type="dxa"/>
            <w:right w:w="108" w:type="dxa"/>
          </w:tblCellMar>
        </w:tblPrEx>
        <w:trPr>
          <w:trHeight w:val="181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对生产经营单位未建立健全特种作业人员档案的处罚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四条生产经营单位应当加强对本单位特种作业人员的管理，建立健全特种作业人员培训、复审档案，做好申报、培训、考核、复审的组织工作和日常的检查工作。</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八条生产经营单位未建立健全特种作业人员档案的，给予警告，并处1万元以下的罚款。</w:t>
            </w:r>
          </w:p>
        </w:tc>
      </w:tr>
      <w:tr>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对生产经营单位使用未取得特种作业操作证的特种作业人员上岗作业的处罚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tblPrEx>
          <w:tblCellMar>
            <w:top w:w="0" w:type="dxa"/>
            <w:left w:w="108" w:type="dxa"/>
            <w:bottom w:w="0" w:type="dxa"/>
            <w:right w:w="108" w:type="dxa"/>
          </w:tblCellMar>
        </w:tblPrEx>
        <w:trPr>
          <w:trHeight w:val="17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对从业人员安全培训的时间少于《生产经营单位安全培训规定》或者有关标准规定的处罚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一条生产经营单位从业人员的培训内容和培训时间，应当符合《生产经营单位安全培训规定》和有关标准的规定。</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一）从业人员安全培训的时间少于《生产经营单位安全培训规定》或者有关标准规定的。</w:t>
            </w:r>
          </w:p>
        </w:tc>
      </w:tr>
      <w:tr>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53</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对相关人员未按照规定重新参加安全培训的处罚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二条中央企业的分公司、子公司及其所属单位和其他生产经营单位，发生造成人员死亡的生产安全事故的，其主要负责人和安全生产管理人员应当重新参加安全培训。</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特种作业人员对造成人员死亡的生产安全事故负有直接责任的，应当按照《特种作业人员安全技术培训考核管理规定》重新参加安全培训。</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三）相关人员未按照本办法第十二条规定重新参加安全培训的。</w:t>
            </w:r>
          </w:p>
        </w:tc>
      </w:tr>
    </w:tbl>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00" w:lineRule="exact"/>
        <w:ind w:right="1600" w:firstLine="640" w:firstLineChars="200"/>
        <w:jc w:val="right"/>
        <w:rPr>
          <w:rFonts w:hint="default" w:ascii="Times New Roman" w:hAnsi="Times New Roman" w:eastAsia="仿宋_GB2312" w:cs="Times New Roman"/>
          <w:sz w:val="32"/>
          <w:szCs w:val="32"/>
        </w:rPr>
      </w:pPr>
    </w:p>
    <w:sectPr>
      <w:pgSz w:w="16838" w:h="11906" w:orient="landscape"/>
      <w:pgMar w:top="1587" w:right="2098"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1NTIxYjMzM2I3YzJiZTI4ZDJjZWUyNDY0M2Q5Y2YifQ=="/>
  </w:docVars>
  <w:rsids>
    <w:rsidRoot w:val="00BF7D68"/>
    <w:rsid w:val="00023D46"/>
    <w:rsid w:val="000C2C72"/>
    <w:rsid w:val="000E0452"/>
    <w:rsid w:val="000F0237"/>
    <w:rsid w:val="000F381E"/>
    <w:rsid w:val="00101689"/>
    <w:rsid w:val="0012424C"/>
    <w:rsid w:val="001354D4"/>
    <w:rsid w:val="001514CD"/>
    <w:rsid w:val="00156AE9"/>
    <w:rsid w:val="0015763A"/>
    <w:rsid w:val="001752B9"/>
    <w:rsid w:val="00200490"/>
    <w:rsid w:val="0022333C"/>
    <w:rsid w:val="00231671"/>
    <w:rsid w:val="002A2D73"/>
    <w:rsid w:val="002C22EE"/>
    <w:rsid w:val="00322B23"/>
    <w:rsid w:val="00337BE4"/>
    <w:rsid w:val="0036338C"/>
    <w:rsid w:val="00391AE7"/>
    <w:rsid w:val="00391F14"/>
    <w:rsid w:val="003A1CEA"/>
    <w:rsid w:val="003A517F"/>
    <w:rsid w:val="003D70F0"/>
    <w:rsid w:val="004059A4"/>
    <w:rsid w:val="00421AAE"/>
    <w:rsid w:val="00434CE9"/>
    <w:rsid w:val="004658BB"/>
    <w:rsid w:val="00466CFF"/>
    <w:rsid w:val="00485C20"/>
    <w:rsid w:val="004962C6"/>
    <w:rsid w:val="004D5E83"/>
    <w:rsid w:val="00516469"/>
    <w:rsid w:val="00544FC6"/>
    <w:rsid w:val="00554A06"/>
    <w:rsid w:val="005D2DBD"/>
    <w:rsid w:val="005F733C"/>
    <w:rsid w:val="00622ACA"/>
    <w:rsid w:val="006776F6"/>
    <w:rsid w:val="006E3352"/>
    <w:rsid w:val="00733C65"/>
    <w:rsid w:val="00764402"/>
    <w:rsid w:val="0077125B"/>
    <w:rsid w:val="007A173A"/>
    <w:rsid w:val="007A33F0"/>
    <w:rsid w:val="007C28A8"/>
    <w:rsid w:val="007D2725"/>
    <w:rsid w:val="008019B7"/>
    <w:rsid w:val="00803FF2"/>
    <w:rsid w:val="00820765"/>
    <w:rsid w:val="00826637"/>
    <w:rsid w:val="00827F09"/>
    <w:rsid w:val="00872BF6"/>
    <w:rsid w:val="00882F89"/>
    <w:rsid w:val="008C29E8"/>
    <w:rsid w:val="008C520B"/>
    <w:rsid w:val="009145F6"/>
    <w:rsid w:val="00974BD2"/>
    <w:rsid w:val="009B4AED"/>
    <w:rsid w:val="009E28F1"/>
    <w:rsid w:val="009F1466"/>
    <w:rsid w:val="00A05BEB"/>
    <w:rsid w:val="00A45602"/>
    <w:rsid w:val="00A47984"/>
    <w:rsid w:val="00A575B1"/>
    <w:rsid w:val="00A64D22"/>
    <w:rsid w:val="00AE16CB"/>
    <w:rsid w:val="00AE5DCD"/>
    <w:rsid w:val="00B04783"/>
    <w:rsid w:val="00B623B8"/>
    <w:rsid w:val="00B73FED"/>
    <w:rsid w:val="00B757DE"/>
    <w:rsid w:val="00B81D22"/>
    <w:rsid w:val="00BA01FB"/>
    <w:rsid w:val="00BF7D68"/>
    <w:rsid w:val="00C015E0"/>
    <w:rsid w:val="00C0634D"/>
    <w:rsid w:val="00C1582D"/>
    <w:rsid w:val="00C813E3"/>
    <w:rsid w:val="00CB7F2B"/>
    <w:rsid w:val="00D00933"/>
    <w:rsid w:val="00D22D5A"/>
    <w:rsid w:val="00D33991"/>
    <w:rsid w:val="00D71FBE"/>
    <w:rsid w:val="00D92ABB"/>
    <w:rsid w:val="00DA731C"/>
    <w:rsid w:val="00E50E63"/>
    <w:rsid w:val="00E76874"/>
    <w:rsid w:val="00EB2AD6"/>
    <w:rsid w:val="00EC5804"/>
    <w:rsid w:val="00ED2D70"/>
    <w:rsid w:val="00F076C4"/>
    <w:rsid w:val="00F211D1"/>
    <w:rsid w:val="00F23838"/>
    <w:rsid w:val="00F47E6A"/>
    <w:rsid w:val="00F65C70"/>
    <w:rsid w:val="00F775CD"/>
    <w:rsid w:val="00F879B5"/>
    <w:rsid w:val="00F907CF"/>
    <w:rsid w:val="00FD30ED"/>
    <w:rsid w:val="00FF53B3"/>
    <w:rsid w:val="0FC65D20"/>
    <w:rsid w:val="143D3878"/>
    <w:rsid w:val="17B44FF8"/>
    <w:rsid w:val="1A006A6F"/>
    <w:rsid w:val="1A176575"/>
    <w:rsid w:val="2DE57468"/>
    <w:rsid w:val="2E2332DE"/>
    <w:rsid w:val="2E2508C8"/>
    <w:rsid w:val="2F4D3614"/>
    <w:rsid w:val="35780FBB"/>
    <w:rsid w:val="3B01648A"/>
    <w:rsid w:val="47657DFF"/>
    <w:rsid w:val="47692D20"/>
    <w:rsid w:val="4A071A11"/>
    <w:rsid w:val="4B4C04F8"/>
    <w:rsid w:val="4D413B58"/>
    <w:rsid w:val="50BC6B99"/>
    <w:rsid w:val="5445799A"/>
    <w:rsid w:val="5A977DF8"/>
    <w:rsid w:val="5BCA3A6F"/>
    <w:rsid w:val="62AA7BCA"/>
    <w:rsid w:val="6EFC1D3A"/>
    <w:rsid w:val="70174397"/>
    <w:rsid w:val="71124AAC"/>
    <w:rsid w:val="74B31678"/>
    <w:rsid w:val="756A6078"/>
    <w:rsid w:val="76A56513"/>
    <w:rsid w:val="79823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unhideWhenUsed/>
    <w:qFormat/>
    <w:uiPriority w:val="0"/>
    <w:rPr>
      <w:color w:val="0000FF" w:themeColor="hyperlink"/>
      <w:u w:val="single"/>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99"/>
    <w:pPr>
      <w:ind w:firstLine="420" w:firstLineChars="200"/>
    </w:pPr>
  </w:style>
  <w:style w:type="paragraph" w:customStyle="1" w:styleId="12">
    <w:name w:val="p0"/>
    <w:basedOn w:val="1"/>
    <w:qFormat/>
    <w:uiPriority w:val="0"/>
    <w:pPr>
      <w:widowControl/>
    </w:pPr>
    <w:rPr>
      <w:rFonts w:cs="宋体"/>
      <w:kern w:val="0"/>
      <w:szCs w:val="21"/>
    </w:rPr>
  </w:style>
  <w:style w:type="character" w:customStyle="1" w:styleId="13">
    <w:name w:val="日期 Char"/>
    <w:link w:val="2"/>
    <w:qFormat/>
    <w:uiPriority w:val="0"/>
    <w:rPr>
      <w:kern w:val="2"/>
      <w:sz w:val="21"/>
      <w:szCs w:val="24"/>
    </w:rPr>
  </w:style>
  <w:style w:type="paragraph" w:customStyle="1" w:styleId="14">
    <w:name w:val="div"/>
    <w:basedOn w:val="1"/>
    <w:uiPriority w:val="0"/>
    <w:pPr>
      <w:widowControl/>
      <w:jc w:val="left"/>
      <w:textAlignment w:val="baseline"/>
    </w:pPr>
    <w:rPr>
      <w:rFonts w:ascii="Times New Roman" w:hAnsi="Times New Roman"/>
      <w:kern w:val="0"/>
      <w:sz w:val="24"/>
    </w:rPr>
  </w:style>
  <w:style w:type="character" w:customStyle="1" w:styleId="15">
    <w:name w:val="fulltext-wrap_navtiao"/>
    <w:basedOn w:val="7"/>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5188</Words>
  <Characters>29574</Characters>
  <Lines>246</Lines>
  <Paragraphs>69</Paragraphs>
  <TotalTime>6</TotalTime>
  <ScaleCrop>false</ScaleCrop>
  <LinksUpToDate>false</LinksUpToDate>
  <CharactersWithSpaces>34693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2024-04-10T09:44:00Z</dcterms:created>
  <dc:creator>Administrator</dc:creator>
  <cp:lastModifiedBy>Administrator</cp:lastModifiedBy>
  <cp:lastPrinted>2024-04-02T08:38:00Z</cp:lastPrinted>
  <dcterms:modified xsi:type="dcterms:W3CDTF">2024-08-09T04:31:16Z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4C7C332FD0624380B61B8E55EBA434F4</vt:lpwstr>
  </property>
</Properties>
</file>