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玄政〔202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insoku/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玄武区推动大规模设备更新和</w:t>
      </w:r>
    </w:p>
    <w:p>
      <w:pPr>
        <w:kinsoku/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消费品以旧换新实施方案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》的通知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opLinePunct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区各委办局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区各直属单位：</w:t>
      </w:r>
    </w:p>
    <w:p>
      <w:pPr>
        <w:topLinePunct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玄武区推动大规模设备更新和消费品以旧换新实施方案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》印发给你们，请认真组织实施。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1"/>
        </w:rPr>
      </w:pPr>
    </w:p>
    <w:p>
      <w:pPr>
        <w:topLinePunct/>
        <w:spacing w:line="56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南京市玄武区人民政府</w:t>
      </w:r>
    </w:p>
    <w:p>
      <w:pPr>
        <w:topLinePunct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topLinePunct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insoku/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474" w:bottom="1984" w:left="1588" w:header="851" w:footer="1247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玄武区推动大规模设备更新和</w:t>
      </w: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消费品以旧换新实施方案</w:t>
      </w: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为深入贯彻落实市委、市政府的决策部署，根据《南京市推动大规模设备更新和消费品以旧换新实施方案》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结合我区实际，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多领域设备设施更新改造、多元化消费品以旧换新、高效能资源循环利用、高水平标准升级、高质量供给提升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五大行动，塑造产业新动能，拓展消费新空间，推动经济社会高质量发展。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一、实施多领域设备设施更新改造行动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（一）推动制造业设备更新与技术改造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推动制造业绿色转型升级。支持制造业企业对设备、生产线、车间等进行智能化改造，不断提升核心设备和关键工序数字化水平，推动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智改数转网联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诊断全覆盖。聚焦电子、航空等重点行业，开展重大技改提升行动，组织实施重点技术改造项目，推动企业扩产、提质发展。（责任单位：区发改委）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（二）推进建筑和市政基础设施领域设备更新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推进建筑领域节能改造。鼓励支持楼宇进行节能低碳升级；结合老旧小区改造，持续提高基础设施节能环保绿色建材应用比例。（责任单位：区建设局、区房产局）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加快消除住宅小区消防设施设备隐患。开展消防设施设备检测评估，全面排查、分类整改，推动住宅小区更新改造存在问题隐患的消防设施设备。（责任单位：区消防大队、区房产局、区应急管理局）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加快老旧住宅电梯整治更新。完善预诊筛查、全面评估两级安全评估机制，开展老旧住宅电梯安全评估及整治行动。统筹安排、稳步推进既有住宅加装电梯。（责任单位：区市场监管局、区房产局）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推动燃气设备更新改造。持续实施燃气设备更新专项行动。到 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，全区餐饮用户全部完成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安心用气工程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建设；到2025年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，完成瓶装液化气转换、居民用户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安心用气工程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建设。（责任单位：区建设局）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推动水务、环卫设施更新改造。推进实施重要河道、重点部位水闸、泵站等老旧排水设施维修更新改造。加快垃圾处理、环卫车辆等市政基础设施设备更新改造。（责任单位：区水务局、区城管局）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（三）推动教育医疗设备更新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7. 提升教学设施水平。按照中小学教育技术装备标准、学科教学装备配置标准，配置、更新教学仪器设备。（责任单位：区教育局）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提升医疗卫生服务水平。推进医疗卫生机构装备和信息化设施迭代升级，鼓励具备条件的医疗机构加快医学影像、放射治疗、远程诊疗、手术机器人等医疗装备更新改造，推动医疗机构病房改造提升，支持基层医疗卫生机构增配CT等设备。支持新医药与生命健康产业相关企业开展设备更新。（责任单位：区卫健委、徐庄高新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二、实施多元化消费品以旧换新行动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9.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大力开展家电产品以旧换新。畅通家电更新消费链条，引导苏宁易购、汇通达等家电销售企业举办多种形式的促销活动，开设线上线下家电以旧换新专区，对以旧家电换购节能家电的消费者给予优惠，丰富消费者选择。推动家电售后服务专业化、标准化、便利化，引导商家积极开展无理由退换货服务，到2027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累计实现家电更新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万台。（责任单位：区商务局、区市场监管局）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引导家装消费品换新。鼓励国展中心等场所举办家居消费节、家博会等家装促销活动，支持装修企业开展全屋定制、旧房装修等业务。（责任单位：区商务局）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加快推进汽车以旧换新。落实全市汽车以旧换新激励政策，鼓励汽车生产、销售企业发放置换补贴，运用折扣让利、发放消费券、购车赠送充电桩等促销活动，激发消费者换新意愿。（责任单位：区商务局、玄武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动电动自行车有序更新。采取集成奖补政策，鼓励电动自行车销售商、电商平台运用旧车折价回购、补贴出售合规新车等方式，推动临时信息牌电动自行车有序淘汰、以旧换新。实施非标电动自行车清理整治，依法查处非法生产、销售、改装行为。（责任单位：区商务局、区发改委、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三、实施高效能资源循环利用行动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完善废旧产品设备回收网络。鼓励回收企业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延伸触角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推动专业化、规范化回收服务进街区、进社区、进园区、进景区。拓展生活垃圾可回收物分拣中转中心功能，力争再生资源回收与垃圾分类收集实现有序衔接。到2027年底，建成分拣处理中心3个，再生资源回收网点超45个。（责任单位：区商务局、区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便利二手商品流通交易。放宽二手车经营主体准入，推广江苏省汽车流通信息服务（二手车）系统，便利二手车交易。推行二手车出口登记异地通办。支持有实力的企业开展二手车出口业务，努力扩大二手车出口规模。推动二手电子产品交易规范化，加强信息安全监管。支持电子产品销售企业开展二手产品鉴定、维修和销售业务。（责任单位：区商务局、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四、实施高水平标准升级行动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强化重点领域国内国际标准衔接。大力支持江苏国际数据港参与中国电池协会电池数字护照先试先行。加强质量标准、检验检测、认证认可等国内国际衔接。发挥辖区内国际、国内标准化专业机构作用，开展国际标准化人才培训。（责任单位：徐庄高新区、区市场监管局、区发改委、玄武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强化产品技术标准引领。发挥南京国际绿色贸易服务平台作用，推动碳标签、重点产品碳足迹认证等标准体系建立。贯彻消费品质量标准，严格质量安全监管，普及家电安全使用年限和节能知识。加快落实新兴消费标准供给。（责任单位：区商务局、区发改委、玄武生态环境局、区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推广能效、排放、技术标准应用。利用节能宣传周、全国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质量月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等活动，强化能效、排放、技术标准宣贯。加强节能标准应用实施与监督检查。鼓励企事业单位积极参与能效、排放、安全等地方标准制修订工作。（责任单位：区市场监管局、区发改委、玄武生态环境局）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五、实施高质量供给提升行动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提升区域消费供给能力。全力打造国际消费中心城区，着力提升都市圈辐射带动能力，举办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南京国际消费节玄武活动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玄武湖湖畔嘉年华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等主题活动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发展首店经济，2024年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新引进首店80家。加强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满意消费长三角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品牌建设，强化在产品质量、价格、售后服务等领域的区域一体化监管协作。全面深化国家文化和旅游消费示范城市建设，推动文商旅融合发展，打造文旅消费智能综合服务平台，提升文旅消费国际影响力。（责任单位：区商务局、区市场监管局、区文旅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（一）建立工作机制。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建立推动大规模设备更新和消费品以旧换新联席会议制度，制定年度任务清单和政策清单，强化统筹协调，推动市区联动。联席会议办公室设在区发改委，负责分析研判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定期开展调度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重大事项及时按程序请示报告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等工作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。各有关部门要按职责分工制定相关领域的具体措施或规范，逐步完善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1+N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政策体系，打好政策组合拳。（各部门按职能分工落实）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（二）加大财政金融支持。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统筹使用各级资金联动支持设备更新和消费品以旧换新，推广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专精特新贷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。完善政府绿色采购政策，加大绿色产品采购力度。引导金融机构加强对设备更新和技术改造的支持，用好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苏碳融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宁创贷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等绿色金融产品。鼓励南京银行等驻区银行积极开发新型金融产品，苏银金租等非银行金融机构探索大规模设备更新的金融租赁模式。（责任单位：区财政局、区发改委）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（三）强化项目支撑。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加快徐庄高新区省级绿色低碳服务集聚示范区创建，深化中国电池工业协会、北京绿色交易所、上海环境能源交易所、长三角碳中和产业创新投资联盟等单位合作，推进南京国际绿色贸易服务平台、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智改数转网联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数实融合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载体和功能平台建设。（责任单位：徐庄高新区、区发改委）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 加强要素保障。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加强企业技术改造重大项目要素保障，通过企业服务平台征集企业设备更新需求，探索企业供需信息交流模式，共享区域内设备更新和产业升级信息，建立区级大规模设备更新服务机制。统筹社会源废弃物分类收集、中转贮存等回收设施建设，将其纳入公用设施用地范围，保障合理用地需求。（责任单位：区发改委、区城管局、玄武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（五）广泛发动宣传。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充分调动各方积极性，推动形成政府、协会、企业、电商平台等多方参与的联动机制，有效激发各类经营主体和消费者参与动力。充分运用广播电视、新媒体、电商平台等渠道加大设备更新、以旧换新宣传力度。（各部门按职能分工落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1918" w:leftChars="304" w:hanging="1280" w:hangingChars="400"/>
        <w:jc w:val="both"/>
        <w:textAlignment w:val="baseline"/>
        <w:rPr>
          <w:rFonts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2098" w:right="1474" w:bottom="1701" w:left="1588" w:header="851" w:footer="1247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附件：  2024年玄武区推动大规模设备更新和消费品以旧换新任务清单（第一批）</w:t>
      </w:r>
    </w:p>
    <w:p>
      <w:pPr>
        <w:suppressLineNumbers/>
        <w:suppressAutoHyphens/>
        <w:kinsoku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lang w:eastAsia="zh-CN"/>
        </w:rPr>
        <w:t>附件：</w:t>
      </w:r>
    </w:p>
    <w:p>
      <w:pPr>
        <w:suppressLineNumbers/>
        <w:suppressAutoHyphens/>
        <w:kinsoku/>
        <w:ind w:firstLine="1080" w:firstLineChars="300"/>
        <w:jc w:val="center"/>
        <w:rPr>
          <w:rFonts w:ascii="Times New Roman" w:hAnsi="Times New Roman" w:eastAsia="方正黑体_GBK" w:cs="Times New Roman"/>
          <w:color w:val="auto"/>
          <w:sz w:val="36"/>
          <w:szCs w:val="36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6"/>
          <w:szCs w:val="36"/>
          <w:lang w:eastAsia="zh-CN"/>
        </w:rPr>
        <w:t>2024年玄武区推动大规模设备更新和消费品</w:t>
      </w:r>
    </w:p>
    <w:p>
      <w:pPr>
        <w:suppressLineNumbers/>
        <w:suppressAutoHyphens/>
        <w:kinsoku/>
        <w:ind w:firstLine="1080" w:firstLineChars="300"/>
        <w:jc w:val="center"/>
        <w:rPr>
          <w:rFonts w:ascii="Times New Roman" w:hAnsi="Times New Roman" w:eastAsia="方正黑体_GBK" w:cs="Times New Roman"/>
          <w:color w:val="auto"/>
          <w:sz w:val="36"/>
          <w:szCs w:val="36"/>
          <w:lang w:eastAsia="zh-CN"/>
        </w:rPr>
      </w:pPr>
      <w:r>
        <w:rPr>
          <w:rFonts w:ascii="Times New Roman" w:hAnsi="Times New Roman" w:eastAsia="方正黑体_GBK" w:cs="Times New Roman"/>
          <w:color w:val="auto"/>
          <w:sz w:val="36"/>
          <w:szCs w:val="36"/>
          <w:lang w:eastAsia="zh-CN"/>
        </w:rPr>
        <w:t>以旧换新任务清单（第一批）</w:t>
      </w:r>
      <w:r>
        <w:rPr>
          <w:rFonts w:ascii="Times New Roman" w:hAnsi="Times New Roman" w:eastAsia="方正黑体_GBK" w:cs="Times New Roman"/>
          <w:color w:val="auto"/>
          <w:sz w:val="36"/>
          <w:szCs w:val="36"/>
          <w:lang w:eastAsia="zh-CN"/>
        </w:rPr>
        <w:br w:type="textWrapping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82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560"/>
              <w:jc w:val="center"/>
              <w:textAlignment w:val="baseline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2024年推进任务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  <w:lang w:eastAsia="zh-CN"/>
              </w:rPr>
              <w:t>牵头责任部门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组织区内重点企业实施重点技术改造项目5个。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新配置和更新中小学先进教学仪器设备17套（项）。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完成全区餐饮用户瓶装燃气转换工程。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购置20台新能源生活垃圾收集车，改造3座中转站。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参与2024全市汽车消费补贴活动，制定出台《2024年玄武区汽车消费补贴活动方案》；全年实现家电更新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万台。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驻区医疗机构更新相关设备993台(套)，设施改造出新项目5个。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对全区所有使用年限超过15年的老旧住宅电梯全面开展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预诊筛查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，依据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预诊筛查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lang w:eastAsia="zh-CN"/>
              </w:rPr>
              <w:t>结果开展安全评估，针对隐患电梯开展集中整治。</w:t>
            </w: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推进老旧住宅增加电梯工作。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区房产局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完成全区580个住宅小区完善微型消防站设置；完成电动车集中充电系统不少于100套、简易喷淋100套、具有智慧互联网功能的烟感探测报警器600只。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区消防</w:t>
            </w:r>
          </w:p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实施10处重要河道、重点部位水闸、泵站等老旧排水设施维修更新改造。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推进新医药与生命健康产业相关企业8个项目设备更新采购。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徐庄高</w:t>
            </w:r>
          </w:p>
          <w:p>
            <w:pPr>
              <w:keepNext w:val="0"/>
              <w:keepLines w:val="0"/>
              <w:pageBreakBefore w:val="0"/>
              <w:widowControl/>
              <w:suppressLineNumbers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新区</w:t>
            </w:r>
          </w:p>
        </w:tc>
      </w:tr>
    </w:tbl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rFonts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lang w:eastAsia="zh-CN"/>
        </w:rPr>
      </w:pPr>
    </w:p>
    <w:p>
      <w:pPr>
        <w:pBdr>
          <w:top w:val="single" w:color="auto" w:sz="6" w:space="1"/>
          <w:bottom w:val="single" w:color="auto" w:sz="6" w:space="1"/>
        </w:pBdr>
        <w:adjustRightInd w:val="0"/>
        <w:snapToGrid w:val="0"/>
        <w:spacing w:line="52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南京市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玄武区人民政府办公室            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印发</w:t>
      </w:r>
    </w:p>
    <w:sectPr>
      <w:pgSz w:w="11906" w:h="16838"/>
      <w:pgMar w:top="2098" w:right="1474" w:bottom="1701" w:left="1587" w:header="851" w:footer="1247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6843"/>
      <w:docPartObj>
        <w:docPartGallery w:val="autotext"/>
      </w:docPartObj>
    </w:sdtPr>
    <w:sdtEndPr>
      <w:rPr>
        <w:rFonts w:hint="default" w:ascii="Times New Roman" w:hAnsi="Times New Roman" w:cs="Times New Roman"/>
      </w:rPr>
    </w:sdtEndPr>
    <w:sdtContent>
      <w:p>
        <w:pPr>
          <w:pStyle w:val="4"/>
          <w:jc w:val="center"/>
          <w:rPr>
            <w:rFonts w:hint="default" w:ascii="Times New Roman" w:hAnsi="Times New Roman" w:cs="Times New Roman"/>
          </w:rPr>
        </w:pPr>
        <w:r>
          <w:rPr>
            <w:rFonts w:hint="default" w:ascii="Times New Roman" w:hAnsi="Times New Roman" w:eastAsia="宋体" w:cs="Times New Roman"/>
            <w:spacing w:val="-7"/>
            <w:sz w:val="28"/>
            <w:szCs w:val="28"/>
          </w:rPr>
          <w:t>—</w:t>
        </w:r>
        <w:r>
          <w:rPr>
            <w:rFonts w:hint="default" w:ascii="Times New Roman" w:hAnsi="Times New Roman" w:eastAsia="宋体" w:cs="Times New Roman"/>
            <w:spacing w:val="-7"/>
            <w:sz w:val="28"/>
            <w:szCs w:val="28"/>
            <w:lang w:val="en-US" w:eastAsia="zh-CN"/>
          </w:rPr>
          <w:t xml:space="preserve"> 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default" w:ascii="Times New Roman" w:hAnsi="Times New Roman" w:eastAsia="宋体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hint="default" w:ascii="Times New Roman" w:hAnsi="Times New Roman" w:eastAsia="宋体" w:cs="Times New Roman"/>
            <w:spacing w:val="-7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MDY4YjIyZTMzYWUyYjAwNTcxZTQwZDBlM2VjOWUifQ=="/>
  </w:docVars>
  <w:rsids>
    <w:rsidRoot w:val="005C657E"/>
    <w:rsid w:val="000B47D4"/>
    <w:rsid w:val="001D694D"/>
    <w:rsid w:val="00234174"/>
    <w:rsid w:val="002977F8"/>
    <w:rsid w:val="002C7F58"/>
    <w:rsid w:val="00382196"/>
    <w:rsid w:val="003E70DE"/>
    <w:rsid w:val="00535579"/>
    <w:rsid w:val="005C657E"/>
    <w:rsid w:val="00811B9A"/>
    <w:rsid w:val="009C5D2A"/>
    <w:rsid w:val="009D3F99"/>
    <w:rsid w:val="00AF46BB"/>
    <w:rsid w:val="00AF5AD9"/>
    <w:rsid w:val="00B701A0"/>
    <w:rsid w:val="00C16F6B"/>
    <w:rsid w:val="00C201CE"/>
    <w:rsid w:val="00CC3A61"/>
    <w:rsid w:val="00CC53F0"/>
    <w:rsid w:val="00D40121"/>
    <w:rsid w:val="00E43F0D"/>
    <w:rsid w:val="00E56B5D"/>
    <w:rsid w:val="00E675DA"/>
    <w:rsid w:val="027C3466"/>
    <w:rsid w:val="03FA6D38"/>
    <w:rsid w:val="04A8505B"/>
    <w:rsid w:val="0DAD4E1B"/>
    <w:rsid w:val="0EFA4090"/>
    <w:rsid w:val="0F0C23E2"/>
    <w:rsid w:val="0FB57FB7"/>
    <w:rsid w:val="13184148"/>
    <w:rsid w:val="13FB7F63"/>
    <w:rsid w:val="17C76AD9"/>
    <w:rsid w:val="1BDE4CD1"/>
    <w:rsid w:val="25B2201F"/>
    <w:rsid w:val="290877C9"/>
    <w:rsid w:val="2BB60EE7"/>
    <w:rsid w:val="2E1C2A2B"/>
    <w:rsid w:val="3011493E"/>
    <w:rsid w:val="30EF096B"/>
    <w:rsid w:val="312D39F9"/>
    <w:rsid w:val="34256C0A"/>
    <w:rsid w:val="35B069A7"/>
    <w:rsid w:val="37C300DE"/>
    <w:rsid w:val="3CE07EE2"/>
    <w:rsid w:val="3E8D3D29"/>
    <w:rsid w:val="46840182"/>
    <w:rsid w:val="47F00216"/>
    <w:rsid w:val="491D6328"/>
    <w:rsid w:val="4D1A70D0"/>
    <w:rsid w:val="504F00C7"/>
    <w:rsid w:val="52262073"/>
    <w:rsid w:val="56EF29AC"/>
    <w:rsid w:val="582E346F"/>
    <w:rsid w:val="583269C7"/>
    <w:rsid w:val="597D4C6F"/>
    <w:rsid w:val="5CFA65D6"/>
    <w:rsid w:val="5E652175"/>
    <w:rsid w:val="631303F2"/>
    <w:rsid w:val="67363C15"/>
    <w:rsid w:val="67381478"/>
    <w:rsid w:val="6CCD7863"/>
    <w:rsid w:val="6F770CC7"/>
    <w:rsid w:val="727D7636"/>
    <w:rsid w:val="732D2E0A"/>
    <w:rsid w:val="75EC246C"/>
    <w:rsid w:val="78AA726C"/>
    <w:rsid w:val="795B11E6"/>
    <w:rsid w:val="7B7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000000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Arial" w:hAnsi="Arial" w:cs="Arial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3"/>
    <w:autoRedefine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ECE-18E0-4379-BB96-C8C560520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576</Words>
  <Characters>3288</Characters>
  <Lines>27</Lines>
  <Paragraphs>7</Paragraphs>
  <TotalTime>31</TotalTime>
  <ScaleCrop>false</ScaleCrop>
  <LinksUpToDate>false</LinksUpToDate>
  <CharactersWithSpaces>3857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2024-04-29T02:30:00Z</dcterms:created>
  <dc:creator>Windows</dc:creator>
  <cp:lastModifiedBy>南城半凉1426065969</cp:lastModifiedBy>
  <cp:lastPrinted>2024-05-14T07:02:14Z</cp:lastPrinted>
  <dcterms:modified xsi:type="dcterms:W3CDTF">2024-05-14T07:04:47Z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85EB7644FE3A41E389B76D809A3B2DB8_13</vt:lpwstr>
  </property>
</Properties>
</file>