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35D93">
      <w:pPr>
        <w:adjustRightInd w:val="0"/>
        <w:snapToGrid w:val="0"/>
        <w:ind w:firstLine="680"/>
      </w:pPr>
      <w:bookmarkStart w:id="0" w:name="_Toc140150504"/>
      <w:bookmarkStart w:id="1" w:name="_Toc129882903"/>
    </w:p>
    <w:p w14:paraId="7171FE4D">
      <w:pPr>
        <w:adjustRightInd w:val="0"/>
        <w:snapToGrid w:val="0"/>
        <w:ind w:firstLine="160" w:firstLineChars="50"/>
        <w:jc w:val="center"/>
        <w:rPr>
          <w:szCs w:val="32"/>
        </w:rPr>
      </w:pPr>
    </w:p>
    <w:p w14:paraId="0B881F22">
      <w:pPr>
        <w:adjustRightInd w:val="0"/>
        <w:snapToGrid w:val="0"/>
        <w:ind w:firstLine="680"/>
        <w:rPr>
          <w:szCs w:val="32"/>
        </w:rPr>
      </w:pPr>
    </w:p>
    <w:p w14:paraId="57890BCC">
      <w:pPr>
        <w:adjustRightInd w:val="0"/>
        <w:snapToGrid w:val="0"/>
        <w:ind w:firstLine="680"/>
        <w:rPr>
          <w:rFonts w:hint="eastAsia"/>
          <w:szCs w:val="32"/>
        </w:rPr>
      </w:pPr>
    </w:p>
    <w:p w14:paraId="2585B456">
      <w:pPr>
        <w:adjustRightInd w:val="0"/>
        <w:snapToGrid w:val="0"/>
        <w:ind w:firstLine="680"/>
        <w:rPr>
          <w:szCs w:val="32"/>
        </w:rPr>
      </w:pPr>
    </w:p>
    <w:p w14:paraId="666C806E">
      <w:pPr>
        <w:adjustRightInd w:val="0"/>
        <w:snapToGrid w:val="0"/>
        <w:ind w:firstLine="160" w:firstLineChars="50"/>
        <w:jc w:val="center"/>
        <w:rPr>
          <w:szCs w:val="32"/>
        </w:rPr>
      </w:pPr>
    </w:p>
    <w:p w14:paraId="620F63FD">
      <w:pPr>
        <w:adjustRightInd w:val="0"/>
        <w:snapToGrid w:val="0"/>
        <w:ind w:firstLine="160" w:firstLineChars="50"/>
        <w:jc w:val="center"/>
        <w:rPr>
          <w:szCs w:val="32"/>
        </w:rPr>
      </w:pPr>
      <w:r>
        <w:rPr>
          <w:szCs w:val="32"/>
        </w:rPr>
        <w:t>玄政办〔2023〕29号</w:t>
      </w:r>
    </w:p>
    <w:p w14:paraId="6950BB8B">
      <w:pPr>
        <w:adjustRightInd w:val="0"/>
        <w:snapToGrid w:val="0"/>
        <w:ind w:firstLine="680"/>
      </w:pPr>
    </w:p>
    <w:p w14:paraId="59DB7702">
      <w:pPr>
        <w:adjustRightInd w:val="0"/>
        <w:snapToGrid w:val="0"/>
        <w:ind w:firstLine="680"/>
      </w:pPr>
    </w:p>
    <w:p w14:paraId="38223E99">
      <w:pPr>
        <w:spacing w:line="700" w:lineRule="exact"/>
        <w:jc w:val="center"/>
        <w:rPr>
          <w:rFonts w:ascii="方正小标宋_GBK" w:eastAsia="方正小标宋_GBK"/>
          <w:sz w:val="44"/>
          <w:szCs w:val="44"/>
        </w:rPr>
      </w:pPr>
      <w:r>
        <w:rPr>
          <w:rFonts w:hint="eastAsia" w:ascii="方正小标宋_GBK" w:eastAsia="方正小标宋_GBK"/>
          <w:sz w:val="44"/>
          <w:szCs w:val="44"/>
        </w:rPr>
        <w:t>关于印发《玄武区“十四五”时期</w:t>
      </w:r>
    </w:p>
    <w:p w14:paraId="50289231">
      <w:pPr>
        <w:spacing w:line="700" w:lineRule="exact"/>
        <w:jc w:val="center"/>
        <w:rPr>
          <w:rFonts w:ascii="方正小标宋_GBK" w:eastAsia="方正小标宋_GBK"/>
          <w:sz w:val="44"/>
          <w:szCs w:val="44"/>
        </w:rPr>
      </w:pPr>
      <w:r>
        <w:rPr>
          <w:rFonts w:hint="eastAsia" w:ascii="方正小标宋_GBK" w:eastAsia="方正小标宋_GBK"/>
          <w:sz w:val="44"/>
          <w:szCs w:val="44"/>
        </w:rPr>
        <w:t>“无废城市”建设实施方案》的通知</w:t>
      </w:r>
    </w:p>
    <w:p w14:paraId="74694B03">
      <w:pPr>
        <w:ind w:firstLine="680"/>
        <w:rPr>
          <w:szCs w:val="32"/>
        </w:rPr>
      </w:pPr>
    </w:p>
    <w:p w14:paraId="2BB8A3F7">
      <w:pPr>
        <w:rPr>
          <w:rFonts w:cs="Times New Roman"/>
          <w:szCs w:val="32"/>
        </w:rPr>
      </w:pPr>
      <w:r>
        <w:rPr>
          <w:rFonts w:cs="Times New Roman"/>
          <w:szCs w:val="32"/>
        </w:rPr>
        <w:t>各街道办事处（园区）、区各委办局、区各直属单位：</w:t>
      </w:r>
    </w:p>
    <w:p w14:paraId="7F6001C3">
      <w:pPr>
        <w:ind w:firstLine="640" w:firstLineChars="200"/>
        <w:rPr>
          <w:rFonts w:cs="Times New Roman"/>
          <w:szCs w:val="32"/>
        </w:rPr>
      </w:pPr>
      <w:r>
        <w:rPr>
          <w:rFonts w:cs="Times New Roman"/>
          <w:szCs w:val="32"/>
        </w:rPr>
        <w:t>经区政府同意，现将《玄武区</w:t>
      </w:r>
      <w:r>
        <w:rPr>
          <w:rFonts w:hint="eastAsia" w:cs="Times New Roman"/>
          <w:szCs w:val="32"/>
        </w:rPr>
        <w:t>“十四五”时期“无废城市”建设实施方案</w:t>
      </w:r>
      <w:r>
        <w:rPr>
          <w:rFonts w:cs="Times New Roman"/>
          <w:szCs w:val="32"/>
        </w:rPr>
        <w:t>》印发给你们，请结合实际，认真贯彻执行。</w:t>
      </w:r>
    </w:p>
    <w:p w14:paraId="0E89355B">
      <w:pPr>
        <w:rPr>
          <w:rFonts w:cs="Times New Roman"/>
          <w:szCs w:val="32"/>
        </w:rPr>
      </w:pPr>
    </w:p>
    <w:p w14:paraId="31D854E2">
      <w:pPr>
        <w:rPr>
          <w:rFonts w:hint="eastAsia" w:cs="Times New Roman"/>
          <w:szCs w:val="32"/>
        </w:rPr>
      </w:pPr>
    </w:p>
    <w:p w14:paraId="51702A49">
      <w:pPr>
        <w:jc w:val="right"/>
        <w:rPr>
          <w:rFonts w:cs="Times New Roman"/>
          <w:szCs w:val="32"/>
        </w:rPr>
      </w:pPr>
      <w:r>
        <w:rPr>
          <w:rFonts w:cs="Times New Roman"/>
          <w:szCs w:val="32"/>
        </w:rPr>
        <w:t>南京市玄武区人民政府办公室</w:t>
      </w:r>
    </w:p>
    <w:p w14:paraId="4ABCA3F1">
      <w:pPr>
        <w:rPr>
          <w:rFonts w:cs="Times New Roman"/>
          <w:szCs w:val="32"/>
        </w:rPr>
      </w:pPr>
      <w:r>
        <w:rPr>
          <w:rFonts w:cs="Times New Roman"/>
          <w:szCs w:val="32"/>
        </w:rPr>
        <w:t xml:space="preserve"> </w:t>
      </w:r>
      <w:r>
        <w:rPr>
          <w:rFonts w:hint="eastAsia" w:cs="Times New Roman"/>
          <w:szCs w:val="32"/>
        </w:rPr>
        <w:t xml:space="preserve">                                                                      </w:t>
      </w:r>
      <w:r>
        <w:rPr>
          <w:rFonts w:cs="Times New Roman"/>
          <w:szCs w:val="32"/>
        </w:rPr>
        <w:t xml:space="preserve"> 2023年</w:t>
      </w:r>
      <w:r>
        <w:rPr>
          <w:rFonts w:hint="eastAsia" w:cs="Times New Roman"/>
          <w:szCs w:val="32"/>
        </w:rPr>
        <w:t>10</w:t>
      </w:r>
      <w:r>
        <w:rPr>
          <w:rFonts w:cs="Times New Roman"/>
          <w:szCs w:val="32"/>
        </w:rPr>
        <w:t>月17日</w:t>
      </w:r>
    </w:p>
    <w:p w14:paraId="416DEA29">
      <w:pPr>
        <w:pStyle w:val="2"/>
        <w:numPr>
          <w:ilvl w:val="0"/>
          <w:numId w:val="0"/>
        </w:numPr>
        <w:spacing w:beforeLines="0" w:after="0"/>
        <w:jc w:val="both"/>
        <w:rPr>
          <w:rFonts w:eastAsia="方正仿宋_GBK" w:cs="Times New Roman"/>
          <w:bCs w:val="0"/>
          <w:kern w:val="2"/>
          <w:szCs w:val="32"/>
        </w:rPr>
      </w:pPr>
    </w:p>
    <w:p w14:paraId="2790A8D5">
      <w:pPr>
        <w:pStyle w:val="2"/>
        <w:numPr>
          <w:ilvl w:val="0"/>
          <w:numId w:val="0"/>
        </w:numPr>
        <w:spacing w:beforeLines="0" w:after="0"/>
        <w:jc w:val="both"/>
        <w:rPr>
          <w:rFonts w:ascii="方正小标宋_GBK" w:hAnsi="方正小标宋_GBK" w:eastAsia="方正小标宋_GBK" w:cs="方正小标宋_GBK"/>
          <w:sz w:val="44"/>
        </w:rPr>
      </w:pPr>
      <w:r>
        <w:rPr>
          <w:rFonts w:hint="eastAsia" w:ascii="方正小标宋_GBK" w:hAnsi="方正小标宋_GBK" w:eastAsia="方正小标宋_GBK" w:cs="方正小标宋_GBK"/>
          <w:spacing w:val="1"/>
          <w:w w:val="90"/>
          <w:kern w:val="0"/>
          <w:sz w:val="44"/>
          <w:fitText w:val="8800" w:id="717110303"/>
        </w:rPr>
        <w:t>玄武区“十四五”时期“无废城市”建设实施方</w:t>
      </w:r>
      <w:r>
        <w:rPr>
          <w:rFonts w:hint="eastAsia" w:ascii="方正小标宋_GBK" w:hAnsi="方正小标宋_GBK" w:eastAsia="方正小标宋_GBK" w:cs="方正小标宋_GBK"/>
          <w:spacing w:val="79"/>
          <w:w w:val="90"/>
          <w:kern w:val="0"/>
          <w:sz w:val="44"/>
          <w:fitText w:val="8800" w:id="717110303"/>
        </w:rPr>
        <w:t>案</w:t>
      </w:r>
    </w:p>
    <w:p w14:paraId="0ADDBC7E">
      <w:pPr>
        <w:pStyle w:val="2"/>
        <w:numPr>
          <w:ilvl w:val="0"/>
          <w:numId w:val="0"/>
        </w:numPr>
        <w:spacing w:beforeLines="0" w:after="0"/>
        <w:rPr>
          <w:rFonts w:ascii="方正黑体_GBK" w:cs="Times New Roman"/>
          <w:szCs w:val="28"/>
        </w:rPr>
      </w:pPr>
    </w:p>
    <w:p w14:paraId="6825ACD2">
      <w:pPr>
        <w:pStyle w:val="2"/>
        <w:numPr>
          <w:ilvl w:val="0"/>
          <w:numId w:val="2"/>
        </w:numPr>
        <w:spacing w:beforeLines="0" w:after="0"/>
        <w:rPr>
          <w:rFonts w:ascii="方正黑体_GBK" w:cs="Times New Roman"/>
          <w:szCs w:val="28"/>
        </w:rPr>
      </w:pPr>
      <w:r>
        <w:rPr>
          <w:rFonts w:hint="eastAsia" w:ascii="方正黑体_GBK" w:cs="Times New Roman"/>
          <w:szCs w:val="28"/>
        </w:rPr>
        <w:t>总则</w:t>
      </w:r>
      <w:bookmarkEnd w:id="0"/>
      <w:bookmarkEnd w:id="1"/>
    </w:p>
    <w:p w14:paraId="4A4C8497">
      <w:pPr>
        <w:rPr>
          <w:rFonts w:hint="eastAsia"/>
        </w:rPr>
      </w:pPr>
    </w:p>
    <w:p w14:paraId="0841167D">
      <w:pPr>
        <w:ind w:firstLine="640" w:firstLineChars="200"/>
        <w:rPr>
          <w:rFonts w:cs="Times New Roman"/>
          <w:szCs w:val="32"/>
        </w:rPr>
      </w:pPr>
      <w:r>
        <w:rPr>
          <w:rFonts w:cs="Times New Roman"/>
          <w:szCs w:val="32"/>
        </w:rPr>
        <w:t>开展</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建设是贯彻新发展理念</w:t>
      </w:r>
      <w:r>
        <w:rPr>
          <w:rFonts w:hint="eastAsia" w:cs="Times New Roman"/>
          <w:szCs w:val="32"/>
        </w:rPr>
        <w:t>、</w:t>
      </w:r>
      <w:r>
        <w:rPr>
          <w:rFonts w:cs="Times New Roman"/>
          <w:szCs w:val="32"/>
        </w:rPr>
        <w:t>推动生产生活方式绿色转型的重要载体</w:t>
      </w:r>
      <w:r>
        <w:rPr>
          <w:rFonts w:hint="eastAsia" w:cs="Times New Roman"/>
          <w:szCs w:val="32"/>
        </w:rPr>
        <w:t>，</w:t>
      </w:r>
      <w:r>
        <w:rPr>
          <w:rFonts w:cs="Times New Roman"/>
          <w:szCs w:val="32"/>
        </w:rPr>
        <w:t>对城市深入打好污染防治攻坚战有直接贡献和统筹推动作用</w:t>
      </w:r>
      <w:r>
        <w:rPr>
          <w:rFonts w:hint="eastAsia" w:cs="Times New Roman"/>
          <w:szCs w:val="32"/>
        </w:rPr>
        <w:t>。</w:t>
      </w:r>
      <w:r>
        <w:rPr>
          <w:rFonts w:cs="Times New Roman"/>
          <w:szCs w:val="32"/>
        </w:rPr>
        <w:t>2019年以来</w:t>
      </w:r>
      <w:r>
        <w:rPr>
          <w:rFonts w:hint="eastAsia" w:cs="Times New Roman"/>
          <w:szCs w:val="32"/>
        </w:rPr>
        <w:t>，</w:t>
      </w:r>
      <w:r>
        <w:rPr>
          <w:rFonts w:cs="Times New Roman"/>
          <w:szCs w:val="32"/>
        </w:rPr>
        <w:t>生态环境部会同国家发展改革委等部门和单位，指导徐州、深圳、绍兴等11个城市和雄安新区等5个特殊地区，扎实推进试点工作</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建设试点工作正式启动以来，经过两年多的探索，</w:t>
      </w:r>
      <w:r>
        <w:rPr>
          <w:rFonts w:hint="eastAsia" w:cs="Times New Roman"/>
          <w:szCs w:val="32"/>
        </w:rPr>
        <w:t>“</w:t>
      </w:r>
      <w:r>
        <w:rPr>
          <w:rFonts w:cs="Times New Roman"/>
          <w:szCs w:val="32"/>
        </w:rPr>
        <w:t>十四五</w:t>
      </w:r>
      <w:r>
        <w:rPr>
          <w:rFonts w:hint="eastAsia" w:cs="Times New Roman"/>
          <w:szCs w:val="32"/>
        </w:rPr>
        <w:t>”</w:t>
      </w:r>
      <w:r>
        <w:rPr>
          <w:rFonts w:cs="Times New Roman"/>
          <w:szCs w:val="32"/>
        </w:rPr>
        <w:t>开局之年</w:t>
      </w:r>
      <w:r>
        <w:rPr>
          <w:rFonts w:hint="eastAsia" w:cs="Times New Roman"/>
          <w:szCs w:val="32"/>
        </w:rPr>
        <w:t>，“</w:t>
      </w:r>
      <w:r>
        <w:rPr>
          <w:rFonts w:cs="Times New Roman"/>
          <w:szCs w:val="32"/>
        </w:rPr>
        <w:t>11+5</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建设试点工作圆满完成。</w:t>
      </w:r>
    </w:p>
    <w:p w14:paraId="07DDA3CA">
      <w:pPr>
        <w:ind w:firstLine="640" w:firstLineChars="200"/>
        <w:rPr>
          <w:rFonts w:cs="Times New Roman"/>
          <w:szCs w:val="32"/>
        </w:rPr>
      </w:pPr>
      <w:r>
        <w:rPr>
          <w:rFonts w:cs="Times New Roman"/>
          <w:szCs w:val="32"/>
        </w:rPr>
        <w:t>2021年南京市响应</w:t>
      </w:r>
      <w:r>
        <w:rPr>
          <w:rFonts w:hint="eastAsia" w:cs="Times New Roman"/>
          <w:szCs w:val="32"/>
        </w:rPr>
        <w:t>《“</w:t>
      </w:r>
      <w:r>
        <w:rPr>
          <w:rFonts w:cs="Times New Roman"/>
          <w:szCs w:val="32"/>
        </w:rPr>
        <w:t>十四五</w:t>
      </w:r>
      <w:r>
        <w:rPr>
          <w:rFonts w:hint="eastAsia" w:cs="Times New Roman"/>
          <w:szCs w:val="32"/>
        </w:rPr>
        <w:t>”</w:t>
      </w:r>
      <w:r>
        <w:rPr>
          <w:rFonts w:cs="Times New Roman"/>
          <w:szCs w:val="32"/>
        </w:rPr>
        <w:t>时期</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建设工作方案</w:t>
      </w:r>
      <w:r>
        <w:rPr>
          <w:rFonts w:hint="eastAsia" w:cs="Times New Roman"/>
          <w:szCs w:val="32"/>
        </w:rPr>
        <w:t>》（</w:t>
      </w:r>
      <w:r>
        <w:rPr>
          <w:rFonts w:cs="Times New Roman"/>
          <w:szCs w:val="32"/>
        </w:rPr>
        <w:t>环固体</w:t>
      </w:r>
      <w:r>
        <w:rPr>
          <w:rFonts w:hint="eastAsia" w:cs="Times New Roman"/>
          <w:szCs w:val="32"/>
        </w:rPr>
        <w:t>〔</w:t>
      </w:r>
      <w:r>
        <w:rPr>
          <w:rFonts w:cs="Times New Roman"/>
          <w:szCs w:val="32"/>
        </w:rPr>
        <w:t>2021〕114号）号召，申请建设</w:t>
      </w:r>
      <w:r>
        <w:rPr>
          <w:rFonts w:hint="eastAsia" w:cs="Times New Roman"/>
          <w:szCs w:val="32"/>
        </w:rPr>
        <w:t>“</w:t>
      </w:r>
      <w:r>
        <w:rPr>
          <w:rFonts w:cs="Times New Roman"/>
          <w:szCs w:val="32"/>
        </w:rPr>
        <w:t>无废城市</w:t>
      </w:r>
      <w:r>
        <w:rPr>
          <w:rFonts w:hint="eastAsia" w:cs="Times New Roman"/>
          <w:szCs w:val="32"/>
        </w:rPr>
        <w:t>”，并成功</w:t>
      </w:r>
      <w:r>
        <w:rPr>
          <w:rFonts w:cs="Times New Roman"/>
          <w:szCs w:val="32"/>
        </w:rPr>
        <w:t>入选</w:t>
      </w:r>
      <w:r>
        <w:rPr>
          <w:rFonts w:hint="eastAsia" w:cs="Times New Roman"/>
          <w:szCs w:val="32"/>
        </w:rPr>
        <w:t>“</w:t>
      </w:r>
      <w:r>
        <w:rPr>
          <w:rFonts w:cs="Times New Roman"/>
          <w:szCs w:val="32"/>
        </w:rPr>
        <w:t>十四五</w:t>
      </w:r>
      <w:r>
        <w:rPr>
          <w:rFonts w:hint="eastAsia" w:cs="Times New Roman"/>
          <w:szCs w:val="32"/>
        </w:rPr>
        <w:t>”</w:t>
      </w:r>
      <w:r>
        <w:rPr>
          <w:rFonts w:cs="Times New Roman"/>
          <w:szCs w:val="32"/>
        </w:rPr>
        <w:t>时期</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建设城市名单</w:t>
      </w:r>
      <w:r>
        <w:rPr>
          <w:rFonts w:hint="eastAsia" w:cs="Times New Roman"/>
          <w:szCs w:val="32"/>
        </w:rPr>
        <w:t>。</w:t>
      </w:r>
      <w:r>
        <w:rPr>
          <w:rFonts w:cs="Times New Roman"/>
          <w:szCs w:val="32"/>
        </w:rPr>
        <w:t>根据</w:t>
      </w:r>
      <w:r>
        <w:rPr>
          <w:rFonts w:hint="eastAsia" w:cs="Times New Roman"/>
          <w:szCs w:val="32"/>
        </w:rPr>
        <w:t>《</w:t>
      </w:r>
      <w:r>
        <w:rPr>
          <w:rFonts w:cs="Times New Roman"/>
          <w:szCs w:val="32"/>
        </w:rPr>
        <w:t>南京市</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建设工作方案》（宁政办发〔2022〕8号），江北新区和各区需制定</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工作实施子方案</w:t>
      </w:r>
      <w:r>
        <w:rPr>
          <w:rFonts w:hint="eastAsia" w:cs="Times New Roman"/>
          <w:szCs w:val="32"/>
        </w:rPr>
        <w:t>。</w:t>
      </w:r>
    </w:p>
    <w:p w14:paraId="03DA7EFA">
      <w:pPr>
        <w:ind w:firstLine="640" w:firstLineChars="200"/>
        <w:rPr>
          <w:rFonts w:cs="Times New Roman"/>
          <w:szCs w:val="32"/>
        </w:rPr>
      </w:pPr>
      <w:r>
        <w:rPr>
          <w:rFonts w:cs="Times New Roman"/>
          <w:szCs w:val="32"/>
        </w:rPr>
        <w:t>玄武区</w:t>
      </w:r>
      <w:r>
        <w:rPr>
          <w:rFonts w:hint="eastAsia" w:cs="Times New Roman"/>
          <w:szCs w:val="32"/>
        </w:rPr>
        <w:t>坚持</w:t>
      </w:r>
      <w:r>
        <w:rPr>
          <w:rFonts w:cs="Times New Roman"/>
          <w:szCs w:val="32"/>
        </w:rPr>
        <w:t>以绿色发展理念为引领，深入贯彻落实党的二十大精神和习近平生态文明思想，深入打好污染防治攻坚战，持续推动固体废物源头减量和资源化利用，最大限度减少填埋量，全面提高固体废物治理水平，促进城市可持续发展和绿色转型，实现减污降碳协同增效</w:t>
      </w:r>
      <w:r>
        <w:rPr>
          <w:rFonts w:hint="eastAsia" w:cs="Times New Roman"/>
          <w:szCs w:val="32"/>
        </w:rPr>
        <w:t>，</w:t>
      </w:r>
      <w:r>
        <w:rPr>
          <w:rFonts w:cs="Times New Roman"/>
          <w:szCs w:val="32"/>
        </w:rPr>
        <w:t>奋力谱写中国式现代化建设新篇章。</w:t>
      </w:r>
    </w:p>
    <w:p w14:paraId="022BCD50">
      <w:pPr>
        <w:tabs>
          <w:tab w:val="left" w:pos="640"/>
        </w:tabs>
        <w:ind w:firstLine="640" w:firstLineChars="200"/>
        <w:rPr>
          <w:rFonts w:cs="Times New Roman"/>
          <w:szCs w:val="32"/>
        </w:rPr>
      </w:pPr>
      <w:r>
        <w:rPr>
          <w:rFonts w:cs="Times New Roman"/>
          <w:szCs w:val="32"/>
        </w:rPr>
        <w:t>为全面推进</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建设工作，结合玄武区实际</w:t>
      </w:r>
      <w:r>
        <w:rPr>
          <w:rFonts w:hint="eastAsia" w:cs="Times New Roman"/>
          <w:szCs w:val="32"/>
        </w:rPr>
        <w:t>，</w:t>
      </w:r>
      <w:r>
        <w:rPr>
          <w:rFonts w:cs="Times New Roman"/>
          <w:szCs w:val="32"/>
        </w:rPr>
        <w:t>编制本实施方案。</w:t>
      </w:r>
    </w:p>
    <w:p w14:paraId="2B180EDF">
      <w:pPr>
        <w:tabs>
          <w:tab w:val="left" w:pos="640"/>
        </w:tabs>
        <w:ind w:firstLine="640" w:firstLineChars="200"/>
        <w:rPr>
          <w:rFonts w:hint="eastAsia" w:cs="Times New Roman"/>
          <w:szCs w:val="32"/>
        </w:rPr>
      </w:pPr>
    </w:p>
    <w:p w14:paraId="459FCF18">
      <w:pPr>
        <w:keepNext/>
        <w:keepLines/>
        <w:spacing w:line="680" w:lineRule="exact"/>
        <w:jc w:val="center"/>
        <w:outlineLvl w:val="1"/>
        <w:rPr>
          <w:rFonts w:hint="eastAsia" w:ascii="方正黑体_GBK" w:eastAsia="方正黑体_GBK" w:cs="Times New Roman"/>
          <w:bCs/>
          <w:szCs w:val="28"/>
        </w:rPr>
      </w:pPr>
      <w:bookmarkStart w:id="2" w:name="_Toc129882904"/>
      <w:bookmarkStart w:id="3" w:name="_Toc1796"/>
      <w:bookmarkStart w:id="4" w:name="_Toc140150505"/>
      <w:bookmarkStart w:id="5" w:name="_Hlk118107529"/>
      <w:r>
        <w:rPr>
          <w:rFonts w:hint="eastAsia" w:ascii="方正黑体_GBK" w:eastAsia="方正黑体_GBK" w:cs="Times New Roman"/>
          <w:bCs/>
          <w:szCs w:val="28"/>
        </w:rPr>
        <w:t>第一节 编制依据</w:t>
      </w:r>
      <w:bookmarkEnd w:id="2"/>
      <w:bookmarkEnd w:id="3"/>
      <w:bookmarkEnd w:id="4"/>
    </w:p>
    <w:p w14:paraId="3B989D58">
      <w:pPr>
        <w:keepNext/>
        <w:keepLines/>
        <w:ind w:firstLine="640" w:firstLineChars="200"/>
        <w:outlineLvl w:val="2"/>
        <w:rPr>
          <w:rFonts w:ascii="方正黑体_GBK" w:eastAsia="方正黑体_GBK" w:cs="Times New Roman"/>
          <w:bCs/>
          <w:szCs w:val="28"/>
        </w:rPr>
      </w:pPr>
      <w:bookmarkStart w:id="6" w:name="_Toc129882905"/>
      <w:r>
        <w:rPr>
          <w:rFonts w:hint="eastAsia" w:ascii="方正黑体_GBK" w:eastAsia="方正黑体_GBK" w:cs="Times New Roman"/>
          <w:bCs/>
          <w:szCs w:val="28"/>
        </w:rPr>
        <w:t>一、法律法规及规章</w:t>
      </w:r>
      <w:bookmarkEnd w:id="6"/>
    </w:p>
    <w:p w14:paraId="002F85F5">
      <w:pPr>
        <w:numPr>
          <w:ilvl w:val="0"/>
          <w:numId w:val="3"/>
        </w:numPr>
        <w:ind w:firstLine="640" w:firstLineChars="200"/>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w:t>
      </w:r>
      <w:r>
        <w:rPr>
          <w:rFonts w:cs="Times New Roman"/>
          <w:color w:val="000000" w:themeColor="text1"/>
          <w:szCs w:val="28"/>
          <w14:textFill>
            <w14:solidFill>
              <w14:schemeClr w14:val="tx1"/>
            </w14:solidFill>
          </w14:textFill>
        </w:rPr>
        <w:t>中华人民共和国环境保护法》（</w:t>
      </w:r>
      <w:r>
        <w:rPr>
          <w:rFonts w:hint="eastAsia" w:cs="Times New Roman"/>
          <w:color w:val="000000" w:themeColor="text1"/>
          <w:szCs w:val="28"/>
          <w14:textFill>
            <w14:solidFill>
              <w14:schemeClr w14:val="tx1"/>
            </w14:solidFill>
          </w14:textFill>
        </w:rPr>
        <w:t>1989年第2</w:t>
      </w:r>
      <w:r>
        <w:rPr>
          <w:rFonts w:cs="Times New Roman"/>
          <w:color w:val="000000" w:themeColor="text1"/>
          <w:szCs w:val="28"/>
          <w14:textFill>
            <w14:solidFill>
              <w14:schemeClr w14:val="tx1"/>
            </w14:solidFill>
          </w14:textFill>
        </w:rPr>
        <w:t>2</w:t>
      </w:r>
      <w:r>
        <w:rPr>
          <w:rFonts w:hint="eastAsia" w:cs="Times New Roman"/>
          <w:color w:val="000000" w:themeColor="text1"/>
          <w:szCs w:val="28"/>
          <w14:textFill>
            <w14:solidFill>
              <w14:schemeClr w14:val="tx1"/>
            </w14:solidFill>
          </w14:textFill>
        </w:rPr>
        <w:t>号主席令，2014年修订</w:t>
      </w:r>
      <w:r>
        <w:rPr>
          <w:rFonts w:cs="Times New Roman"/>
          <w:color w:val="000000" w:themeColor="text1"/>
          <w:szCs w:val="28"/>
          <w14:textFill>
            <w14:solidFill>
              <w14:schemeClr w14:val="tx1"/>
            </w14:solidFill>
          </w14:textFill>
        </w:rPr>
        <w:t>）；</w:t>
      </w:r>
    </w:p>
    <w:p w14:paraId="13D32C54">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《中华人民共和国固体废物污染环境防治法》（2020年4月29日第十三届全国人民代表大会常务委员会第十七次会议第二次修订）；</w:t>
      </w:r>
    </w:p>
    <w:p w14:paraId="43504DE9">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《中华人民共和国清洁生产促进法》（2012年</w:t>
      </w:r>
      <w:r>
        <w:rPr>
          <w:rFonts w:hint="eastAsia" w:cs="Times New Roman"/>
          <w:color w:val="000000" w:themeColor="text1"/>
          <w:szCs w:val="28"/>
          <w14:textFill>
            <w14:solidFill>
              <w14:schemeClr w14:val="tx1"/>
            </w14:solidFill>
          </w14:textFill>
        </w:rPr>
        <w:t>第5</w:t>
      </w:r>
      <w:r>
        <w:rPr>
          <w:rFonts w:cs="Times New Roman"/>
          <w:color w:val="000000" w:themeColor="text1"/>
          <w:szCs w:val="28"/>
          <w14:textFill>
            <w14:solidFill>
              <w14:schemeClr w14:val="tx1"/>
            </w14:solidFill>
          </w14:textFill>
        </w:rPr>
        <w:t>4</w:t>
      </w:r>
      <w:r>
        <w:rPr>
          <w:rFonts w:hint="eastAsia" w:cs="Times New Roman"/>
          <w:color w:val="000000" w:themeColor="text1"/>
          <w:szCs w:val="28"/>
          <w14:textFill>
            <w14:solidFill>
              <w14:schemeClr w14:val="tx1"/>
            </w14:solidFill>
          </w14:textFill>
        </w:rPr>
        <w:t>号主席令</w:t>
      </w:r>
      <w:r>
        <w:rPr>
          <w:rFonts w:cs="Times New Roman"/>
          <w:color w:val="000000" w:themeColor="text1"/>
          <w:szCs w:val="28"/>
          <w14:textFill>
            <w14:solidFill>
              <w14:schemeClr w14:val="tx1"/>
            </w14:solidFill>
          </w14:textFill>
        </w:rPr>
        <w:t>）；</w:t>
      </w:r>
    </w:p>
    <w:p w14:paraId="51B52F55">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《中华人民共和国循环经济促进法》（</w:t>
      </w:r>
      <w:r>
        <w:rPr>
          <w:rFonts w:hint="eastAsia" w:cs="Times New Roman"/>
          <w:color w:val="000000" w:themeColor="text1"/>
          <w:szCs w:val="28"/>
          <w14:textFill>
            <w14:solidFill>
              <w14:schemeClr w14:val="tx1"/>
            </w14:solidFill>
          </w14:textFill>
        </w:rPr>
        <w:t>2008年第16号主席令，2018修订</w:t>
      </w:r>
      <w:r>
        <w:rPr>
          <w:rFonts w:cs="Times New Roman"/>
          <w:color w:val="000000" w:themeColor="text1"/>
          <w:szCs w:val="28"/>
          <w14:textFill>
            <w14:solidFill>
              <w14:schemeClr w14:val="tx1"/>
            </w14:solidFill>
          </w14:textFill>
        </w:rPr>
        <w:t>）；</w:t>
      </w:r>
    </w:p>
    <w:p w14:paraId="43F7F7F4">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《中华人民共和国长江保护法》（</w:t>
      </w:r>
      <w:r>
        <w:rPr>
          <w:rFonts w:hint="eastAsia" w:cs="Times New Roman"/>
          <w:color w:val="000000" w:themeColor="text1"/>
          <w:szCs w:val="28"/>
          <w14:textFill>
            <w14:solidFill>
              <w14:schemeClr w14:val="tx1"/>
            </w14:solidFill>
          </w14:textFill>
        </w:rPr>
        <w:t>2020年</w:t>
      </w:r>
      <w:r>
        <w:rPr>
          <w:rFonts w:cs="Times New Roman"/>
          <w:color w:val="000000" w:themeColor="text1"/>
          <w:szCs w:val="28"/>
          <w14:textFill>
            <w14:solidFill>
              <w14:schemeClr w14:val="tx1"/>
            </w14:solidFill>
          </w14:textFill>
        </w:rPr>
        <w:t>第</w:t>
      </w:r>
      <w:r>
        <w:rPr>
          <w:rFonts w:hint="eastAsia" w:cs="Times New Roman"/>
          <w:color w:val="000000" w:themeColor="text1"/>
          <w:szCs w:val="28"/>
          <w14:textFill>
            <w14:solidFill>
              <w14:schemeClr w14:val="tx1"/>
            </w14:solidFill>
          </w14:textFill>
        </w:rPr>
        <w:t>6</w:t>
      </w:r>
      <w:r>
        <w:rPr>
          <w:rFonts w:cs="Times New Roman"/>
          <w:color w:val="000000" w:themeColor="text1"/>
          <w:szCs w:val="28"/>
          <w14:textFill>
            <w14:solidFill>
              <w14:schemeClr w14:val="tx1"/>
            </w14:solidFill>
          </w14:textFill>
        </w:rPr>
        <w:t>5号主席令）；</w:t>
      </w:r>
    </w:p>
    <w:p w14:paraId="49FAD140">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《医疗废物管理条例》（</w:t>
      </w:r>
      <w:r>
        <w:rPr>
          <w:rFonts w:hint="eastAsia" w:cs="Times New Roman"/>
          <w:color w:val="000000" w:themeColor="text1"/>
          <w:szCs w:val="28"/>
          <w14:textFill>
            <w14:solidFill>
              <w14:schemeClr w14:val="tx1"/>
            </w14:solidFill>
          </w14:textFill>
        </w:rPr>
        <w:t>2003年</w:t>
      </w:r>
      <w:r>
        <w:rPr>
          <w:rFonts w:cs="Times New Roman"/>
          <w:color w:val="000000" w:themeColor="text1"/>
          <w:szCs w:val="28"/>
          <w14:textFill>
            <w14:solidFill>
              <w14:schemeClr w14:val="tx1"/>
            </w14:solidFill>
          </w14:textFill>
        </w:rPr>
        <w:t>第380号国务院令）</w:t>
      </w:r>
      <w:r>
        <w:rPr>
          <w:rFonts w:hint="eastAsia" w:cs="Times New Roman"/>
          <w:color w:val="000000" w:themeColor="text1"/>
          <w:szCs w:val="28"/>
          <w14:textFill>
            <w14:solidFill>
              <w14:schemeClr w14:val="tx1"/>
            </w14:solidFill>
          </w14:textFill>
        </w:rPr>
        <w:t>；</w:t>
      </w:r>
    </w:p>
    <w:p w14:paraId="78C21CCF">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《城市生活垃圾管理办法》（</w:t>
      </w:r>
      <w:r>
        <w:rPr>
          <w:rFonts w:hint="eastAsia" w:cs="Times New Roman"/>
          <w:color w:val="000000" w:themeColor="text1"/>
          <w:szCs w:val="28"/>
          <w14:textFill>
            <w14:solidFill>
              <w14:schemeClr w14:val="tx1"/>
            </w14:solidFill>
          </w14:textFill>
        </w:rPr>
        <w:t>2007年第157号建设部令</w:t>
      </w:r>
      <w:r>
        <w:rPr>
          <w:rFonts w:cs="Times New Roman"/>
          <w:color w:val="000000" w:themeColor="text1"/>
          <w:szCs w:val="28"/>
          <w14:textFill>
            <w14:solidFill>
              <w14:schemeClr w14:val="tx1"/>
            </w14:solidFill>
          </w14:textFill>
        </w:rPr>
        <w:t>）；</w:t>
      </w:r>
    </w:p>
    <w:p w14:paraId="27023EEC">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《江苏省固体废物污染环境防治条例》（2018年3月28日江苏省第十三届人民代表大会常务委员会第二次会议第三次修正）；</w:t>
      </w:r>
    </w:p>
    <w:p w14:paraId="43053FD6">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《江苏省餐厨废弃物管理办法》（</w:t>
      </w:r>
      <w:r>
        <w:rPr>
          <w:rFonts w:hint="eastAsia" w:cs="Times New Roman"/>
          <w:color w:val="000000" w:themeColor="text1"/>
          <w:szCs w:val="28"/>
          <w14:textFill>
            <w14:solidFill>
              <w14:schemeClr w14:val="tx1"/>
            </w14:solidFill>
          </w14:textFill>
        </w:rPr>
        <w:t>2011年</w:t>
      </w:r>
      <w:r>
        <w:rPr>
          <w:rFonts w:cs="Times New Roman"/>
          <w:color w:val="000000" w:themeColor="text1"/>
          <w:szCs w:val="28"/>
          <w14:textFill>
            <w14:solidFill>
              <w14:schemeClr w14:val="tx1"/>
            </w14:solidFill>
          </w14:textFill>
        </w:rPr>
        <w:t>江苏省第70号政府令</w:t>
      </w:r>
      <w:r>
        <w:rPr>
          <w:rFonts w:hint="eastAsia" w:cs="Times New Roman"/>
          <w:color w:val="000000" w:themeColor="text1"/>
          <w:szCs w:val="28"/>
          <w14:textFill>
            <w14:solidFill>
              <w14:schemeClr w14:val="tx1"/>
            </w14:solidFill>
          </w14:textFill>
        </w:rPr>
        <w:t>，2018年修正</w:t>
      </w:r>
      <w:r>
        <w:rPr>
          <w:rFonts w:cs="Times New Roman"/>
          <w:color w:val="000000" w:themeColor="text1"/>
          <w:szCs w:val="28"/>
          <w14:textFill>
            <w14:solidFill>
              <w14:schemeClr w14:val="tx1"/>
            </w14:solidFill>
          </w14:textFill>
        </w:rPr>
        <w:t>）；</w:t>
      </w:r>
    </w:p>
    <w:p w14:paraId="63C4BDB2">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《南京市固体废物污染环境防治条例》（2018年7</w:t>
      </w:r>
      <w:r>
        <w:rPr>
          <w:rFonts w:cs="Times New Roman"/>
          <w:szCs w:val="28"/>
        </w:rPr>
        <w:t>月27日江苏省第十三届人民代表大会常务委员会第四次会议修正）</w:t>
      </w:r>
      <w:r>
        <w:rPr>
          <w:rFonts w:cs="Times New Roman"/>
          <w:color w:val="000000" w:themeColor="text1"/>
          <w:szCs w:val="28"/>
          <w14:textFill>
            <w14:solidFill>
              <w14:schemeClr w14:val="tx1"/>
            </w14:solidFill>
          </w14:textFill>
        </w:rPr>
        <w:t>；</w:t>
      </w:r>
    </w:p>
    <w:p w14:paraId="07992BAF">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《南京市餐厨废弃物管理办法》（</w:t>
      </w:r>
      <w:r>
        <w:rPr>
          <w:rFonts w:hint="eastAsia" w:cs="Times New Roman"/>
          <w:color w:val="000000" w:themeColor="text1"/>
          <w:szCs w:val="28"/>
          <w14:textFill>
            <w14:solidFill>
              <w14:schemeClr w14:val="tx1"/>
            </w14:solidFill>
          </w14:textFill>
        </w:rPr>
        <w:t>2015年</w:t>
      </w:r>
      <w:r>
        <w:rPr>
          <w:rFonts w:cs="Times New Roman"/>
          <w:color w:val="000000" w:themeColor="text1"/>
          <w:szCs w:val="28"/>
          <w14:textFill>
            <w14:solidFill>
              <w14:schemeClr w14:val="tx1"/>
            </w14:solidFill>
          </w14:textFill>
        </w:rPr>
        <w:t>南京市第310号政府令）；</w:t>
      </w:r>
    </w:p>
    <w:p w14:paraId="5743097D">
      <w:pPr>
        <w:numPr>
          <w:ilvl w:val="0"/>
          <w:numId w:val="3"/>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《南京市建筑垃圾资源化利用管理办法》（2019年南京市第331号政府令）；</w:t>
      </w:r>
    </w:p>
    <w:p w14:paraId="0DF97190">
      <w:pPr>
        <w:numPr>
          <w:ilvl w:val="0"/>
          <w:numId w:val="3"/>
        </w:numPr>
        <w:ind w:firstLine="640" w:firstLineChars="200"/>
        <w:rPr>
          <w:rFonts w:cs="Times New Roman"/>
          <w:szCs w:val="28"/>
        </w:rPr>
      </w:pPr>
      <w:r>
        <w:rPr>
          <w:rFonts w:cs="Times New Roman"/>
          <w:szCs w:val="28"/>
        </w:rPr>
        <w:t>《南京市生活垃圾管理条例》（2020年7月31日江苏省第十三届人民代表大会常务委员会第十七次会议批准）。</w:t>
      </w:r>
    </w:p>
    <w:p w14:paraId="67E9C006">
      <w:pPr>
        <w:keepNext/>
        <w:keepLines/>
        <w:ind w:firstLine="640" w:firstLineChars="200"/>
        <w:outlineLvl w:val="2"/>
        <w:rPr>
          <w:rFonts w:ascii="方正黑体_GBK" w:eastAsia="方正黑体_GBK" w:cs="Times New Roman"/>
          <w:bCs/>
          <w:szCs w:val="28"/>
        </w:rPr>
      </w:pPr>
      <w:bookmarkStart w:id="7" w:name="_Toc129882906"/>
      <w:r>
        <w:rPr>
          <w:rFonts w:hint="eastAsia" w:ascii="方正黑体_GBK" w:eastAsia="方正黑体_GBK" w:cs="Times New Roman"/>
          <w:bCs/>
          <w:szCs w:val="28"/>
        </w:rPr>
        <w:t>二、国家规范性文件</w:t>
      </w:r>
      <w:bookmarkEnd w:id="7"/>
    </w:p>
    <w:p w14:paraId="517503CD">
      <w:pPr>
        <w:numPr>
          <w:ilvl w:val="0"/>
          <w:numId w:val="4"/>
        </w:numPr>
        <w:ind w:firstLine="640" w:firstLineChars="200"/>
        <w:rPr>
          <w:rFonts w:cs="Times New Roman"/>
          <w:szCs w:val="28"/>
        </w:rPr>
      </w:pPr>
      <w:r>
        <w:rPr>
          <w:rFonts w:cs="Times New Roman"/>
          <w:szCs w:val="28"/>
        </w:rPr>
        <w:t>《中共中央 国务院关于深入打好污染防治攻坚战的意见》（</w:t>
      </w:r>
      <w:r>
        <w:rPr>
          <w:rFonts w:hint="eastAsia" w:cs="Times New Roman"/>
          <w:szCs w:val="28"/>
        </w:rPr>
        <w:t>中发〔2021〕40号</w:t>
      </w:r>
      <w:r>
        <w:rPr>
          <w:rFonts w:cs="Times New Roman"/>
          <w:szCs w:val="28"/>
        </w:rPr>
        <w:t>）；</w:t>
      </w:r>
    </w:p>
    <w:p w14:paraId="1A28951F">
      <w:pPr>
        <w:numPr>
          <w:ilvl w:val="0"/>
          <w:numId w:val="4"/>
        </w:numPr>
        <w:ind w:firstLine="640" w:firstLineChars="200"/>
        <w:rPr>
          <w:rFonts w:cs="Times New Roman"/>
          <w:szCs w:val="28"/>
        </w:rPr>
      </w:pPr>
      <w:r>
        <w:rPr>
          <w:rFonts w:cs="Times New Roman"/>
          <w:szCs w:val="28"/>
        </w:rPr>
        <w:t>《中共中央 国务院关于完整准确全面贯彻新发展理念做好碳达峰碳中和工作的意见》（</w:t>
      </w:r>
      <w:r>
        <w:rPr>
          <w:rFonts w:hint="eastAsia" w:cs="Times New Roman"/>
          <w:szCs w:val="28"/>
        </w:rPr>
        <w:t>中发〔2021〕36号</w:t>
      </w:r>
      <w:r>
        <w:rPr>
          <w:rFonts w:cs="Times New Roman"/>
          <w:szCs w:val="28"/>
        </w:rPr>
        <w:t>）；</w:t>
      </w:r>
    </w:p>
    <w:p w14:paraId="35B36DC6">
      <w:pPr>
        <w:numPr>
          <w:ilvl w:val="0"/>
          <w:numId w:val="4"/>
        </w:numPr>
        <w:ind w:firstLine="640" w:firstLineChars="200"/>
        <w:rPr>
          <w:rFonts w:cs="Times New Roman"/>
          <w:szCs w:val="28"/>
        </w:rPr>
      </w:pPr>
      <w:r>
        <w:rPr>
          <w:rFonts w:cs="Times New Roman"/>
          <w:szCs w:val="28"/>
        </w:rPr>
        <w:t>《国务院关于加快建立健全绿色低碳循环发展经济体系的指导意见》（国发〔2021〕4号）；</w:t>
      </w:r>
    </w:p>
    <w:p w14:paraId="69640735">
      <w:pPr>
        <w:numPr>
          <w:ilvl w:val="0"/>
          <w:numId w:val="4"/>
        </w:numPr>
        <w:ind w:firstLine="640" w:firstLineChars="200"/>
        <w:rPr>
          <w:rFonts w:cs="Times New Roman"/>
          <w:szCs w:val="28"/>
        </w:rPr>
      </w:pPr>
      <w:r>
        <w:rPr>
          <w:rFonts w:cs="Times New Roman"/>
          <w:szCs w:val="28"/>
        </w:rPr>
        <w:t>《国务院关于印发2030年前碳达峰行动方案的通知》（国发〔2021〕23号）；</w:t>
      </w:r>
    </w:p>
    <w:p w14:paraId="39F94838">
      <w:pPr>
        <w:numPr>
          <w:ilvl w:val="0"/>
          <w:numId w:val="4"/>
        </w:numPr>
        <w:ind w:firstLine="640" w:firstLineChars="200"/>
        <w:rPr>
          <w:rFonts w:cs="Times New Roman"/>
          <w:szCs w:val="28"/>
        </w:rPr>
      </w:pPr>
      <w:r>
        <w:rPr>
          <w:rFonts w:cs="Times New Roman"/>
          <w:szCs w:val="28"/>
        </w:rPr>
        <w:t>《国务院关于印发</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节能减排综合工作方案的通知》（国发〔2021〕33号）；</w:t>
      </w:r>
    </w:p>
    <w:p w14:paraId="4F14B15D">
      <w:pPr>
        <w:numPr>
          <w:ilvl w:val="0"/>
          <w:numId w:val="4"/>
        </w:numPr>
        <w:ind w:firstLine="640" w:firstLineChars="200"/>
        <w:rPr>
          <w:rFonts w:cs="Times New Roman"/>
          <w:szCs w:val="28"/>
        </w:rPr>
      </w:pPr>
      <w:r>
        <w:rPr>
          <w:rFonts w:cs="Times New Roman"/>
          <w:szCs w:val="28"/>
        </w:rPr>
        <w:t>《国务院办公厅转发国家发展改革委等部门关于加快推进城镇环境基础设施建设指导意见的通知》（国办函〔2022〕7号）；</w:t>
      </w:r>
    </w:p>
    <w:p w14:paraId="68311265">
      <w:pPr>
        <w:numPr>
          <w:ilvl w:val="0"/>
          <w:numId w:val="4"/>
        </w:numPr>
        <w:ind w:firstLine="640" w:firstLineChars="200"/>
        <w:rPr>
          <w:rFonts w:cs="Times New Roman"/>
          <w:szCs w:val="28"/>
        </w:rPr>
      </w:pPr>
      <w:r>
        <w:rPr>
          <w:rFonts w:cs="Times New Roman"/>
          <w:szCs w:val="28"/>
        </w:rPr>
        <w:t>《国务院办公厅关于印发强化危险废物监管和利用处置能力改革实施方案的通知》（国办函〔2021〕47号）；</w:t>
      </w:r>
    </w:p>
    <w:p w14:paraId="66FE1931">
      <w:pPr>
        <w:numPr>
          <w:ilvl w:val="0"/>
          <w:numId w:val="4"/>
        </w:numPr>
        <w:ind w:firstLine="640" w:firstLineChars="200"/>
        <w:rPr>
          <w:rFonts w:cs="Times New Roman"/>
          <w:szCs w:val="28"/>
        </w:rPr>
      </w:pPr>
      <w:r>
        <w:rPr>
          <w:rFonts w:cs="Times New Roman"/>
          <w:szCs w:val="28"/>
        </w:rPr>
        <w:t>《国家发展改革委 住房城乡建设部关于印发</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城镇生活垃圾分类和处理设施发展规划</w:t>
      </w:r>
      <w:r>
        <w:rPr>
          <w:rFonts w:hint="eastAsia" w:cs="Times New Roman"/>
          <w:szCs w:val="28"/>
        </w:rPr>
        <w:t>〉</w:t>
      </w:r>
      <w:r>
        <w:rPr>
          <w:rFonts w:cs="Times New Roman"/>
          <w:szCs w:val="28"/>
        </w:rPr>
        <w:t>的通知》（发改环资〔2021〕642号）；</w:t>
      </w:r>
    </w:p>
    <w:p w14:paraId="01B7E334">
      <w:pPr>
        <w:numPr>
          <w:ilvl w:val="0"/>
          <w:numId w:val="4"/>
        </w:numPr>
        <w:ind w:firstLine="640" w:firstLineChars="200"/>
        <w:rPr>
          <w:rFonts w:cs="Times New Roman"/>
          <w:szCs w:val="28"/>
        </w:rPr>
      </w:pPr>
      <w:r>
        <w:rPr>
          <w:rFonts w:cs="Times New Roman"/>
          <w:szCs w:val="28"/>
        </w:rPr>
        <w:t>《国家发展改革委 生态环境部</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塑料污染治理行动方案》（发改环资〔2021〕1298号）；</w:t>
      </w:r>
    </w:p>
    <w:p w14:paraId="55B599CF">
      <w:pPr>
        <w:numPr>
          <w:ilvl w:val="0"/>
          <w:numId w:val="4"/>
        </w:numPr>
        <w:ind w:firstLine="640" w:firstLineChars="200"/>
        <w:rPr>
          <w:rFonts w:cs="Times New Roman"/>
          <w:szCs w:val="28"/>
        </w:rPr>
      </w:pPr>
      <w:r>
        <w:rPr>
          <w:rFonts w:cs="Times New Roman"/>
          <w:szCs w:val="28"/>
        </w:rPr>
        <w:t>《国家发展改革委 住房城乡建设部 生态环境部关于印发</w:t>
      </w:r>
      <w:r>
        <w:rPr>
          <w:rFonts w:hint="eastAsia" w:cs="Times New Roman"/>
          <w:szCs w:val="28"/>
        </w:rPr>
        <w:t>〈</w:t>
      </w:r>
      <w:r>
        <w:rPr>
          <w:rFonts w:cs="Times New Roman"/>
          <w:szCs w:val="28"/>
        </w:rPr>
        <w:t>污泥无害化处理和资源化利用实施方案</w:t>
      </w:r>
      <w:r>
        <w:rPr>
          <w:rFonts w:hint="eastAsia" w:cs="Times New Roman"/>
          <w:szCs w:val="28"/>
        </w:rPr>
        <w:t>〉</w:t>
      </w:r>
      <w:r>
        <w:rPr>
          <w:rFonts w:cs="Times New Roman"/>
          <w:szCs w:val="28"/>
        </w:rPr>
        <w:t>的通知》（发改环资〔2022〕1453号）；</w:t>
      </w:r>
    </w:p>
    <w:p w14:paraId="0ED781BB">
      <w:pPr>
        <w:numPr>
          <w:ilvl w:val="0"/>
          <w:numId w:val="4"/>
        </w:numPr>
        <w:ind w:firstLine="640" w:firstLineChars="200"/>
        <w:rPr>
          <w:rFonts w:cs="Times New Roman"/>
          <w:szCs w:val="28"/>
        </w:rPr>
      </w:pPr>
      <w:r>
        <w:rPr>
          <w:rFonts w:cs="Times New Roman"/>
          <w:szCs w:val="28"/>
        </w:rPr>
        <w:t>《国家发展改革委等部门关于加快废旧物资循环利用体系建设的指导意见》（发改办环资〔2022〕109号）；</w:t>
      </w:r>
    </w:p>
    <w:p w14:paraId="45F271D4">
      <w:pPr>
        <w:numPr>
          <w:ilvl w:val="0"/>
          <w:numId w:val="4"/>
        </w:numPr>
        <w:ind w:firstLine="640" w:firstLineChars="200"/>
        <w:rPr>
          <w:rFonts w:cs="Times New Roman"/>
          <w:szCs w:val="28"/>
        </w:rPr>
      </w:pPr>
      <w:r>
        <w:rPr>
          <w:rFonts w:cs="Times New Roman"/>
          <w:szCs w:val="28"/>
        </w:rPr>
        <w:t>《关于江河湖海清漂专项行动方案的通知》（发改办环资〔2022〕441号）；</w:t>
      </w:r>
    </w:p>
    <w:p w14:paraId="7722051F">
      <w:pPr>
        <w:numPr>
          <w:ilvl w:val="0"/>
          <w:numId w:val="4"/>
        </w:numPr>
        <w:ind w:firstLine="640" w:firstLineChars="200"/>
        <w:rPr>
          <w:rFonts w:cs="Times New Roman"/>
          <w:szCs w:val="28"/>
        </w:rPr>
      </w:pPr>
      <w:r>
        <w:rPr>
          <w:rFonts w:cs="Times New Roman"/>
          <w:szCs w:val="28"/>
        </w:rPr>
        <w:t>《关于印发</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时期</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建设工作方案</w:t>
      </w:r>
      <w:r>
        <w:rPr>
          <w:rFonts w:hint="eastAsia" w:cs="Times New Roman"/>
          <w:szCs w:val="28"/>
        </w:rPr>
        <w:t>〉</w:t>
      </w:r>
      <w:r>
        <w:rPr>
          <w:rFonts w:cs="Times New Roman"/>
          <w:szCs w:val="28"/>
        </w:rPr>
        <w:t>的通知》（环固体〔2021〕114号）；</w:t>
      </w:r>
    </w:p>
    <w:p w14:paraId="45C1575B">
      <w:pPr>
        <w:numPr>
          <w:ilvl w:val="0"/>
          <w:numId w:val="4"/>
        </w:numPr>
        <w:ind w:firstLine="640" w:firstLineChars="200"/>
        <w:rPr>
          <w:rFonts w:cs="Times New Roman"/>
          <w:szCs w:val="28"/>
        </w:rPr>
      </w:pPr>
      <w:r>
        <w:rPr>
          <w:rFonts w:cs="Times New Roman"/>
          <w:szCs w:val="28"/>
        </w:rPr>
        <w:t>《关于提升危险废物环境监管能力、利用处置能力和环境风险防范能力的指导意见》（环固体〔2019〕92号）；</w:t>
      </w:r>
    </w:p>
    <w:p w14:paraId="1CE75EBB">
      <w:pPr>
        <w:numPr>
          <w:ilvl w:val="0"/>
          <w:numId w:val="4"/>
        </w:numPr>
        <w:ind w:firstLine="640" w:firstLineChars="200"/>
        <w:rPr>
          <w:rFonts w:cs="Times New Roman"/>
          <w:szCs w:val="28"/>
        </w:rPr>
      </w:pPr>
      <w:r>
        <w:rPr>
          <w:rFonts w:cs="Times New Roman"/>
          <w:szCs w:val="28"/>
        </w:rPr>
        <w:t>《关于印发</w:t>
      </w:r>
      <w:r>
        <w:rPr>
          <w:rFonts w:hint="eastAsia" w:cs="Times New Roman"/>
          <w:szCs w:val="28"/>
        </w:rPr>
        <w:t>〈</w:t>
      </w:r>
      <w:r>
        <w:rPr>
          <w:rFonts w:cs="Times New Roman"/>
          <w:szCs w:val="28"/>
        </w:rPr>
        <w:t>减污降碳协同增效实施方案</w:t>
      </w:r>
      <w:r>
        <w:rPr>
          <w:rFonts w:hint="eastAsia" w:cs="Times New Roman"/>
          <w:szCs w:val="28"/>
        </w:rPr>
        <w:t>〉</w:t>
      </w:r>
      <w:r>
        <w:rPr>
          <w:rFonts w:cs="Times New Roman"/>
          <w:szCs w:val="28"/>
        </w:rPr>
        <w:t>的通知》（环综合〔2022〕42号）；</w:t>
      </w:r>
    </w:p>
    <w:p w14:paraId="4FF0A047">
      <w:pPr>
        <w:numPr>
          <w:ilvl w:val="0"/>
          <w:numId w:val="4"/>
        </w:numPr>
        <w:ind w:firstLine="640" w:firstLineChars="200"/>
        <w:rPr>
          <w:rFonts w:cs="Times New Roman"/>
          <w:szCs w:val="28"/>
        </w:rPr>
      </w:pPr>
      <w:r>
        <w:rPr>
          <w:rFonts w:cs="Times New Roman"/>
          <w:szCs w:val="28"/>
        </w:rPr>
        <w:t>《关于坚决遏制固体废物非法转移和倾倒进一步加强危险废物全过程监管的通知》（环办土壤函〔2018〕266号）；</w:t>
      </w:r>
    </w:p>
    <w:p w14:paraId="204B0EB8">
      <w:pPr>
        <w:numPr>
          <w:ilvl w:val="0"/>
          <w:numId w:val="4"/>
        </w:numPr>
        <w:ind w:firstLine="640" w:firstLineChars="200"/>
        <w:rPr>
          <w:rFonts w:cs="Times New Roman"/>
          <w:szCs w:val="28"/>
        </w:rPr>
      </w:pPr>
      <w:r>
        <w:rPr>
          <w:rFonts w:cs="Times New Roman"/>
          <w:szCs w:val="28"/>
        </w:rPr>
        <w:t>《工业固体废物资源综合利用评价管理暂行办法》（工信部公告2018年第26号）；</w:t>
      </w:r>
    </w:p>
    <w:p w14:paraId="01EB9061">
      <w:pPr>
        <w:numPr>
          <w:ilvl w:val="0"/>
          <w:numId w:val="4"/>
        </w:numPr>
        <w:ind w:firstLine="640" w:firstLineChars="200"/>
        <w:rPr>
          <w:rFonts w:cs="Times New Roman"/>
          <w:szCs w:val="28"/>
        </w:rPr>
      </w:pPr>
      <w:r>
        <w:rPr>
          <w:rFonts w:cs="Times New Roman"/>
          <w:szCs w:val="28"/>
        </w:rPr>
        <w:t>《住房和城乡建设部等部门印发</w:t>
      </w:r>
      <w:r>
        <w:rPr>
          <w:rFonts w:hint="eastAsia" w:cs="Times New Roman"/>
          <w:szCs w:val="28"/>
        </w:rPr>
        <w:t>〈</w:t>
      </w:r>
      <w:r>
        <w:rPr>
          <w:rFonts w:cs="Times New Roman"/>
          <w:szCs w:val="28"/>
        </w:rPr>
        <w:t>关于进一步推进生活垃圾分类工作的若干意见</w:t>
      </w:r>
      <w:r>
        <w:rPr>
          <w:rFonts w:hint="eastAsia" w:cs="Times New Roman"/>
          <w:szCs w:val="28"/>
        </w:rPr>
        <w:t>〉</w:t>
      </w:r>
      <w:r>
        <w:rPr>
          <w:rFonts w:cs="Times New Roman"/>
          <w:szCs w:val="28"/>
        </w:rPr>
        <w:t>的通知》（建城〔2020〕93号）；</w:t>
      </w:r>
    </w:p>
    <w:p w14:paraId="580486A8">
      <w:pPr>
        <w:numPr>
          <w:ilvl w:val="0"/>
          <w:numId w:val="4"/>
        </w:numPr>
        <w:ind w:firstLine="640" w:firstLineChars="200"/>
        <w:rPr>
          <w:rFonts w:cs="Times New Roman"/>
          <w:szCs w:val="28"/>
        </w:rPr>
      </w:pPr>
      <w:r>
        <w:rPr>
          <w:rFonts w:cs="Times New Roman"/>
          <w:szCs w:val="28"/>
        </w:rPr>
        <w:t>《住房和城乡建设部关于推进建筑垃圾减量化的指导意见》（建质〔2020〕46号）；</w:t>
      </w:r>
    </w:p>
    <w:p w14:paraId="6D3302C6">
      <w:pPr>
        <w:numPr>
          <w:ilvl w:val="0"/>
          <w:numId w:val="4"/>
        </w:numPr>
        <w:ind w:firstLine="640" w:firstLineChars="200"/>
        <w:rPr>
          <w:rFonts w:cs="Times New Roman"/>
          <w:szCs w:val="28"/>
        </w:rPr>
      </w:pPr>
      <w:r>
        <w:rPr>
          <w:rFonts w:cs="Times New Roman"/>
          <w:szCs w:val="28"/>
        </w:rPr>
        <w:t>《住房和城乡建设部办公厅关于印发施工现场建筑垃圾减量化指导手册（试行）的通知》（建办质〔2020〕20号）；</w:t>
      </w:r>
    </w:p>
    <w:p w14:paraId="7F262288">
      <w:pPr>
        <w:numPr>
          <w:ilvl w:val="0"/>
          <w:numId w:val="4"/>
        </w:numPr>
        <w:ind w:firstLine="640" w:firstLineChars="200"/>
        <w:rPr>
          <w:rFonts w:cs="Times New Roman"/>
          <w:szCs w:val="28"/>
        </w:rPr>
      </w:pPr>
      <w:r>
        <w:rPr>
          <w:rFonts w:cs="Times New Roman"/>
          <w:szCs w:val="28"/>
        </w:rPr>
        <w:t>《关于印发医疗机构废弃物综合治理工作方案的通知》（国卫医发〔2020〕3号）；</w:t>
      </w:r>
    </w:p>
    <w:p w14:paraId="67122DE2">
      <w:pPr>
        <w:numPr>
          <w:ilvl w:val="0"/>
          <w:numId w:val="4"/>
        </w:numPr>
        <w:ind w:firstLine="640" w:firstLineChars="200"/>
        <w:rPr>
          <w:rFonts w:cs="Times New Roman"/>
          <w:szCs w:val="28"/>
        </w:rPr>
      </w:pPr>
      <w:r>
        <w:rPr>
          <w:rFonts w:cs="Times New Roman"/>
          <w:szCs w:val="28"/>
        </w:rPr>
        <w:t>《关于在医疗机构推进生活垃圾分类管理的通知》（国卫办医发〔2017〕30号）。</w:t>
      </w:r>
    </w:p>
    <w:p w14:paraId="2B8BCC5D">
      <w:pPr>
        <w:keepNext/>
        <w:keepLines/>
        <w:ind w:firstLine="640" w:firstLineChars="200"/>
        <w:outlineLvl w:val="2"/>
        <w:rPr>
          <w:rFonts w:ascii="方正黑体_GBK" w:eastAsia="方正黑体_GBK" w:cs="Times New Roman"/>
          <w:bCs/>
          <w:szCs w:val="28"/>
        </w:rPr>
      </w:pPr>
      <w:bookmarkStart w:id="8" w:name="_Toc129882907"/>
      <w:r>
        <w:rPr>
          <w:rFonts w:hint="eastAsia" w:ascii="方正黑体_GBK" w:eastAsia="方正黑体_GBK" w:cs="Times New Roman"/>
          <w:bCs/>
          <w:szCs w:val="28"/>
        </w:rPr>
        <w:t>三、地方规范性文件</w:t>
      </w:r>
      <w:bookmarkEnd w:id="8"/>
    </w:p>
    <w:p w14:paraId="2EF4EC25">
      <w:pPr>
        <w:numPr>
          <w:ilvl w:val="0"/>
          <w:numId w:val="5"/>
        </w:numPr>
        <w:ind w:firstLine="640" w:firstLineChars="200"/>
        <w:rPr>
          <w:rFonts w:cs="Times New Roman"/>
          <w:szCs w:val="28"/>
        </w:rPr>
      </w:pPr>
      <w:r>
        <w:rPr>
          <w:rFonts w:cs="Times New Roman"/>
          <w:szCs w:val="28"/>
        </w:rPr>
        <w:t>《中共江苏省委 江苏省人民政府关于深入推进美丽江苏建设的意见》（</w:t>
      </w:r>
      <w:r>
        <w:rPr>
          <w:rFonts w:hint="eastAsia" w:cs="Times New Roman"/>
          <w:szCs w:val="28"/>
        </w:rPr>
        <w:t>苏发〔2020〕15号)</w:t>
      </w:r>
      <w:r>
        <w:rPr>
          <w:rFonts w:cs="Times New Roman"/>
          <w:szCs w:val="28"/>
        </w:rPr>
        <w:t>）；</w:t>
      </w:r>
    </w:p>
    <w:p w14:paraId="6AE2DF42">
      <w:pPr>
        <w:numPr>
          <w:ilvl w:val="0"/>
          <w:numId w:val="5"/>
        </w:numPr>
        <w:ind w:firstLine="640" w:firstLineChars="200"/>
        <w:rPr>
          <w:rFonts w:cs="Times New Roman"/>
          <w:szCs w:val="28"/>
        </w:rPr>
      </w:pPr>
      <w:r>
        <w:rPr>
          <w:rFonts w:cs="Times New Roman"/>
        </w:rPr>
        <w:t>《中共江苏省委江苏省人民政府 关于深入打好污染防治攻坚战的实施意见》（</w:t>
      </w:r>
      <w:r>
        <w:rPr>
          <w:rFonts w:hint="eastAsia" w:cs="Times New Roman"/>
        </w:rPr>
        <w:t>苏发﹝2022﹞3号</w:t>
      </w:r>
      <w:r>
        <w:rPr>
          <w:rFonts w:cs="Times New Roman"/>
        </w:rPr>
        <w:t>）；</w:t>
      </w:r>
    </w:p>
    <w:p w14:paraId="6BE7C817">
      <w:pPr>
        <w:numPr>
          <w:ilvl w:val="0"/>
          <w:numId w:val="5"/>
        </w:numPr>
        <w:ind w:firstLine="640" w:firstLineChars="200"/>
        <w:rPr>
          <w:rFonts w:cs="Times New Roman"/>
          <w:szCs w:val="28"/>
        </w:rPr>
      </w:pPr>
      <w:r>
        <w:rPr>
          <w:rFonts w:cs="Times New Roman"/>
          <w:szCs w:val="28"/>
        </w:rPr>
        <w:t>《省政府关于加快建立健全绿色低碳循环发展经济体系的实施意见》（苏政发〔2022〕8号）；</w:t>
      </w:r>
    </w:p>
    <w:p w14:paraId="1736490C">
      <w:pPr>
        <w:numPr>
          <w:ilvl w:val="0"/>
          <w:numId w:val="5"/>
        </w:numPr>
        <w:ind w:firstLine="640" w:firstLineChars="200"/>
        <w:rPr>
          <w:rFonts w:cs="Times New Roman"/>
          <w:szCs w:val="28"/>
        </w:rPr>
      </w:pPr>
      <w:r>
        <w:rPr>
          <w:rFonts w:cs="Times New Roman"/>
          <w:szCs w:val="28"/>
        </w:rPr>
        <w:t>《省政府关于推进绿色产业发展的意见》（苏政发〔2020〕28号）；</w:t>
      </w:r>
    </w:p>
    <w:p w14:paraId="668A69D0">
      <w:pPr>
        <w:numPr>
          <w:ilvl w:val="0"/>
          <w:numId w:val="5"/>
        </w:numPr>
        <w:ind w:firstLine="640" w:firstLineChars="200"/>
        <w:rPr>
          <w:rFonts w:cs="Times New Roman"/>
          <w:szCs w:val="28"/>
        </w:rPr>
      </w:pPr>
      <w:r>
        <w:rPr>
          <w:rFonts w:cs="Times New Roman"/>
          <w:szCs w:val="28"/>
        </w:rPr>
        <w:t>《省政府办公厅关于印发江苏省全域</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建设工作方案的通知》（苏政办发〔2022〕2号）；</w:t>
      </w:r>
    </w:p>
    <w:p w14:paraId="596D7BF2">
      <w:pPr>
        <w:numPr>
          <w:ilvl w:val="0"/>
          <w:numId w:val="5"/>
        </w:numPr>
        <w:ind w:firstLine="640" w:firstLineChars="200"/>
        <w:rPr>
          <w:rFonts w:cs="Times New Roman"/>
          <w:szCs w:val="28"/>
        </w:rPr>
      </w:pPr>
      <w:r>
        <w:rPr>
          <w:rFonts w:cs="Times New Roman"/>
          <w:szCs w:val="28"/>
        </w:rPr>
        <w:t>《省生态环境厅关于印发</w:t>
      </w:r>
      <w:r>
        <w:rPr>
          <w:rFonts w:hint="eastAsia" w:cs="Times New Roman"/>
          <w:szCs w:val="28"/>
        </w:rPr>
        <w:t>〈</w:t>
      </w:r>
      <w:r>
        <w:rPr>
          <w:rFonts w:cs="Times New Roman"/>
          <w:szCs w:val="28"/>
        </w:rPr>
        <w:t>江苏省危险废物集中收集体系建设工作方案（试行</w:t>
      </w:r>
      <w:r>
        <w:rPr>
          <w:rFonts w:hint="eastAsia" w:cs="Times New Roman"/>
          <w:szCs w:val="28"/>
        </w:rPr>
        <w:t>）〉</w:t>
      </w:r>
      <w:r>
        <w:rPr>
          <w:rFonts w:cs="Times New Roman"/>
          <w:szCs w:val="28"/>
        </w:rPr>
        <w:t>的通知》（苏环办〔2021〕290号）；</w:t>
      </w:r>
    </w:p>
    <w:p w14:paraId="0CAD32C2">
      <w:pPr>
        <w:numPr>
          <w:ilvl w:val="0"/>
          <w:numId w:val="5"/>
        </w:numPr>
        <w:ind w:firstLine="640" w:firstLineChars="200"/>
        <w:rPr>
          <w:rFonts w:cs="Times New Roman"/>
          <w:szCs w:val="28"/>
        </w:rPr>
      </w:pPr>
      <w:r>
        <w:rPr>
          <w:rFonts w:cs="Times New Roman"/>
          <w:szCs w:val="28"/>
        </w:rPr>
        <w:t>《省生态环境厅关于进一步加强危险废物污染防治工作的实施意见》（苏环办〔2019〕327号）；</w:t>
      </w:r>
    </w:p>
    <w:p w14:paraId="57D8B03F">
      <w:pPr>
        <w:numPr>
          <w:ilvl w:val="0"/>
          <w:numId w:val="5"/>
        </w:numPr>
        <w:ind w:firstLine="640" w:firstLineChars="200"/>
        <w:rPr>
          <w:rFonts w:cs="Times New Roman"/>
          <w:szCs w:val="28"/>
        </w:rPr>
      </w:pPr>
      <w:r>
        <w:rPr>
          <w:rFonts w:cs="Times New Roman"/>
          <w:szCs w:val="28"/>
        </w:rPr>
        <w:t>《关于印发</w:t>
      </w:r>
      <w:r>
        <w:rPr>
          <w:rFonts w:hint="eastAsia" w:cs="Times New Roman"/>
          <w:szCs w:val="28"/>
        </w:rPr>
        <w:t>〈</w:t>
      </w:r>
      <w:r>
        <w:rPr>
          <w:rFonts w:cs="Times New Roman"/>
          <w:szCs w:val="28"/>
        </w:rPr>
        <w:t>江苏省工业固体废物资源综合利用评价管理实施细则（暂行</w:t>
      </w:r>
      <w:r>
        <w:rPr>
          <w:rFonts w:hint="eastAsia" w:cs="Times New Roman"/>
          <w:szCs w:val="28"/>
        </w:rPr>
        <w:t>）〉</w:t>
      </w:r>
      <w:r>
        <w:rPr>
          <w:rFonts w:cs="Times New Roman"/>
          <w:szCs w:val="28"/>
        </w:rPr>
        <w:t>的通知》（苏经信规〔2018〕3号）；</w:t>
      </w:r>
    </w:p>
    <w:p w14:paraId="428388EA">
      <w:pPr>
        <w:numPr>
          <w:ilvl w:val="0"/>
          <w:numId w:val="5"/>
        </w:numPr>
        <w:ind w:firstLine="640" w:firstLineChars="200"/>
        <w:rPr>
          <w:rFonts w:cs="Times New Roman"/>
          <w:szCs w:val="28"/>
        </w:rPr>
      </w:pPr>
      <w:r>
        <w:rPr>
          <w:rFonts w:cs="Times New Roman"/>
          <w:szCs w:val="28"/>
        </w:rPr>
        <w:t>《江苏省生态环境厅 江苏省地方金融监督管理局 江苏省财政厅等七部门关于印发</w:t>
      </w:r>
      <w:r>
        <w:rPr>
          <w:rFonts w:hint="eastAsia" w:cs="Times New Roman"/>
          <w:szCs w:val="28"/>
        </w:rPr>
        <w:t>〈</w:t>
      </w:r>
      <w:r>
        <w:rPr>
          <w:rFonts w:cs="Times New Roman"/>
          <w:szCs w:val="28"/>
        </w:rPr>
        <w:t>江苏省绿色债券贴息政策实施细则（试行）</w:t>
      </w:r>
      <w:r>
        <w:rPr>
          <w:rFonts w:hint="eastAsia" w:cs="Times New Roman"/>
          <w:szCs w:val="28"/>
        </w:rPr>
        <w:t>〉</w:t>
      </w:r>
      <w:r>
        <w:rPr>
          <w:rFonts w:cs="Times New Roman"/>
          <w:szCs w:val="28"/>
        </w:rPr>
        <w:t>等4个文件的通知》（苏环办〔2019〕264号）；</w:t>
      </w:r>
    </w:p>
    <w:p w14:paraId="10AA8AB2">
      <w:pPr>
        <w:numPr>
          <w:ilvl w:val="0"/>
          <w:numId w:val="5"/>
        </w:numPr>
        <w:ind w:firstLine="640" w:firstLineChars="200"/>
        <w:rPr>
          <w:rFonts w:cs="Times New Roman"/>
          <w:szCs w:val="28"/>
        </w:rPr>
      </w:pPr>
      <w:r>
        <w:rPr>
          <w:rFonts w:cs="Times New Roman"/>
          <w:szCs w:val="28"/>
        </w:rPr>
        <w:t>《省住房和城乡建设厅关于推进建筑垃圾减量化的指导意见》（苏建质安〔2020〕151号）；</w:t>
      </w:r>
    </w:p>
    <w:p w14:paraId="04687A17">
      <w:pPr>
        <w:numPr>
          <w:ilvl w:val="0"/>
          <w:numId w:val="5"/>
        </w:numPr>
        <w:ind w:firstLine="640" w:firstLineChars="200"/>
        <w:rPr>
          <w:rFonts w:cs="Times New Roman"/>
          <w:szCs w:val="28"/>
        </w:rPr>
      </w:pPr>
      <w:r>
        <w:rPr>
          <w:rFonts w:cs="Times New Roman"/>
          <w:szCs w:val="28"/>
        </w:rPr>
        <w:t>《省住房和城乡建设厅等部门印发</w:t>
      </w:r>
      <w:r>
        <w:rPr>
          <w:rFonts w:hint="eastAsia" w:cs="Times New Roman"/>
          <w:szCs w:val="28"/>
        </w:rPr>
        <w:t>〈</w:t>
      </w:r>
      <w:r>
        <w:rPr>
          <w:rFonts w:cs="Times New Roman"/>
          <w:szCs w:val="28"/>
        </w:rPr>
        <w:t>关于进一步推进城乡生活垃圾分类工作的实施意见</w:t>
      </w:r>
      <w:r>
        <w:rPr>
          <w:rFonts w:hint="eastAsia" w:cs="Times New Roman"/>
          <w:szCs w:val="28"/>
        </w:rPr>
        <w:t>〉</w:t>
      </w:r>
      <w:r>
        <w:rPr>
          <w:rFonts w:cs="Times New Roman"/>
          <w:szCs w:val="28"/>
        </w:rPr>
        <w:t>的通知》（苏建城管〔2021〕1152号）；</w:t>
      </w:r>
    </w:p>
    <w:p w14:paraId="68928F84">
      <w:pPr>
        <w:numPr>
          <w:ilvl w:val="0"/>
          <w:numId w:val="5"/>
        </w:numPr>
        <w:ind w:firstLine="640" w:firstLineChars="200"/>
        <w:rPr>
          <w:rFonts w:cs="Times New Roman"/>
          <w:szCs w:val="28"/>
        </w:rPr>
      </w:pPr>
      <w:r>
        <w:rPr>
          <w:rFonts w:cs="Times New Roman"/>
          <w:szCs w:val="28"/>
        </w:rPr>
        <w:t>《关于报送</w:t>
      </w:r>
      <w:r>
        <w:rPr>
          <w:rFonts w:hint="eastAsia" w:cs="Times New Roman"/>
          <w:szCs w:val="28"/>
        </w:rPr>
        <w:t>〈</w:t>
      </w:r>
      <w:r>
        <w:rPr>
          <w:rFonts w:cs="Times New Roman"/>
          <w:szCs w:val="28"/>
        </w:rPr>
        <w:t>我市持续改善生态环境的制度设计和政策安排</w:t>
      </w:r>
      <w:r>
        <w:rPr>
          <w:rFonts w:hint="eastAsia" w:cs="Times New Roman"/>
          <w:szCs w:val="28"/>
        </w:rPr>
        <w:t>——</w:t>
      </w:r>
      <w:r>
        <w:rPr>
          <w:rFonts w:cs="Times New Roman"/>
          <w:szCs w:val="28"/>
        </w:rPr>
        <w:t>治土篇建议案</w:t>
      </w:r>
      <w:r>
        <w:rPr>
          <w:rFonts w:hint="eastAsia" w:cs="Times New Roman"/>
          <w:szCs w:val="28"/>
        </w:rPr>
        <w:t>〉</w:t>
      </w:r>
      <w:r>
        <w:rPr>
          <w:rFonts w:cs="Times New Roman"/>
          <w:szCs w:val="28"/>
        </w:rPr>
        <w:t>的报告》（宁政协发〔2020〕11号）；</w:t>
      </w:r>
    </w:p>
    <w:p w14:paraId="7F8A5C78">
      <w:pPr>
        <w:numPr>
          <w:ilvl w:val="0"/>
          <w:numId w:val="5"/>
        </w:numPr>
        <w:ind w:firstLine="640" w:firstLineChars="200"/>
        <w:rPr>
          <w:rFonts w:cs="Times New Roman"/>
          <w:szCs w:val="28"/>
        </w:rPr>
      </w:pPr>
      <w:r>
        <w:rPr>
          <w:rFonts w:cs="Times New Roman"/>
          <w:szCs w:val="28"/>
        </w:rPr>
        <w:t>《市政府办公厅关于印发南京市</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建设工作方案的通知》（宁政办发〔2022〕8号）；</w:t>
      </w:r>
    </w:p>
    <w:p w14:paraId="5ABB5A32">
      <w:pPr>
        <w:numPr>
          <w:ilvl w:val="0"/>
          <w:numId w:val="5"/>
        </w:numPr>
        <w:ind w:firstLine="640" w:firstLineChars="200"/>
        <w:rPr>
          <w:rFonts w:cs="Times New Roman"/>
          <w:szCs w:val="28"/>
        </w:rPr>
      </w:pPr>
      <w:r>
        <w:rPr>
          <w:rFonts w:cs="Times New Roman"/>
          <w:szCs w:val="28"/>
        </w:rPr>
        <w:t>《市政府办公厅关于印发南京市全面推进生活垃圾强制分类工作方案的通知》（宁政办发〔2020〕29号）；</w:t>
      </w:r>
    </w:p>
    <w:p w14:paraId="2766F18F">
      <w:pPr>
        <w:numPr>
          <w:ilvl w:val="0"/>
          <w:numId w:val="5"/>
        </w:numPr>
        <w:ind w:firstLine="640" w:firstLineChars="200"/>
        <w:rPr>
          <w:rFonts w:cs="Times New Roman"/>
          <w:szCs w:val="28"/>
        </w:rPr>
      </w:pPr>
      <w:r>
        <w:rPr>
          <w:rFonts w:cs="Times New Roman"/>
          <w:szCs w:val="28"/>
        </w:rPr>
        <w:t>《市政府办公厅关于印发南京市打好固废治理攻坚战实施方案的通知》（宁政办发〔2019〕14号）；</w:t>
      </w:r>
    </w:p>
    <w:p w14:paraId="1A8DBAE2">
      <w:pPr>
        <w:numPr>
          <w:ilvl w:val="0"/>
          <w:numId w:val="5"/>
        </w:numPr>
        <w:ind w:firstLine="640" w:firstLineChars="200"/>
        <w:rPr>
          <w:rFonts w:cs="Times New Roman"/>
          <w:szCs w:val="28"/>
        </w:rPr>
      </w:pPr>
      <w:r>
        <w:rPr>
          <w:rFonts w:cs="Times New Roman"/>
          <w:szCs w:val="28"/>
        </w:rPr>
        <w:t>《市政府办公厅关于促进建筑垃圾资源化利用的实施意见（试行）》（宁政办发〔2019〕24号）；</w:t>
      </w:r>
    </w:p>
    <w:p w14:paraId="37CD6648">
      <w:pPr>
        <w:numPr>
          <w:ilvl w:val="0"/>
          <w:numId w:val="5"/>
        </w:numPr>
        <w:ind w:firstLine="640" w:firstLineChars="200"/>
        <w:rPr>
          <w:rFonts w:cs="Times New Roman"/>
          <w:szCs w:val="28"/>
        </w:rPr>
      </w:pPr>
      <w:r>
        <w:rPr>
          <w:rFonts w:cs="Times New Roman"/>
          <w:szCs w:val="28"/>
        </w:rPr>
        <w:t>《关于印发</w:t>
      </w:r>
      <w:r>
        <w:rPr>
          <w:rFonts w:hint="eastAsia" w:cs="Times New Roman"/>
          <w:szCs w:val="28"/>
        </w:rPr>
        <w:t>〈</w:t>
      </w:r>
      <w:r>
        <w:rPr>
          <w:rFonts w:cs="Times New Roman"/>
          <w:szCs w:val="28"/>
        </w:rPr>
        <w:t>持续提升我市固体废物综合治理能力的实施方案</w:t>
      </w:r>
      <w:r>
        <w:rPr>
          <w:rFonts w:hint="eastAsia" w:cs="Times New Roman"/>
          <w:szCs w:val="28"/>
        </w:rPr>
        <w:t>〉</w:t>
      </w:r>
      <w:r>
        <w:rPr>
          <w:rFonts w:cs="Times New Roman"/>
          <w:szCs w:val="28"/>
        </w:rPr>
        <w:t>的通知》（宁污防攻坚指办〔2020〕114号）；</w:t>
      </w:r>
    </w:p>
    <w:p w14:paraId="63BF0F27">
      <w:pPr>
        <w:numPr>
          <w:ilvl w:val="0"/>
          <w:numId w:val="5"/>
        </w:numPr>
        <w:ind w:firstLine="640" w:firstLineChars="200"/>
        <w:rPr>
          <w:rFonts w:cs="Times New Roman"/>
          <w:szCs w:val="28"/>
        </w:rPr>
      </w:pPr>
      <w:r>
        <w:rPr>
          <w:rFonts w:cs="Times New Roman"/>
          <w:szCs w:val="28"/>
        </w:rPr>
        <w:t>《关于印发</w:t>
      </w:r>
      <w:r>
        <w:rPr>
          <w:rFonts w:hint="eastAsia" w:cs="Times New Roman"/>
          <w:szCs w:val="28"/>
        </w:rPr>
        <w:t>〈</w:t>
      </w:r>
      <w:r>
        <w:rPr>
          <w:rFonts w:cs="Times New Roman"/>
          <w:szCs w:val="28"/>
        </w:rPr>
        <w:t>玄武区</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建设工作方案</w:t>
      </w:r>
      <w:r>
        <w:rPr>
          <w:rFonts w:hint="eastAsia" w:cs="Times New Roman"/>
          <w:szCs w:val="28"/>
        </w:rPr>
        <w:t>〉</w:t>
      </w:r>
      <w:r>
        <w:rPr>
          <w:rFonts w:cs="Times New Roman"/>
          <w:szCs w:val="28"/>
        </w:rPr>
        <w:t>的通知》（玄政办〔2022〕25号）；</w:t>
      </w:r>
    </w:p>
    <w:p w14:paraId="770761CF">
      <w:pPr>
        <w:numPr>
          <w:ilvl w:val="0"/>
          <w:numId w:val="5"/>
        </w:numPr>
        <w:ind w:firstLine="640" w:firstLineChars="200"/>
        <w:rPr>
          <w:rFonts w:cs="Times New Roman"/>
          <w:szCs w:val="28"/>
        </w:rPr>
      </w:pPr>
      <w:r>
        <w:rPr>
          <w:rFonts w:cs="Times New Roman"/>
          <w:szCs w:val="28"/>
        </w:rPr>
        <w:t>《关于印发</w:t>
      </w:r>
      <w:r>
        <w:rPr>
          <w:rFonts w:hint="eastAsia" w:cs="Times New Roman"/>
          <w:szCs w:val="28"/>
        </w:rPr>
        <w:t>〈</w:t>
      </w:r>
      <w:r>
        <w:rPr>
          <w:rFonts w:cs="Times New Roman"/>
          <w:szCs w:val="28"/>
        </w:rPr>
        <w:t>玄武区打好固废治理攻坚战实施方案</w:t>
      </w:r>
      <w:r>
        <w:rPr>
          <w:rFonts w:hint="eastAsia" w:cs="Times New Roman"/>
          <w:szCs w:val="28"/>
        </w:rPr>
        <w:t>〉</w:t>
      </w:r>
      <w:r>
        <w:rPr>
          <w:rFonts w:cs="Times New Roman"/>
          <w:szCs w:val="28"/>
        </w:rPr>
        <w:t>的通知》（玄政办〔2019〕27号）；</w:t>
      </w:r>
    </w:p>
    <w:p w14:paraId="1D229218">
      <w:pPr>
        <w:numPr>
          <w:ilvl w:val="0"/>
          <w:numId w:val="5"/>
        </w:numPr>
        <w:ind w:firstLine="640" w:firstLineChars="200"/>
        <w:rPr>
          <w:rFonts w:cs="Times New Roman"/>
          <w:szCs w:val="28"/>
        </w:rPr>
      </w:pPr>
      <w:r>
        <w:rPr>
          <w:rFonts w:cs="Times New Roman"/>
          <w:szCs w:val="28"/>
        </w:rPr>
        <w:t>《关于印发</w:t>
      </w:r>
      <w:r>
        <w:rPr>
          <w:rFonts w:hint="eastAsia" w:cs="Times New Roman"/>
          <w:szCs w:val="28"/>
        </w:rPr>
        <w:t>〈</w:t>
      </w:r>
      <w:r>
        <w:rPr>
          <w:rFonts w:cs="Times New Roman"/>
          <w:szCs w:val="28"/>
        </w:rPr>
        <w:t>玄武区推进塑料污染治理工作实施方案</w:t>
      </w:r>
      <w:r>
        <w:rPr>
          <w:rFonts w:hint="eastAsia" w:cs="Times New Roman"/>
          <w:szCs w:val="28"/>
        </w:rPr>
        <w:t>〉</w:t>
      </w:r>
      <w:r>
        <w:rPr>
          <w:rFonts w:cs="Times New Roman"/>
          <w:szCs w:val="28"/>
        </w:rPr>
        <w:t>的通知》（玄政〔2020〕183号）；</w:t>
      </w:r>
    </w:p>
    <w:p w14:paraId="5B39ECDD">
      <w:pPr>
        <w:numPr>
          <w:ilvl w:val="0"/>
          <w:numId w:val="5"/>
        </w:numPr>
        <w:ind w:firstLine="640" w:firstLineChars="200"/>
        <w:rPr>
          <w:rFonts w:cs="Times New Roman"/>
          <w:szCs w:val="28"/>
        </w:rPr>
      </w:pPr>
      <w:r>
        <w:rPr>
          <w:rFonts w:cs="Times New Roman"/>
          <w:szCs w:val="28"/>
        </w:rPr>
        <w:t>《关于印发</w:t>
      </w:r>
      <w:r>
        <w:rPr>
          <w:rFonts w:hint="eastAsia" w:cs="Times New Roman"/>
          <w:szCs w:val="28"/>
        </w:rPr>
        <w:t>〈</w:t>
      </w:r>
      <w:r>
        <w:rPr>
          <w:rFonts w:cs="Times New Roman"/>
          <w:szCs w:val="28"/>
        </w:rPr>
        <w:t>2021年玄武区垃圾分类工作管理考核办法</w:t>
      </w:r>
      <w:r>
        <w:rPr>
          <w:rFonts w:hint="eastAsia" w:cs="Times New Roman"/>
          <w:szCs w:val="28"/>
        </w:rPr>
        <w:t>〉</w:t>
      </w:r>
      <w:r>
        <w:rPr>
          <w:rFonts w:cs="Times New Roman"/>
          <w:szCs w:val="28"/>
        </w:rPr>
        <w:t>的通知》（玄垃分办〔2021〕11号）。</w:t>
      </w:r>
    </w:p>
    <w:p w14:paraId="1E89216B">
      <w:pPr>
        <w:keepNext/>
        <w:keepLines/>
        <w:ind w:firstLine="640" w:firstLineChars="200"/>
        <w:outlineLvl w:val="2"/>
        <w:rPr>
          <w:rFonts w:ascii="方正黑体_GBK" w:eastAsia="方正黑体_GBK" w:cs="Times New Roman"/>
          <w:bCs/>
          <w:szCs w:val="28"/>
        </w:rPr>
      </w:pPr>
      <w:bookmarkStart w:id="9" w:name="_Toc129882908"/>
      <w:r>
        <w:rPr>
          <w:rFonts w:hint="eastAsia" w:ascii="方正黑体_GBK" w:eastAsia="方正黑体_GBK" w:cs="Times New Roman"/>
          <w:bCs/>
          <w:szCs w:val="28"/>
        </w:rPr>
        <w:t>四、相关规划、实施方案</w:t>
      </w:r>
      <w:bookmarkEnd w:id="9"/>
    </w:p>
    <w:p w14:paraId="752BB3DD">
      <w:pPr>
        <w:numPr>
          <w:ilvl w:val="0"/>
          <w:numId w:val="6"/>
        </w:numPr>
        <w:ind w:firstLine="640" w:firstLineChars="200"/>
        <w:rPr>
          <w:rFonts w:cs="Times New Roman"/>
          <w:szCs w:val="28"/>
        </w:rPr>
      </w:pPr>
      <w:r>
        <w:rPr>
          <w:rFonts w:cs="Times New Roman"/>
          <w:szCs w:val="28"/>
        </w:rPr>
        <w:t>《江苏省国民经济和社会发展第十四个五年规划和二〇三五年远景目标纲要</w:t>
      </w:r>
      <w:r>
        <w:rPr>
          <w:rFonts w:hint="eastAsia" w:cs="Times New Roman"/>
          <w:szCs w:val="28"/>
        </w:rPr>
        <w:t>》（</w:t>
      </w:r>
      <w:r>
        <w:rPr>
          <w:rFonts w:cs="Times New Roman"/>
          <w:szCs w:val="28"/>
        </w:rPr>
        <w:t>苏政发〔2021〕18号）；</w:t>
      </w:r>
    </w:p>
    <w:p w14:paraId="65EBFA50">
      <w:pPr>
        <w:numPr>
          <w:ilvl w:val="0"/>
          <w:numId w:val="6"/>
        </w:numPr>
        <w:ind w:firstLine="640" w:firstLineChars="200"/>
        <w:rPr>
          <w:rFonts w:cs="Times New Roman"/>
          <w:szCs w:val="28"/>
        </w:rPr>
      </w:pPr>
      <w:r>
        <w:rPr>
          <w:rFonts w:cs="Times New Roman"/>
          <w:szCs w:val="28"/>
        </w:rPr>
        <w:t>《省政府办公厅关于印发江苏省</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生态环境保护规划的通知》（苏政办发〔2021〕84号）；</w:t>
      </w:r>
    </w:p>
    <w:p w14:paraId="3E1CE119">
      <w:pPr>
        <w:numPr>
          <w:ilvl w:val="0"/>
          <w:numId w:val="6"/>
        </w:numPr>
        <w:ind w:firstLine="640" w:firstLineChars="200"/>
        <w:rPr>
          <w:rFonts w:cs="Times New Roman"/>
          <w:szCs w:val="28"/>
        </w:rPr>
      </w:pPr>
      <w:r>
        <w:rPr>
          <w:rFonts w:cs="Times New Roman"/>
          <w:szCs w:val="28"/>
        </w:rPr>
        <w:t>《省政府办公厅关于印发江苏省</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卫生健康发展规划的通知》（苏政办发〔2021〕85号）；</w:t>
      </w:r>
    </w:p>
    <w:p w14:paraId="7B888E7B">
      <w:pPr>
        <w:numPr>
          <w:ilvl w:val="0"/>
          <w:numId w:val="6"/>
        </w:numPr>
        <w:ind w:firstLine="640" w:firstLineChars="200"/>
        <w:rPr>
          <w:rFonts w:cs="Times New Roman"/>
          <w:szCs w:val="28"/>
        </w:rPr>
      </w:pPr>
      <w:r>
        <w:rPr>
          <w:rFonts w:cs="Times New Roman"/>
          <w:szCs w:val="28"/>
        </w:rPr>
        <w:t>《江苏省环境卫生事业发展</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规划》（苏建城管〔2021〕121号）；</w:t>
      </w:r>
    </w:p>
    <w:p w14:paraId="20567FDB">
      <w:pPr>
        <w:numPr>
          <w:ilvl w:val="0"/>
          <w:numId w:val="6"/>
        </w:numPr>
        <w:ind w:firstLine="640" w:firstLineChars="200"/>
        <w:rPr>
          <w:rFonts w:cs="Times New Roman"/>
          <w:szCs w:val="28"/>
        </w:rPr>
      </w:pPr>
      <w:r>
        <w:rPr>
          <w:rFonts w:cs="Times New Roman"/>
          <w:szCs w:val="28"/>
        </w:rPr>
        <w:t>《市政府关于印发南京市国民经济和社会发展第十四个五年规划和二〇三五年远景目标纲要》（宁政发〔2021〕30号）；</w:t>
      </w:r>
    </w:p>
    <w:p w14:paraId="45F9ACAB">
      <w:pPr>
        <w:numPr>
          <w:ilvl w:val="0"/>
          <w:numId w:val="6"/>
        </w:numPr>
        <w:ind w:firstLine="640" w:firstLineChars="200"/>
        <w:rPr>
          <w:rFonts w:cs="Times New Roman"/>
          <w:szCs w:val="28"/>
        </w:rPr>
      </w:pPr>
      <w:r>
        <w:rPr>
          <w:rFonts w:cs="Times New Roman"/>
          <w:szCs w:val="28"/>
        </w:rPr>
        <w:t>《中共南京市委办公厅 南京市人民政府办公厅关于印发</w:t>
      </w:r>
      <w:r>
        <w:rPr>
          <w:rFonts w:hint="eastAsia" w:cs="Times New Roman"/>
          <w:szCs w:val="28"/>
        </w:rPr>
        <w:t>〈</w:t>
      </w:r>
      <w:r>
        <w:rPr>
          <w:rFonts w:cs="Times New Roman"/>
          <w:szCs w:val="28"/>
        </w:rPr>
        <w:t>南京市</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低碳发展规划</w:t>
      </w:r>
      <w:r>
        <w:rPr>
          <w:rFonts w:hint="eastAsia" w:cs="Times New Roman"/>
          <w:szCs w:val="28"/>
        </w:rPr>
        <w:t>〉</w:t>
      </w:r>
      <w:r>
        <w:rPr>
          <w:rFonts w:cs="Times New Roman"/>
          <w:szCs w:val="28"/>
        </w:rPr>
        <w:t>通知》（宁委办发〔2021〕21号）；</w:t>
      </w:r>
    </w:p>
    <w:p w14:paraId="672AE443">
      <w:pPr>
        <w:numPr>
          <w:ilvl w:val="0"/>
          <w:numId w:val="6"/>
        </w:numPr>
        <w:ind w:firstLine="640" w:firstLineChars="200"/>
        <w:rPr>
          <w:rFonts w:cs="Times New Roman"/>
          <w:szCs w:val="28"/>
        </w:rPr>
      </w:pPr>
      <w:r>
        <w:rPr>
          <w:rFonts w:cs="Times New Roman"/>
          <w:szCs w:val="28"/>
        </w:rPr>
        <w:t>《市政府办公厅关于印发</w:t>
      </w:r>
      <w:r>
        <w:rPr>
          <w:rFonts w:hint="eastAsia" w:cs="Times New Roman"/>
          <w:szCs w:val="28"/>
        </w:rPr>
        <w:t>〈</w:t>
      </w:r>
      <w:r>
        <w:rPr>
          <w:rFonts w:cs="Times New Roman"/>
          <w:szCs w:val="28"/>
        </w:rPr>
        <w:t>南京市</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重大基础设施建设规划</w:t>
      </w:r>
      <w:r>
        <w:rPr>
          <w:rFonts w:hint="eastAsia" w:cs="Times New Roman"/>
          <w:szCs w:val="28"/>
        </w:rPr>
        <w:t>〉</w:t>
      </w:r>
      <w:r>
        <w:rPr>
          <w:rFonts w:cs="Times New Roman"/>
          <w:szCs w:val="28"/>
        </w:rPr>
        <w:t>的通知》（宁政办发〔2021〕35号）；</w:t>
      </w:r>
    </w:p>
    <w:p w14:paraId="0BA7ECFF">
      <w:pPr>
        <w:numPr>
          <w:ilvl w:val="0"/>
          <w:numId w:val="6"/>
        </w:numPr>
        <w:ind w:firstLine="640" w:firstLineChars="200"/>
        <w:rPr>
          <w:rFonts w:cs="Times New Roman"/>
          <w:szCs w:val="28"/>
        </w:rPr>
      </w:pPr>
      <w:r>
        <w:rPr>
          <w:rFonts w:cs="Times New Roman"/>
          <w:szCs w:val="28"/>
        </w:rPr>
        <w:t>《市政府办公厅关于印发南京市</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新型城镇化规划的通知》（宁政办发〔2021〕46号）；</w:t>
      </w:r>
    </w:p>
    <w:p w14:paraId="3E48E9E6">
      <w:pPr>
        <w:numPr>
          <w:ilvl w:val="0"/>
          <w:numId w:val="6"/>
        </w:numPr>
        <w:ind w:firstLine="640" w:firstLineChars="200"/>
        <w:rPr>
          <w:rFonts w:cs="Times New Roman"/>
          <w:szCs w:val="28"/>
        </w:rPr>
      </w:pPr>
      <w:r>
        <w:rPr>
          <w:rFonts w:cs="Times New Roman"/>
          <w:szCs w:val="28"/>
        </w:rPr>
        <w:t>《市政府办公厅关于印发南京市</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保障和提升公共服务规划的通知》（宁政办发〔2021〕71号）；</w:t>
      </w:r>
    </w:p>
    <w:p w14:paraId="09CB1885">
      <w:pPr>
        <w:numPr>
          <w:ilvl w:val="0"/>
          <w:numId w:val="6"/>
        </w:numPr>
        <w:ind w:firstLine="640" w:firstLineChars="200"/>
        <w:rPr>
          <w:rFonts w:cs="Times New Roman"/>
          <w:szCs w:val="28"/>
        </w:rPr>
      </w:pPr>
      <w:r>
        <w:rPr>
          <w:rFonts w:cs="Times New Roman"/>
          <w:szCs w:val="28"/>
        </w:rPr>
        <w:t>《市政府办公厅关于印发南京市环境总体规划纲要</w:t>
      </w:r>
      <w:r>
        <w:rPr>
          <w:rFonts w:hint="eastAsia" w:cs="Times New Roman"/>
          <w:szCs w:val="28"/>
        </w:rPr>
        <w:t>（</w:t>
      </w:r>
      <w:r>
        <w:rPr>
          <w:rFonts w:cs="Times New Roman"/>
          <w:szCs w:val="28"/>
        </w:rPr>
        <w:t>2016</w:t>
      </w:r>
      <w:r>
        <w:rPr>
          <w:rFonts w:hint="eastAsia" w:cs="Times New Roman"/>
          <w:szCs w:val="28"/>
        </w:rPr>
        <w:t>－</w:t>
      </w:r>
      <w:r>
        <w:rPr>
          <w:rFonts w:cs="Times New Roman"/>
          <w:szCs w:val="28"/>
        </w:rPr>
        <w:t>2030年）的通知》（宁政办发〔2017〕68号）；</w:t>
      </w:r>
    </w:p>
    <w:p w14:paraId="2EC11E3F">
      <w:pPr>
        <w:numPr>
          <w:ilvl w:val="0"/>
          <w:numId w:val="6"/>
        </w:numPr>
        <w:ind w:firstLine="640" w:firstLineChars="200"/>
        <w:rPr>
          <w:rFonts w:cs="Times New Roman"/>
          <w:szCs w:val="28"/>
        </w:rPr>
      </w:pPr>
      <w:r>
        <w:rPr>
          <w:rFonts w:cs="Times New Roman"/>
          <w:szCs w:val="28"/>
        </w:rPr>
        <w:t>《中共南京市委办公厅 南京市人民政府办公厅关于印发</w:t>
      </w:r>
      <w:r>
        <w:rPr>
          <w:rFonts w:hint="eastAsia" w:cs="Times New Roman"/>
          <w:szCs w:val="28"/>
        </w:rPr>
        <w:t>〈</w:t>
      </w:r>
      <w:r>
        <w:rPr>
          <w:rFonts w:cs="Times New Roman"/>
          <w:szCs w:val="28"/>
        </w:rPr>
        <w:t>南京市生态优先、绿色发展示范三年行动计划（2022</w:t>
      </w:r>
      <w:r>
        <w:rPr>
          <w:rFonts w:hint="eastAsia" w:cs="Times New Roman"/>
          <w:szCs w:val="28"/>
        </w:rPr>
        <w:t>－</w:t>
      </w:r>
      <w:r>
        <w:rPr>
          <w:rFonts w:cs="Times New Roman"/>
          <w:szCs w:val="28"/>
        </w:rPr>
        <w:t>2024年）</w:t>
      </w:r>
      <w:r>
        <w:rPr>
          <w:rFonts w:hint="eastAsia" w:cs="Times New Roman"/>
          <w:szCs w:val="28"/>
        </w:rPr>
        <w:t>〉</w:t>
      </w:r>
      <w:r>
        <w:rPr>
          <w:rFonts w:cs="Times New Roman"/>
          <w:szCs w:val="28"/>
        </w:rPr>
        <w:t>的通知》（宁委办发〔2022〕3号）；</w:t>
      </w:r>
    </w:p>
    <w:p w14:paraId="24B9E46B">
      <w:pPr>
        <w:numPr>
          <w:ilvl w:val="0"/>
          <w:numId w:val="6"/>
        </w:numPr>
        <w:ind w:firstLine="640" w:firstLineChars="200"/>
        <w:rPr>
          <w:rFonts w:cs="Times New Roman"/>
          <w:szCs w:val="28"/>
        </w:rPr>
      </w:pPr>
      <w:r>
        <w:rPr>
          <w:rFonts w:cs="Times New Roman"/>
          <w:szCs w:val="28"/>
        </w:rPr>
        <w:t>《中共南京市委办公厅 南京市人民政府办公厅关于印发</w:t>
      </w:r>
      <w:r>
        <w:rPr>
          <w:rFonts w:hint="eastAsia" w:cs="Times New Roman"/>
          <w:szCs w:val="28"/>
        </w:rPr>
        <w:t>〈</w:t>
      </w:r>
      <w:r>
        <w:rPr>
          <w:rFonts w:cs="Times New Roman"/>
          <w:szCs w:val="28"/>
        </w:rPr>
        <w:t>南京市</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生态环境保护规划</w:t>
      </w:r>
      <w:r>
        <w:rPr>
          <w:rFonts w:hint="eastAsia" w:cs="Times New Roman"/>
          <w:szCs w:val="28"/>
        </w:rPr>
        <w:t>〉</w:t>
      </w:r>
      <w:r>
        <w:rPr>
          <w:rFonts w:cs="Times New Roman"/>
          <w:szCs w:val="28"/>
        </w:rPr>
        <w:t>的通知》（宁委办发〔2021〕28号）；</w:t>
      </w:r>
    </w:p>
    <w:p w14:paraId="088B4E3A">
      <w:pPr>
        <w:numPr>
          <w:ilvl w:val="0"/>
          <w:numId w:val="6"/>
        </w:numPr>
        <w:ind w:firstLine="640" w:firstLineChars="200"/>
        <w:rPr>
          <w:rFonts w:cs="Times New Roman"/>
          <w:szCs w:val="28"/>
        </w:rPr>
      </w:pPr>
      <w:r>
        <w:rPr>
          <w:rFonts w:cs="Times New Roman"/>
          <w:szCs w:val="28"/>
        </w:rPr>
        <w:t>《关于印发</w:t>
      </w:r>
      <w:r>
        <w:rPr>
          <w:rFonts w:hint="eastAsia" w:cs="Times New Roman"/>
          <w:szCs w:val="28"/>
        </w:rPr>
        <w:t>〈</w:t>
      </w:r>
      <w:r>
        <w:rPr>
          <w:rFonts w:cs="Times New Roman"/>
          <w:szCs w:val="28"/>
        </w:rPr>
        <w:t>南京市绿色低碳循环发展三年行动计划（2022</w:t>
      </w:r>
      <w:r>
        <w:rPr>
          <w:rFonts w:hint="eastAsia" w:cs="Times New Roman"/>
          <w:szCs w:val="28"/>
        </w:rPr>
        <w:t>－</w:t>
      </w:r>
      <w:r>
        <w:rPr>
          <w:rFonts w:cs="Times New Roman"/>
          <w:szCs w:val="28"/>
        </w:rPr>
        <w:t>2024</w:t>
      </w:r>
      <w:r>
        <w:rPr>
          <w:rFonts w:hint="eastAsia" w:cs="Times New Roman"/>
          <w:szCs w:val="28"/>
        </w:rPr>
        <w:t>）〉</w:t>
      </w:r>
      <w:r>
        <w:rPr>
          <w:rFonts w:cs="Times New Roman"/>
          <w:szCs w:val="28"/>
        </w:rPr>
        <w:t>的通知》（宁双碳发〔2022〕1号）；</w:t>
      </w:r>
    </w:p>
    <w:p w14:paraId="2A544D2F">
      <w:pPr>
        <w:numPr>
          <w:ilvl w:val="0"/>
          <w:numId w:val="6"/>
        </w:numPr>
        <w:ind w:firstLine="640" w:firstLineChars="200"/>
        <w:rPr>
          <w:rFonts w:ascii="方正黑体_GBK" w:eastAsia="方正黑体_GBK" w:cs="Times New Roman"/>
          <w:bCs/>
          <w:szCs w:val="28"/>
        </w:rPr>
      </w:pPr>
      <w:r>
        <w:rPr>
          <w:rFonts w:cs="Times New Roman"/>
          <w:szCs w:val="28"/>
        </w:rPr>
        <w:t>《市政府办公厅关于印发</w:t>
      </w:r>
      <w:r>
        <w:rPr>
          <w:rFonts w:hint="eastAsia" w:cs="Times New Roman"/>
          <w:szCs w:val="28"/>
        </w:rPr>
        <w:t>〈</w:t>
      </w:r>
      <w:r>
        <w:rPr>
          <w:rFonts w:cs="Times New Roman"/>
          <w:szCs w:val="28"/>
        </w:rPr>
        <w:t>南京市</w:t>
      </w:r>
      <w:r>
        <w:rPr>
          <w:rFonts w:hint="eastAsia" w:cs="Times New Roman"/>
          <w:szCs w:val="28"/>
        </w:rPr>
        <w:t>“</w:t>
      </w:r>
      <w:r>
        <w:rPr>
          <w:rFonts w:cs="Times New Roman"/>
          <w:szCs w:val="28"/>
        </w:rPr>
        <w:t>十四五</w:t>
      </w:r>
      <w:r>
        <w:rPr>
          <w:rFonts w:hint="eastAsia" w:cs="Times New Roman"/>
          <w:szCs w:val="28"/>
        </w:rPr>
        <w:t>”</w:t>
      </w:r>
      <w:r>
        <w:rPr>
          <w:rFonts w:cs="Times New Roman"/>
          <w:szCs w:val="28"/>
        </w:rPr>
        <w:t>国土空间和自然资源保护利用规划</w:t>
      </w:r>
      <w:r>
        <w:rPr>
          <w:rFonts w:hint="eastAsia" w:cs="Times New Roman"/>
          <w:szCs w:val="28"/>
        </w:rPr>
        <w:t>〉</w:t>
      </w:r>
      <w:r>
        <w:rPr>
          <w:rFonts w:cs="Times New Roman"/>
          <w:szCs w:val="28"/>
        </w:rPr>
        <w:t>的通知》（宁政办发〔2021〕62号）；</w:t>
      </w:r>
    </w:p>
    <w:p w14:paraId="177FC464">
      <w:pPr>
        <w:numPr>
          <w:ilvl w:val="0"/>
          <w:numId w:val="6"/>
        </w:numPr>
        <w:ind w:firstLine="640" w:firstLineChars="200"/>
        <w:rPr>
          <w:rFonts w:ascii="方正黑体_GBK" w:eastAsia="方正黑体_GBK" w:cs="Times New Roman"/>
          <w:bCs/>
          <w:szCs w:val="28"/>
        </w:rPr>
      </w:pPr>
      <w:r>
        <w:rPr>
          <w:rFonts w:cs="Times New Roman"/>
          <w:szCs w:val="28"/>
        </w:rPr>
        <w:t>《</w:t>
      </w:r>
      <w:r>
        <w:rPr>
          <w:rFonts w:hint="eastAsia" w:cs="Times New Roman"/>
          <w:szCs w:val="28"/>
        </w:rPr>
        <w:t>关于印发〈南京市玄武区国民经济和社会发展第十四个五年规划和二〇三五年远景目标纲要〉的通知</w:t>
      </w:r>
      <w:r>
        <w:rPr>
          <w:rFonts w:cs="Times New Roman"/>
          <w:szCs w:val="28"/>
        </w:rPr>
        <w:t>》(</w:t>
      </w:r>
      <w:r>
        <w:rPr>
          <w:rFonts w:hint="eastAsia" w:cs="Times New Roman"/>
          <w:szCs w:val="28"/>
        </w:rPr>
        <w:t>玄政〔2021〕181号</w:t>
      </w:r>
      <w:r>
        <w:rPr>
          <w:rFonts w:cs="Times New Roman"/>
          <w:szCs w:val="28"/>
        </w:rPr>
        <w:t>)</w:t>
      </w:r>
      <w:bookmarkStart w:id="10" w:name="_Toc129882909"/>
      <w:r>
        <w:rPr>
          <w:rFonts w:hint="eastAsia" w:cs="Times New Roman"/>
          <w:szCs w:val="28"/>
        </w:rPr>
        <w:t>。</w:t>
      </w:r>
    </w:p>
    <w:p w14:paraId="379FC526">
      <w:pPr>
        <w:ind w:left="480"/>
        <w:rPr>
          <w:rFonts w:ascii="方正黑体_GBK" w:eastAsia="方正黑体_GBK" w:cs="Times New Roman"/>
          <w:bCs/>
          <w:szCs w:val="28"/>
        </w:rPr>
      </w:pPr>
      <w:r>
        <w:rPr>
          <w:rFonts w:hint="eastAsia" w:ascii="方正黑体_GBK" w:eastAsia="方正黑体_GBK" w:cs="Times New Roman"/>
          <w:bCs/>
          <w:szCs w:val="28"/>
        </w:rPr>
        <w:t>五、相关标准及其他</w:t>
      </w:r>
      <w:bookmarkEnd w:id="10"/>
    </w:p>
    <w:p w14:paraId="60A1FC21">
      <w:pPr>
        <w:numPr>
          <w:ilvl w:val="0"/>
          <w:numId w:val="7"/>
        </w:numPr>
        <w:ind w:firstLine="640" w:firstLineChars="200"/>
        <w:rPr>
          <w:rFonts w:cs="Times New Roman"/>
          <w:szCs w:val="28"/>
        </w:rPr>
      </w:pPr>
      <w:r>
        <w:rPr>
          <w:rFonts w:cs="Times New Roman"/>
          <w:szCs w:val="28"/>
        </w:rPr>
        <w:t>《国家工业固体废物资源综合利用产品目录》（中华人民共和国工业和信息化部公告 2018年第26号）；</w:t>
      </w:r>
    </w:p>
    <w:p w14:paraId="6CF3A3AB">
      <w:pPr>
        <w:numPr>
          <w:ilvl w:val="0"/>
          <w:numId w:val="7"/>
        </w:numPr>
        <w:ind w:firstLine="640" w:firstLineChars="200"/>
        <w:rPr>
          <w:rFonts w:cs="Times New Roman"/>
          <w:szCs w:val="28"/>
        </w:rPr>
      </w:pPr>
      <w:r>
        <w:rPr>
          <w:rFonts w:cs="Times New Roman"/>
          <w:szCs w:val="28"/>
        </w:rPr>
        <w:t>《2020年国家先进污染防治技术目录（</w:t>
      </w:r>
      <w:r>
        <w:rPr>
          <w:rFonts w:hint="eastAsia" w:cs="Times New Roman"/>
          <w:szCs w:val="28"/>
        </w:rPr>
        <w:t>生态环境部</w:t>
      </w:r>
      <w:r>
        <w:rPr>
          <w:rFonts w:cs="Times New Roman"/>
          <w:szCs w:val="28"/>
        </w:rPr>
        <w:t>公告 2021年 第3号）》；</w:t>
      </w:r>
    </w:p>
    <w:p w14:paraId="16035984">
      <w:pPr>
        <w:numPr>
          <w:ilvl w:val="0"/>
          <w:numId w:val="7"/>
        </w:numPr>
        <w:ind w:firstLine="640" w:firstLineChars="200"/>
        <w:rPr>
          <w:rFonts w:cs="Times New Roman"/>
          <w:szCs w:val="28"/>
        </w:rPr>
      </w:pPr>
      <w:r>
        <w:rPr>
          <w:rFonts w:cs="Times New Roman"/>
          <w:szCs w:val="28"/>
        </w:rPr>
        <w:t>《限期淘汰产生严重污染环境的工业固体废物的落后生产工艺设备名录》（中华人民共和国工业和信息化部公告2021年第25号）；</w:t>
      </w:r>
    </w:p>
    <w:p w14:paraId="706AA19D">
      <w:pPr>
        <w:numPr>
          <w:ilvl w:val="0"/>
          <w:numId w:val="7"/>
        </w:numPr>
        <w:ind w:firstLine="640" w:firstLineChars="200"/>
        <w:rPr>
          <w:rFonts w:cs="Times New Roman"/>
          <w:szCs w:val="28"/>
        </w:rPr>
      </w:pPr>
      <w:r>
        <w:rPr>
          <w:rFonts w:cs="Times New Roman"/>
          <w:szCs w:val="28"/>
        </w:rPr>
        <w:t>《环境保护图形标志 固体废物贮存（处置）场》（GB 15562.2</w:t>
      </w:r>
      <w:r>
        <w:rPr>
          <w:rFonts w:hint="eastAsia" w:cs="Times New Roman"/>
          <w:szCs w:val="28"/>
        </w:rPr>
        <w:t>－</w:t>
      </w:r>
      <w:r>
        <w:rPr>
          <w:rFonts w:cs="Times New Roman"/>
          <w:szCs w:val="28"/>
        </w:rPr>
        <w:t>1995）；</w:t>
      </w:r>
    </w:p>
    <w:p w14:paraId="162597F8">
      <w:pPr>
        <w:numPr>
          <w:ilvl w:val="0"/>
          <w:numId w:val="7"/>
        </w:numPr>
        <w:ind w:firstLine="640" w:firstLineChars="200"/>
        <w:rPr>
          <w:rFonts w:cs="Times New Roman"/>
          <w:szCs w:val="28"/>
        </w:rPr>
      </w:pPr>
      <w:r>
        <w:rPr>
          <w:rFonts w:cs="Times New Roman"/>
          <w:szCs w:val="28"/>
        </w:rPr>
        <w:t>《废弃资源综合利用业环境管理体系实施指南》（GB/T29750</w:t>
      </w:r>
      <w:r>
        <w:rPr>
          <w:rFonts w:hint="eastAsia" w:cs="Times New Roman"/>
          <w:szCs w:val="28"/>
        </w:rPr>
        <w:t>－</w:t>
      </w:r>
      <w:r>
        <w:rPr>
          <w:rFonts w:cs="Times New Roman"/>
          <w:szCs w:val="28"/>
        </w:rPr>
        <w:t>2013）；</w:t>
      </w:r>
    </w:p>
    <w:p w14:paraId="7E66F99B">
      <w:pPr>
        <w:numPr>
          <w:ilvl w:val="0"/>
          <w:numId w:val="7"/>
        </w:numPr>
        <w:ind w:firstLine="640" w:firstLineChars="200"/>
        <w:rPr>
          <w:rFonts w:cs="Times New Roman"/>
          <w:szCs w:val="28"/>
        </w:rPr>
      </w:pPr>
      <w:r>
        <w:rPr>
          <w:rFonts w:cs="Times New Roman"/>
          <w:szCs w:val="28"/>
        </w:rPr>
        <w:t>《固体废物鉴别标准通则》（GB 34330</w:t>
      </w:r>
      <w:r>
        <w:rPr>
          <w:rFonts w:hint="eastAsia" w:cs="Times New Roman"/>
          <w:szCs w:val="28"/>
        </w:rPr>
        <w:t>－</w:t>
      </w:r>
      <w:r>
        <w:rPr>
          <w:rFonts w:cs="Times New Roman"/>
          <w:szCs w:val="28"/>
        </w:rPr>
        <w:t>2017）；</w:t>
      </w:r>
    </w:p>
    <w:p w14:paraId="5EE79BAE">
      <w:pPr>
        <w:numPr>
          <w:ilvl w:val="0"/>
          <w:numId w:val="7"/>
        </w:numPr>
        <w:ind w:firstLine="640" w:firstLineChars="200"/>
        <w:rPr>
          <w:rFonts w:cs="Times New Roman"/>
          <w:szCs w:val="28"/>
        </w:rPr>
      </w:pPr>
      <w:r>
        <w:rPr>
          <w:rFonts w:cs="Times New Roman"/>
          <w:szCs w:val="28"/>
        </w:rPr>
        <w:t>《固体废物处理处置工程技术导则》（HJ 2035</w:t>
      </w:r>
      <w:r>
        <w:rPr>
          <w:rFonts w:hint="eastAsia" w:cs="Times New Roman"/>
          <w:szCs w:val="28"/>
        </w:rPr>
        <w:t>－</w:t>
      </w:r>
      <w:r>
        <w:rPr>
          <w:rFonts w:cs="Times New Roman"/>
          <w:szCs w:val="28"/>
        </w:rPr>
        <w:t>2013）；</w:t>
      </w:r>
    </w:p>
    <w:p w14:paraId="56FFC92B">
      <w:pPr>
        <w:numPr>
          <w:ilvl w:val="0"/>
          <w:numId w:val="7"/>
        </w:numPr>
        <w:ind w:firstLine="640" w:firstLineChars="200"/>
        <w:rPr>
          <w:rFonts w:cs="Times New Roman"/>
          <w:szCs w:val="28"/>
        </w:rPr>
      </w:pPr>
      <w:r>
        <w:rPr>
          <w:rFonts w:cs="Times New Roman"/>
          <w:szCs w:val="28"/>
        </w:rPr>
        <w:t>《固体废物再生利用污染防治技术导则》（HJ1091</w:t>
      </w:r>
      <w:r>
        <w:rPr>
          <w:rFonts w:hint="eastAsia" w:cs="Times New Roman"/>
          <w:szCs w:val="28"/>
        </w:rPr>
        <w:t>－</w:t>
      </w:r>
      <w:r>
        <w:rPr>
          <w:rFonts w:cs="Times New Roman"/>
          <w:szCs w:val="28"/>
        </w:rPr>
        <w:t>2020）；</w:t>
      </w:r>
    </w:p>
    <w:p w14:paraId="096D72C1">
      <w:pPr>
        <w:numPr>
          <w:ilvl w:val="0"/>
          <w:numId w:val="7"/>
        </w:numPr>
        <w:adjustRightInd w:val="0"/>
        <w:ind w:firstLine="640" w:firstLineChars="200"/>
        <w:rPr>
          <w:rFonts w:cs="Times New Roman"/>
          <w:szCs w:val="28"/>
        </w:rPr>
      </w:pPr>
      <w:r>
        <w:rPr>
          <w:rFonts w:cs="Times New Roman"/>
          <w:szCs w:val="28"/>
        </w:rPr>
        <w:t>《工业固体废物综合利用技术评价导则》（GB/T 32326</w:t>
      </w:r>
      <w:r>
        <w:rPr>
          <w:rFonts w:hint="eastAsia" w:cs="Times New Roman"/>
          <w:szCs w:val="28"/>
        </w:rPr>
        <w:t>－</w:t>
      </w:r>
      <w:r>
        <w:rPr>
          <w:rFonts w:cs="Times New Roman"/>
          <w:szCs w:val="28"/>
        </w:rPr>
        <w:t>2015）；</w:t>
      </w:r>
    </w:p>
    <w:p w14:paraId="295BACD5">
      <w:pPr>
        <w:numPr>
          <w:ilvl w:val="0"/>
          <w:numId w:val="7"/>
        </w:numPr>
        <w:ind w:firstLine="640" w:firstLineChars="200"/>
        <w:rPr>
          <w:rFonts w:cs="Times New Roman"/>
          <w:szCs w:val="28"/>
        </w:rPr>
      </w:pPr>
      <w:r>
        <w:rPr>
          <w:rFonts w:cs="Times New Roman"/>
          <w:szCs w:val="28"/>
        </w:rPr>
        <w:t>《工业固体废物综合利用产品环境与质量安全评价技术导则》（GB/T 32328</w:t>
      </w:r>
      <w:r>
        <w:rPr>
          <w:rFonts w:hint="eastAsia" w:cs="Times New Roman"/>
          <w:szCs w:val="28"/>
        </w:rPr>
        <w:t>－</w:t>
      </w:r>
      <w:r>
        <w:rPr>
          <w:rFonts w:cs="Times New Roman"/>
          <w:szCs w:val="28"/>
        </w:rPr>
        <w:t>2015）；</w:t>
      </w:r>
    </w:p>
    <w:p w14:paraId="14A81CA3">
      <w:pPr>
        <w:numPr>
          <w:ilvl w:val="0"/>
          <w:numId w:val="7"/>
        </w:numPr>
        <w:ind w:firstLine="640" w:firstLineChars="200"/>
        <w:rPr>
          <w:rFonts w:cs="Times New Roman"/>
          <w:szCs w:val="28"/>
        </w:rPr>
      </w:pPr>
      <w:r>
        <w:rPr>
          <w:rFonts w:cs="Times New Roman"/>
          <w:szCs w:val="28"/>
        </w:rPr>
        <w:t>《城市生活垃圾处理及污染防治技术政策》（建城〔2000〕120号）；</w:t>
      </w:r>
    </w:p>
    <w:p w14:paraId="7021CF20">
      <w:pPr>
        <w:numPr>
          <w:ilvl w:val="0"/>
          <w:numId w:val="7"/>
        </w:numPr>
        <w:ind w:firstLine="640" w:firstLineChars="200"/>
        <w:rPr>
          <w:rFonts w:cs="Times New Roman"/>
          <w:szCs w:val="28"/>
        </w:rPr>
      </w:pPr>
      <w:r>
        <w:rPr>
          <w:rFonts w:cs="Times New Roman"/>
          <w:szCs w:val="28"/>
        </w:rPr>
        <w:t>《生活垃圾处理技术指南》（建城〔2010〕61号）；</w:t>
      </w:r>
    </w:p>
    <w:p w14:paraId="0CC7C397">
      <w:pPr>
        <w:numPr>
          <w:ilvl w:val="0"/>
          <w:numId w:val="7"/>
        </w:numPr>
        <w:ind w:firstLine="640" w:firstLineChars="200"/>
        <w:rPr>
          <w:rFonts w:cs="Times New Roman"/>
          <w:szCs w:val="28"/>
        </w:rPr>
      </w:pPr>
      <w:r>
        <w:rPr>
          <w:rFonts w:cs="Times New Roman"/>
          <w:szCs w:val="28"/>
        </w:rPr>
        <w:t>《餐厨垃圾处理技术规范》（CJJ 184</w:t>
      </w:r>
      <w:r>
        <w:rPr>
          <w:rFonts w:hint="eastAsia" w:cs="Times New Roman"/>
          <w:szCs w:val="28"/>
        </w:rPr>
        <w:t>－</w:t>
      </w:r>
      <w:r>
        <w:rPr>
          <w:rFonts w:cs="Times New Roman"/>
          <w:szCs w:val="28"/>
        </w:rPr>
        <w:t>2012）；</w:t>
      </w:r>
    </w:p>
    <w:p w14:paraId="13B0FEC1">
      <w:pPr>
        <w:numPr>
          <w:ilvl w:val="0"/>
          <w:numId w:val="7"/>
        </w:numPr>
        <w:ind w:firstLine="640" w:firstLineChars="200"/>
        <w:rPr>
          <w:rFonts w:cs="Times New Roman"/>
          <w:szCs w:val="28"/>
        </w:rPr>
      </w:pPr>
      <w:r>
        <w:rPr>
          <w:rFonts w:cs="Times New Roman"/>
          <w:szCs w:val="28"/>
        </w:rPr>
        <w:t>《生活垃圾分类标志》（GB/T 19095</w:t>
      </w:r>
      <w:r>
        <w:rPr>
          <w:rFonts w:hint="eastAsia" w:cs="Times New Roman"/>
          <w:szCs w:val="28"/>
        </w:rPr>
        <w:t>－</w:t>
      </w:r>
      <w:r>
        <w:rPr>
          <w:rFonts w:cs="Times New Roman"/>
          <w:szCs w:val="28"/>
        </w:rPr>
        <w:t>2019）；</w:t>
      </w:r>
    </w:p>
    <w:p w14:paraId="678C4A50">
      <w:pPr>
        <w:numPr>
          <w:ilvl w:val="0"/>
          <w:numId w:val="7"/>
        </w:numPr>
        <w:ind w:firstLine="640" w:firstLineChars="200"/>
        <w:rPr>
          <w:rFonts w:cs="Times New Roman"/>
          <w:szCs w:val="28"/>
        </w:rPr>
      </w:pPr>
      <w:r>
        <w:rPr>
          <w:rFonts w:cs="Times New Roman"/>
          <w:szCs w:val="28"/>
        </w:rPr>
        <w:t>《建筑垃圾路基填筑设计施工技术规范》（DB 32/T 4031</w:t>
      </w:r>
      <w:r>
        <w:rPr>
          <w:rFonts w:hint="eastAsia" w:cs="Times New Roman"/>
          <w:szCs w:val="28"/>
        </w:rPr>
        <w:t>－</w:t>
      </w:r>
      <w:r>
        <w:rPr>
          <w:rFonts w:cs="Times New Roman"/>
          <w:szCs w:val="28"/>
        </w:rPr>
        <w:t>2021）；</w:t>
      </w:r>
    </w:p>
    <w:p w14:paraId="2A36F3BD">
      <w:pPr>
        <w:numPr>
          <w:ilvl w:val="0"/>
          <w:numId w:val="7"/>
        </w:numPr>
        <w:ind w:firstLine="640" w:firstLineChars="200"/>
        <w:rPr>
          <w:rFonts w:cs="Times New Roman"/>
          <w:szCs w:val="28"/>
        </w:rPr>
      </w:pPr>
      <w:r>
        <w:rPr>
          <w:rFonts w:cs="Times New Roman"/>
          <w:szCs w:val="28"/>
        </w:rPr>
        <w:t>《建筑垃圾处理技术标准》（CJJ/T 134</w:t>
      </w:r>
      <w:r>
        <w:rPr>
          <w:rFonts w:hint="eastAsia" w:cs="Times New Roman"/>
          <w:szCs w:val="28"/>
        </w:rPr>
        <w:t>－</w:t>
      </w:r>
      <w:r>
        <w:rPr>
          <w:rFonts w:cs="Times New Roman"/>
          <w:szCs w:val="28"/>
        </w:rPr>
        <w:t>2019）；</w:t>
      </w:r>
    </w:p>
    <w:p w14:paraId="21562EA7">
      <w:pPr>
        <w:numPr>
          <w:ilvl w:val="0"/>
          <w:numId w:val="7"/>
        </w:numPr>
        <w:ind w:firstLine="640" w:firstLineChars="200"/>
        <w:rPr>
          <w:rFonts w:cs="Times New Roman"/>
          <w:szCs w:val="28"/>
        </w:rPr>
      </w:pPr>
      <w:r>
        <w:rPr>
          <w:rFonts w:cs="Times New Roman"/>
          <w:szCs w:val="28"/>
        </w:rPr>
        <w:t>《危险废物收集 贮存 运输技术规范》(HJ 2025</w:t>
      </w:r>
      <w:r>
        <w:rPr>
          <w:rFonts w:hint="eastAsia" w:cs="Times New Roman"/>
          <w:szCs w:val="28"/>
        </w:rPr>
        <w:t>－</w:t>
      </w:r>
      <w:r>
        <w:rPr>
          <w:rFonts w:cs="Times New Roman"/>
          <w:szCs w:val="28"/>
        </w:rPr>
        <w:t>2012)；</w:t>
      </w:r>
    </w:p>
    <w:p w14:paraId="6050863F">
      <w:pPr>
        <w:numPr>
          <w:ilvl w:val="0"/>
          <w:numId w:val="7"/>
        </w:numPr>
        <w:ind w:firstLine="640" w:firstLineChars="200"/>
        <w:rPr>
          <w:rFonts w:cs="Times New Roman"/>
          <w:szCs w:val="28"/>
        </w:rPr>
      </w:pPr>
      <w:r>
        <w:rPr>
          <w:rFonts w:cs="Times New Roman"/>
          <w:szCs w:val="28"/>
        </w:rPr>
        <w:t>《危险废物处置工程技术导则》（HJ 2042</w:t>
      </w:r>
      <w:r>
        <w:rPr>
          <w:rFonts w:hint="eastAsia" w:cs="Times New Roman"/>
          <w:szCs w:val="28"/>
        </w:rPr>
        <w:t>－</w:t>
      </w:r>
      <w:r>
        <w:rPr>
          <w:rFonts w:cs="Times New Roman"/>
          <w:szCs w:val="28"/>
        </w:rPr>
        <w:t>2014）；</w:t>
      </w:r>
    </w:p>
    <w:p w14:paraId="7E53AC08">
      <w:pPr>
        <w:numPr>
          <w:ilvl w:val="0"/>
          <w:numId w:val="7"/>
        </w:numPr>
        <w:ind w:firstLine="640" w:firstLineChars="200"/>
        <w:rPr>
          <w:rFonts w:cs="Times New Roman"/>
          <w:szCs w:val="28"/>
        </w:rPr>
      </w:pPr>
      <w:r>
        <w:rPr>
          <w:rFonts w:cs="Times New Roman"/>
          <w:szCs w:val="28"/>
        </w:rPr>
        <w:t>《危险废物填埋污染控制标准》（GB 18598</w:t>
      </w:r>
      <w:r>
        <w:rPr>
          <w:rFonts w:hint="eastAsia" w:cs="Times New Roman"/>
          <w:szCs w:val="28"/>
        </w:rPr>
        <w:t>—</w:t>
      </w:r>
      <w:r>
        <w:rPr>
          <w:rFonts w:cs="Times New Roman"/>
          <w:szCs w:val="28"/>
        </w:rPr>
        <w:t>2019）；</w:t>
      </w:r>
    </w:p>
    <w:p w14:paraId="72E915C2">
      <w:pPr>
        <w:numPr>
          <w:ilvl w:val="0"/>
          <w:numId w:val="7"/>
        </w:numPr>
        <w:ind w:firstLine="640" w:firstLineChars="200"/>
        <w:rPr>
          <w:rFonts w:cs="Times New Roman"/>
          <w:szCs w:val="28"/>
        </w:rPr>
      </w:pPr>
      <w:r>
        <w:rPr>
          <w:rFonts w:cs="Times New Roman"/>
          <w:szCs w:val="28"/>
        </w:rPr>
        <w:t>《危险废物鉴别标准 通则》（GB 5085.7</w:t>
      </w:r>
      <w:r>
        <w:rPr>
          <w:rFonts w:hint="eastAsia" w:cs="Times New Roman"/>
          <w:szCs w:val="28"/>
        </w:rPr>
        <w:t>－</w:t>
      </w:r>
      <w:r>
        <w:rPr>
          <w:rFonts w:cs="Times New Roman"/>
          <w:szCs w:val="28"/>
        </w:rPr>
        <w:t>2019）；</w:t>
      </w:r>
    </w:p>
    <w:p w14:paraId="0CCAF47B">
      <w:pPr>
        <w:numPr>
          <w:ilvl w:val="0"/>
          <w:numId w:val="7"/>
        </w:numPr>
        <w:ind w:firstLine="640" w:firstLineChars="200"/>
        <w:rPr>
          <w:rFonts w:cs="Times New Roman"/>
          <w:szCs w:val="28"/>
        </w:rPr>
      </w:pPr>
      <w:r>
        <w:rPr>
          <w:rFonts w:cs="Times New Roman"/>
          <w:szCs w:val="28"/>
        </w:rPr>
        <w:t>《危险废物鉴别技术规范》（HJ 298</w:t>
      </w:r>
      <w:r>
        <w:rPr>
          <w:rFonts w:hint="eastAsia" w:cs="Times New Roman"/>
          <w:szCs w:val="28"/>
        </w:rPr>
        <w:t>－</w:t>
      </w:r>
      <w:r>
        <w:rPr>
          <w:rFonts w:cs="Times New Roman"/>
          <w:szCs w:val="28"/>
        </w:rPr>
        <w:t>2019）；</w:t>
      </w:r>
    </w:p>
    <w:p w14:paraId="1246B332">
      <w:pPr>
        <w:numPr>
          <w:ilvl w:val="0"/>
          <w:numId w:val="7"/>
        </w:numPr>
        <w:ind w:firstLine="640" w:firstLineChars="200"/>
        <w:rPr>
          <w:rFonts w:cs="Times New Roman"/>
          <w:szCs w:val="28"/>
        </w:rPr>
      </w:pPr>
      <w:r>
        <w:rPr>
          <w:rFonts w:cs="Times New Roman"/>
          <w:szCs w:val="28"/>
        </w:rPr>
        <w:t>《国家危险废物名录》（2021年版）；</w:t>
      </w:r>
    </w:p>
    <w:p w14:paraId="5AD0F117">
      <w:pPr>
        <w:numPr>
          <w:ilvl w:val="0"/>
          <w:numId w:val="7"/>
        </w:numPr>
        <w:ind w:firstLine="640" w:firstLineChars="20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《南京市实验室危险废物污染防治工作指导手册（试行）》</w:t>
      </w:r>
      <w:r>
        <w:rPr>
          <w:rFonts w:hint="eastAsia" w:cs="Times New Roman"/>
          <w:color w:val="000000" w:themeColor="text1"/>
          <w:szCs w:val="28"/>
          <w14:textFill>
            <w14:solidFill>
              <w14:schemeClr w14:val="tx1"/>
            </w14:solidFill>
          </w14:textFill>
        </w:rPr>
        <w:t>（</w:t>
      </w:r>
      <w:r>
        <w:rPr>
          <w:rFonts w:cs="Times New Roman"/>
          <w:color w:val="000000" w:themeColor="text1"/>
          <w:szCs w:val="28"/>
          <w14:textFill>
            <w14:solidFill>
              <w14:schemeClr w14:val="tx1"/>
            </w14:solidFill>
          </w14:textFill>
        </w:rPr>
        <w:t>宁环办〔2020〕25号</w:t>
      </w:r>
      <w:r>
        <w:rPr>
          <w:rFonts w:hint="eastAsia" w:cs="Times New Roman"/>
          <w:color w:val="000000" w:themeColor="text1"/>
          <w:szCs w:val="28"/>
          <w14:textFill>
            <w14:solidFill>
              <w14:schemeClr w14:val="tx1"/>
            </w14:solidFill>
          </w14:textFill>
        </w:rPr>
        <w:t>）</w:t>
      </w:r>
      <w:r>
        <w:rPr>
          <w:rFonts w:cs="Times New Roman"/>
          <w:color w:val="000000" w:themeColor="text1"/>
          <w:szCs w:val="28"/>
          <w14:textFill>
            <w14:solidFill>
              <w14:schemeClr w14:val="tx1"/>
            </w14:solidFill>
          </w14:textFill>
        </w:rPr>
        <w:t>；</w:t>
      </w:r>
    </w:p>
    <w:p w14:paraId="0F1C45B6">
      <w:pPr>
        <w:numPr>
          <w:ilvl w:val="0"/>
          <w:numId w:val="7"/>
        </w:numPr>
        <w:ind w:firstLine="640" w:firstLineChars="200"/>
        <w:rPr>
          <w:rFonts w:cs="Times New Roman"/>
          <w:szCs w:val="28"/>
        </w:rPr>
      </w:pPr>
      <w:r>
        <w:rPr>
          <w:rFonts w:cs="Times New Roman"/>
          <w:szCs w:val="28"/>
        </w:rPr>
        <w:t>《危险废物识别标志设置技术规范》（HJ 1276—2022）；</w:t>
      </w:r>
    </w:p>
    <w:p w14:paraId="4713AB0C">
      <w:pPr>
        <w:numPr>
          <w:ilvl w:val="0"/>
          <w:numId w:val="7"/>
        </w:numPr>
        <w:ind w:firstLine="640" w:firstLineChars="200"/>
        <w:rPr>
          <w:rFonts w:cs="Times New Roman"/>
          <w:szCs w:val="28"/>
        </w:rPr>
      </w:pPr>
      <w:r>
        <w:rPr>
          <w:rFonts w:cs="Times New Roman"/>
          <w:szCs w:val="28"/>
        </w:rPr>
        <w:t>《危险废物贮存污染控制标准》（GB18597—2023）；</w:t>
      </w:r>
    </w:p>
    <w:p w14:paraId="0CFB8DDA">
      <w:pPr>
        <w:numPr>
          <w:ilvl w:val="0"/>
          <w:numId w:val="7"/>
        </w:numPr>
        <w:ind w:firstLine="640" w:firstLineChars="200"/>
        <w:rPr>
          <w:rFonts w:cs="Times New Roman"/>
          <w:szCs w:val="28"/>
        </w:rPr>
      </w:pPr>
      <w:r>
        <w:rPr>
          <w:rFonts w:cs="Times New Roman"/>
          <w:szCs w:val="28"/>
        </w:rPr>
        <w:t>《医疗废物专用包装袋、容器和警示标志标准》（HJ 421</w:t>
      </w:r>
      <w:r>
        <w:rPr>
          <w:rFonts w:hint="eastAsia" w:cs="Times New Roman"/>
          <w:szCs w:val="28"/>
        </w:rPr>
        <w:t>－</w:t>
      </w:r>
      <w:r>
        <w:rPr>
          <w:rFonts w:cs="Times New Roman"/>
          <w:szCs w:val="28"/>
        </w:rPr>
        <w:t>2008）；</w:t>
      </w:r>
    </w:p>
    <w:p w14:paraId="36423086">
      <w:pPr>
        <w:numPr>
          <w:ilvl w:val="0"/>
          <w:numId w:val="7"/>
        </w:numPr>
        <w:ind w:firstLine="640" w:firstLineChars="200"/>
        <w:rPr>
          <w:rFonts w:cs="Times New Roman"/>
          <w:szCs w:val="28"/>
        </w:rPr>
      </w:pPr>
      <w:r>
        <w:rPr>
          <w:rFonts w:cs="Times New Roman"/>
          <w:szCs w:val="28"/>
        </w:rPr>
        <w:t>《医疗废物焚烧环境卫生标准》（GB/T 18773</w:t>
      </w:r>
      <w:r>
        <w:rPr>
          <w:rFonts w:hint="eastAsia" w:cs="Times New Roman"/>
          <w:szCs w:val="28"/>
        </w:rPr>
        <w:t>－</w:t>
      </w:r>
      <w:r>
        <w:rPr>
          <w:rFonts w:cs="Times New Roman"/>
          <w:szCs w:val="28"/>
        </w:rPr>
        <w:t>2008）</w:t>
      </w:r>
    </w:p>
    <w:p w14:paraId="6FF99837">
      <w:pPr>
        <w:numPr>
          <w:ilvl w:val="0"/>
          <w:numId w:val="7"/>
        </w:numPr>
        <w:ind w:firstLine="640" w:firstLineChars="200"/>
        <w:rPr>
          <w:rFonts w:cs="Times New Roman"/>
          <w:szCs w:val="28"/>
        </w:rPr>
      </w:pPr>
      <w:r>
        <w:rPr>
          <w:rFonts w:cs="Times New Roman"/>
          <w:szCs w:val="28"/>
        </w:rPr>
        <w:t>《医疗废物处理处置污染控制标准》（GB 39707</w:t>
      </w:r>
      <w:r>
        <w:rPr>
          <w:rFonts w:hint="eastAsia" w:cs="Times New Roman"/>
          <w:szCs w:val="28"/>
        </w:rPr>
        <w:t>－</w:t>
      </w:r>
      <w:r>
        <w:rPr>
          <w:rFonts w:cs="Times New Roman"/>
          <w:szCs w:val="28"/>
        </w:rPr>
        <w:t>2020）；</w:t>
      </w:r>
    </w:p>
    <w:p w14:paraId="3A109DE4">
      <w:pPr>
        <w:numPr>
          <w:ilvl w:val="0"/>
          <w:numId w:val="7"/>
        </w:numPr>
        <w:ind w:firstLine="640" w:firstLineChars="200"/>
        <w:rPr>
          <w:rFonts w:cs="Times New Roman"/>
          <w:szCs w:val="28"/>
        </w:rPr>
      </w:pPr>
      <w:r>
        <w:rPr>
          <w:rFonts w:cs="Times New Roman"/>
          <w:szCs w:val="28"/>
        </w:rPr>
        <w:t>《新型冠状病毒感染医疗废物收集贮存运输处置技术指南》（苏环办〔2020〕32号）；</w:t>
      </w:r>
    </w:p>
    <w:p w14:paraId="6C8E249B">
      <w:pPr>
        <w:numPr>
          <w:ilvl w:val="0"/>
          <w:numId w:val="7"/>
        </w:numPr>
        <w:ind w:firstLine="640" w:firstLineChars="200"/>
        <w:rPr>
          <w:rFonts w:cs="Times New Roman"/>
          <w:szCs w:val="28"/>
        </w:rPr>
      </w:pPr>
      <w:r>
        <w:rPr>
          <w:rFonts w:cs="Times New Roman"/>
          <w:szCs w:val="28"/>
        </w:rPr>
        <w:t>《医疗废物分类目录（2021年版）》（国卫医函〔2021〕238号）。</w:t>
      </w:r>
    </w:p>
    <w:bookmarkEnd w:id="5"/>
    <w:p w14:paraId="0D62C77A">
      <w:pPr>
        <w:pStyle w:val="3"/>
        <w:spacing w:before="0" w:after="0"/>
        <w:rPr>
          <w:rFonts w:ascii="方正黑体_GBK" w:cs="Times New Roman"/>
          <w:szCs w:val="28"/>
        </w:rPr>
      </w:pPr>
      <w:bookmarkStart w:id="11" w:name="_Toc129882910"/>
      <w:bookmarkStart w:id="12" w:name="_Ref105689156"/>
      <w:bookmarkStart w:id="13" w:name="_Ref105689025"/>
      <w:bookmarkStart w:id="14" w:name="_Toc140150506"/>
    </w:p>
    <w:p w14:paraId="7BEFD3F3">
      <w:pPr>
        <w:pStyle w:val="3"/>
        <w:spacing w:before="0" w:after="0"/>
        <w:rPr>
          <w:rFonts w:ascii="方正黑体_GBK" w:cs="Times New Roman"/>
          <w:szCs w:val="28"/>
        </w:rPr>
      </w:pPr>
      <w:r>
        <w:rPr>
          <w:rFonts w:hint="eastAsia" w:ascii="方正黑体_GBK" w:cs="Times New Roman"/>
          <w:szCs w:val="28"/>
        </w:rPr>
        <w:t>第二节 实施范围及期限</w:t>
      </w:r>
      <w:bookmarkEnd w:id="11"/>
      <w:bookmarkEnd w:id="12"/>
      <w:bookmarkEnd w:id="13"/>
      <w:bookmarkEnd w:id="14"/>
    </w:p>
    <w:p w14:paraId="1C57BE6E">
      <w:pPr>
        <w:ind w:firstLine="640" w:firstLineChars="200"/>
        <w:rPr>
          <w:rFonts w:cs="Times New Roman"/>
          <w:szCs w:val="28"/>
        </w:rPr>
      </w:pPr>
      <w:r>
        <w:rPr>
          <w:rFonts w:cs="Times New Roman"/>
          <w:szCs w:val="28"/>
        </w:rPr>
        <w:t>实施范围：玄武区全域，包括7个街道（新街口街道、玄武门街道、梅园新村街道、锁金村街道、孝陵卫街道、玄武湖街道、红山街道）和1个开发区（南京徐庄高新技术产业开发区），60个社区，总面积75.46平方公里。</w:t>
      </w:r>
    </w:p>
    <w:p w14:paraId="36C5899B">
      <w:pPr>
        <w:ind w:firstLine="640" w:firstLineChars="200"/>
        <w:rPr>
          <w:rFonts w:cs="Times New Roman"/>
          <w:szCs w:val="28"/>
        </w:rPr>
      </w:pPr>
      <w:r>
        <w:rPr>
          <w:rFonts w:cs="Times New Roman"/>
          <w:szCs w:val="28"/>
        </w:rPr>
        <w:t>实施方案编制基准年：2021年</w:t>
      </w:r>
    </w:p>
    <w:p w14:paraId="0114A253">
      <w:pPr>
        <w:ind w:firstLine="640" w:firstLineChars="200"/>
        <w:rPr>
          <w:rFonts w:hint="eastAsia" w:cs="Times New Roman"/>
          <w:szCs w:val="28"/>
        </w:rPr>
        <w:sectPr>
          <w:footerReference r:id="rId5" w:type="default"/>
          <w:pgSz w:w="11906" w:h="16838"/>
          <w:pgMar w:top="2098" w:right="1474" w:bottom="1985" w:left="1588" w:header="851" w:footer="1247" w:gutter="0"/>
          <w:pgNumType w:start="1"/>
          <w:cols w:space="425" w:num="1"/>
          <w:docGrid w:type="lines" w:linePitch="435" w:charSpace="0"/>
        </w:sectPr>
      </w:pPr>
      <w:r>
        <w:rPr>
          <w:rFonts w:cs="Times New Roman"/>
          <w:szCs w:val="28"/>
        </w:rPr>
        <w:t>实施期限：2022年至2025</w:t>
      </w:r>
      <w:bookmarkStart w:id="15" w:name="_Toc129882911"/>
      <w:r>
        <w:rPr>
          <w:rFonts w:cs="Times New Roman"/>
          <w:szCs w:val="28"/>
        </w:rPr>
        <w:t>年</w:t>
      </w:r>
    </w:p>
    <w:p w14:paraId="7EEB5925">
      <w:pPr>
        <w:pStyle w:val="2"/>
        <w:numPr>
          <w:ilvl w:val="0"/>
          <w:numId w:val="0"/>
        </w:numPr>
        <w:spacing w:beforeLines="0" w:after="0" w:line="420" w:lineRule="exact"/>
        <w:rPr>
          <w:rFonts w:ascii="方正黑体_GBK" w:cs="Times New Roman"/>
          <w:szCs w:val="28"/>
        </w:rPr>
      </w:pPr>
      <w:bookmarkStart w:id="16" w:name="_Toc140150507"/>
      <w:r>
        <w:rPr>
          <w:rFonts w:hint="eastAsia" w:ascii="方正黑体_GBK" w:cs="Times New Roman"/>
          <w:szCs w:val="28"/>
        </w:rPr>
        <w:t>第二章 城乡发展与固体废物管理概况</w:t>
      </w:r>
      <w:bookmarkEnd w:id="15"/>
      <w:bookmarkEnd w:id="16"/>
    </w:p>
    <w:p w14:paraId="0004FDF9">
      <w:pPr>
        <w:pStyle w:val="3"/>
        <w:spacing w:before="0" w:after="0" w:line="420" w:lineRule="exact"/>
        <w:ind w:firstLine="2720" w:firstLineChars="850"/>
        <w:jc w:val="both"/>
        <w:rPr>
          <w:rFonts w:ascii="方正黑体_GBK" w:cs="Times New Roman"/>
          <w:szCs w:val="28"/>
        </w:rPr>
      </w:pPr>
      <w:bookmarkStart w:id="17" w:name="_Ref105691158"/>
      <w:bookmarkStart w:id="18" w:name="_Ref105689725"/>
      <w:bookmarkStart w:id="19" w:name="_Ref105690878"/>
      <w:bookmarkStart w:id="20" w:name="_Ref105689113"/>
      <w:bookmarkStart w:id="21" w:name="_Ref105690985"/>
      <w:bookmarkStart w:id="22" w:name="_Ref105689740"/>
      <w:bookmarkStart w:id="23" w:name="_Ref105691017"/>
      <w:bookmarkStart w:id="24" w:name="_Ref105690914"/>
      <w:bookmarkStart w:id="25" w:name="_Toc140150508"/>
      <w:bookmarkStart w:id="26" w:name="_Ref105691045"/>
      <w:bookmarkStart w:id="27" w:name="_Toc129882912"/>
      <w:bookmarkStart w:id="28" w:name="_Ref105691249"/>
      <w:bookmarkStart w:id="29" w:name="_Ref105691103"/>
    </w:p>
    <w:p w14:paraId="37F03F09">
      <w:pPr>
        <w:pStyle w:val="3"/>
        <w:spacing w:before="0" w:after="0" w:line="420" w:lineRule="exact"/>
        <w:ind w:firstLine="2720" w:firstLineChars="850"/>
        <w:jc w:val="both"/>
        <w:rPr>
          <w:rFonts w:ascii="方正黑体_GBK" w:cs="Times New Roman"/>
          <w:szCs w:val="28"/>
        </w:rPr>
      </w:pPr>
      <w:r>
        <w:rPr>
          <w:rFonts w:hint="eastAsia" w:ascii="方正黑体_GBK" w:cs="Times New Roman"/>
          <w:szCs w:val="28"/>
        </w:rPr>
        <w:t>第一节 玄武区基本情况</w:t>
      </w:r>
      <w:bookmarkEnd w:id="17"/>
      <w:bookmarkEnd w:id="18"/>
      <w:bookmarkEnd w:id="19"/>
      <w:bookmarkEnd w:id="20"/>
      <w:bookmarkEnd w:id="21"/>
      <w:bookmarkEnd w:id="22"/>
      <w:bookmarkEnd w:id="23"/>
      <w:bookmarkEnd w:id="24"/>
      <w:bookmarkEnd w:id="25"/>
      <w:bookmarkEnd w:id="26"/>
      <w:bookmarkEnd w:id="27"/>
      <w:bookmarkEnd w:id="28"/>
      <w:bookmarkEnd w:id="29"/>
    </w:p>
    <w:p w14:paraId="2379CEB7">
      <w:pPr>
        <w:spacing w:line="420" w:lineRule="exact"/>
        <w:ind w:firstLine="640" w:firstLineChars="200"/>
        <w:rPr>
          <w:rFonts w:cs="Times New Roman"/>
        </w:rPr>
      </w:pPr>
      <w:r>
        <w:rPr>
          <w:rFonts w:cs="Times New Roman"/>
        </w:rPr>
        <w:t>玄武区位于南京市中部，是南京的核心城区，也是南京市委、市政府及众多省、市机关所在地，东部战区、东部战区空军等</w:t>
      </w:r>
      <w:r>
        <w:rPr>
          <w:rFonts w:hint="eastAsia" w:cs="Times New Roman"/>
        </w:rPr>
        <w:t>军队</w:t>
      </w:r>
      <w:r>
        <w:rPr>
          <w:rFonts w:cs="Times New Roman"/>
        </w:rPr>
        <w:t>机关所在地。辖区坐拥紫金山、玄武湖、鸡鸣寺，山水城林汇集一域，六朝文脉尽绽芳华。科教资源密集，人才优势突出，辖区内有东南大学、南京理工大学、南京农业大学等10所高等院校和中科院南京分院、省农科院等25家科研院所，集中了全省近</w:t>
      </w:r>
      <w:r>
        <w:rPr>
          <w:rFonts w:hint="eastAsia" w:cs="Times New Roman"/>
        </w:rPr>
        <w:t>三分之一</w:t>
      </w:r>
      <w:r>
        <w:rPr>
          <w:rFonts w:cs="Times New Roman"/>
        </w:rPr>
        <w:t>的</w:t>
      </w:r>
      <w:r>
        <w:rPr>
          <w:rFonts w:hint="eastAsia" w:cs="Times New Roman"/>
        </w:rPr>
        <w:t>“</w:t>
      </w:r>
      <w:r>
        <w:rPr>
          <w:rFonts w:cs="Times New Roman"/>
        </w:rPr>
        <w:t>两院</w:t>
      </w:r>
      <w:r>
        <w:rPr>
          <w:rFonts w:hint="eastAsia" w:cs="Times New Roman"/>
        </w:rPr>
        <w:t>”</w:t>
      </w:r>
      <w:r>
        <w:rPr>
          <w:rFonts w:cs="Times New Roman"/>
        </w:rPr>
        <w:t>院士和全市一半左右的省级以上重点实验室。</w:t>
      </w:r>
    </w:p>
    <w:p w14:paraId="255B8F75">
      <w:pPr>
        <w:spacing w:line="420" w:lineRule="exact"/>
        <w:ind w:firstLine="640" w:firstLineChars="200"/>
        <w:rPr>
          <w:rFonts w:cs="Times New Roman"/>
        </w:rPr>
      </w:pPr>
      <w:r>
        <w:rPr>
          <w:rFonts w:cs="Times New Roman"/>
        </w:rPr>
        <w:t>玄武区紧紧围绕</w:t>
      </w:r>
      <w:r>
        <w:rPr>
          <w:rFonts w:hint="eastAsia" w:cs="Times New Roman"/>
        </w:rPr>
        <w:t>“</w:t>
      </w:r>
      <w:r>
        <w:rPr>
          <w:rFonts w:cs="Times New Roman"/>
        </w:rPr>
        <w:t>全面建设人民满意的社会主义现代化典范城市</w:t>
      </w:r>
      <w:r>
        <w:rPr>
          <w:rFonts w:hint="eastAsia" w:cs="Times New Roman"/>
        </w:rPr>
        <w:t>”</w:t>
      </w:r>
      <w:r>
        <w:rPr>
          <w:rFonts w:cs="Times New Roman"/>
        </w:rPr>
        <w:t>奋斗目标，牢固树立以人民为中心的发展思想，在高质量发展上探索新路径、在首位度提升上形成新优势、在现代化建设上开辟新境界，建设最具竞争力的创新高地、最具影响力的消费中心、最具吸引力的美丽城区、最具凝聚力的幸福家园，奋力谱写中国式现代化建设新篇章。</w:t>
      </w:r>
    </w:p>
    <w:p w14:paraId="3214D2DC">
      <w:pPr>
        <w:spacing w:line="240" w:lineRule="auto"/>
        <w:jc w:val="center"/>
        <w:rPr>
          <w:rFonts w:cs="Times New Roman"/>
          <w:szCs w:val="28"/>
        </w:rPr>
      </w:pPr>
      <w:r>
        <w:rPr>
          <w:rFonts w:cs="Times New Roman"/>
          <w:szCs w:val="28"/>
        </w:rPr>
        <w:drawing>
          <wp:inline distT="0" distB="0" distL="0" distR="0">
            <wp:extent cx="5476240" cy="29203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99207" cy="2932742"/>
                    </a:xfrm>
                    <a:prstGeom prst="rect">
                      <a:avLst/>
                    </a:prstGeom>
                    <a:noFill/>
                  </pic:spPr>
                </pic:pic>
              </a:graphicData>
            </a:graphic>
          </wp:inline>
        </w:drawing>
      </w:r>
    </w:p>
    <w:p w14:paraId="471FC142">
      <w:pPr>
        <w:pStyle w:val="38"/>
        <w:numPr>
          <w:ilvl w:val="0"/>
          <w:numId w:val="8"/>
        </w:numPr>
        <w:spacing w:afterLines="0"/>
        <w:rPr>
          <w:rFonts w:cs="Times New Roman"/>
          <w:szCs w:val="24"/>
        </w:rPr>
      </w:pPr>
      <w:r>
        <w:rPr>
          <w:rFonts w:cs="Times New Roman"/>
          <w:szCs w:val="24"/>
        </w:rPr>
        <w:t>玄武区地理区位图</w:t>
      </w:r>
    </w:p>
    <w:p w14:paraId="59263691">
      <w:pPr>
        <w:pStyle w:val="4"/>
        <w:ind w:firstLine="640"/>
        <w:rPr>
          <w:rFonts w:ascii="方正黑体_GBK" w:cs="Times New Roman"/>
          <w:szCs w:val="28"/>
        </w:rPr>
      </w:pPr>
      <w:bookmarkStart w:id="30" w:name="_Toc129882913"/>
      <w:r>
        <w:rPr>
          <w:rFonts w:hint="eastAsia" w:ascii="方正黑体_GBK" w:cs="Times New Roman"/>
          <w:szCs w:val="28"/>
        </w:rPr>
        <w:t>一、经济发展</w:t>
      </w:r>
      <w:bookmarkEnd w:id="30"/>
    </w:p>
    <w:p w14:paraId="7AF6C159">
      <w:pPr>
        <w:ind w:firstLine="643" w:firstLineChars="200"/>
        <w:rPr>
          <w:rFonts w:cs="Times New Roman"/>
        </w:rPr>
      </w:pPr>
      <w:r>
        <w:rPr>
          <w:rFonts w:cs="Times New Roman"/>
          <w:b/>
          <w:bCs/>
        </w:rPr>
        <w:t>以第三产业为主导</w:t>
      </w:r>
      <w:r>
        <w:rPr>
          <w:rFonts w:hint="eastAsia" w:cs="Times New Roman"/>
          <w:b/>
          <w:bCs/>
        </w:rPr>
        <w:t>，</w:t>
      </w:r>
      <w:r>
        <w:rPr>
          <w:rFonts w:cs="Times New Roman"/>
          <w:b/>
          <w:bCs/>
        </w:rPr>
        <w:t>地区生产总值稳步增长，综合实力再上新台阶</w:t>
      </w:r>
      <w:r>
        <w:rPr>
          <w:rFonts w:cs="Times New Roman"/>
        </w:rPr>
        <w:t>。2021年，玄武区实现生产总值1205.94亿元，占南京市生产总值的7.37%，同比增长8.8%，增速保持城区首位，比国家、全省、全市分别高0.7、0.2、1.3个百分点，两年平均增长7.0%，比国家、全省、全市分别高1.9、0.9、1.0个百分点。服务业增加值1184.73亿元，同比增长8.9%。从产业结构来看，三次产业增加值比例为0.0：1.8：98.2，服务业增加值占GDP比重较去年全年提高0.1个百分点。</w:t>
      </w:r>
      <w:bookmarkStart w:id="31" w:name="_Hlk121993757"/>
      <w:r>
        <w:rPr>
          <w:rFonts w:cs="Times New Roman"/>
        </w:rPr>
        <w:t>玄武区第二产业生产总值在南京市占比0.36%，第三产业生产总值在南京市占比11.66%</w:t>
      </w:r>
      <w:r>
        <w:rPr>
          <w:rFonts w:hint="eastAsia" w:cs="Times New Roman"/>
        </w:rPr>
        <w:t>。</w:t>
      </w:r>
      <w:bookmarkEnd w:id="31"/>
    </w:p>
    <w:p w14:paraId="42171920">
      <w:pPr>
        <w:spacing w:line="240" w:lineRule="auto"/>
        <w:jc w:val="center"/>
        <w:rPr>
          <w:rFonts w:cs="Times New Roman"/>
        </w:rPr>
      </w:pPr>
      <w:r>
        <w:rPr>
          <w:rFonts w:cs="Times New Roman"/>
        </w:rPr>
        <w:drawing>
          <wp:inline distT="0" distB="0" distL="0" distR="0">
            <wp:extent cx="2554605" cy="18726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61557" cy="1877624"/>
                    </a:xfrm>
                    <a:prstGeom prst="rect">
                      <a:avLst/>
                    </a:prstGeom>
                    <a:noFill/>
                  </pic:spPr>
                </pic:pic>
              </a:graphicData>
            </a:graphic>
          </wp:inline>
        </w:drawing>
      </w:r>
      <w:r>
        <w:rPr>
          <w:rFonts w:cs="Times New Roman"/>
        </w:rPr>
        <w:drawing>
          <wp:inline distT="0" distB="0" distL="0" distR="0">
            <wp:extent cx="2343150" cy="18719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43195" cy="1872000"/>
                    </a:xfrm>
                    <a:prstGeom prst="rect">
                      <a:avLst/>
                    </a:prstGeom>
                    <a:noFill/>
                  </pic:spPr>
                </pic:pic>
              </a:graphicData>
            </a:graphic>
          </wp:inline>
        </w:drawing>
      </w:r>
    </w:p>
    <w:p w14:paraId="33BB9AA9">
      <w:pPr>
        <w:pStyle w:val="38"/>
        <w:numPr>
          <w:ilvl w:val="0"/>
          <w:numId w:val="8"/>
        </w:numPr>
        <w:spacing w:afterLines="0" w:line="560" w:lineRule="exact"/>
        <w:rPr>
          <w:rFonts w:cs="Times New Roman"/>
          <w:szCs w:val="24"/>
        </w:rPr>
      </w:pPr>
      <w:r>
        <w:rPr>
          <w:rFonts w:cs="Times New Roman"/>
          <w:szCs w:val="24"/>
        </w:rPr>
        <w:t>玄武区地区生产总值、增幅及产业结构</w:t>
      </w:r>
    </w:p>
    <w:p w14:paraId="30A6FA16">
      <w:pPr>
        <w:ind w:firstLine="643" w:firstLineChars="200"/>
        <w:rPr>
          <w:rFonts w:cs="Times New Roman"/>
        </w:rPr>
      </w:pPr>
      <w:r>
        <w:rPr>
          <w:rFonts w:cs="Times New Roman"/>
          <w:b/>
          <w:bCs/>
        </w:rPr>
        <w:t>规上工业生产稳中有进，经营状况向好。</w:t>
      </w:r>
      <w:r>
        <w:rPr>
          <w:rFonts w:cs="Times New Roman"/>
        </w:rPr>
        <w:t>2021年，玄武区实现规上工业总产值42.96亿元，同比增长20.6%，较前三季度提升1.7个百分点。营业收入47.26亿元，同比增长21.1%；利润总额2.23亿元，同比增长81.6%；产销率达92.3%。全区所涉10个行业大类产值同比呈</w:t>
      </w:r>
      <w:r>
        <w:rPr>
          <w:rFonts w:hint="eastAsia" w:cs="Times New Roman"/>
        </w:rPr>
        <w:t>“</w:t>
      </w:r>
      <w:r>
        <w:rPr>
          <w:rFonts w:cs="Times New Roman"/>
        </w:rPr>
        <w:t>八升两降</w:t>
      </w:r>
      <w:r>
        <w:rPr>
          <w:rFonts w:hint="eastAsia" w:cs="Times New Roman"/>
        </w:rPr>
        <w:t>”</w:t>
      </w:r>
      <w:r>
        <w:rPr>
          <w:rFonts w:cs="Times New Roman"/>
        </w:rPr>
        <w:t>态势，其中：重点行业燃气生产和供应业产值同比增长20.3%。</w:t>
      </w:r>
    </w:p>
    <w:p w14:paraId="7913B0EA">
      <w:pPr>
        <w:ind w:firstLine="643" w:firstLineChars="200"/>
        <w:rPr>
          <w:rFonts w:cs="Times New Roman"/>
        </w:rPr>
      </w:pPr>
      <w:r>
        <w:rPr>
          <w:rFonts w:cs="Times New Roman"/>
          <w:b/>
          <w:bCs/>
        </w:rPr>
        <w:t>贸易业销售额增势强劲，消费市场持续扩大</w:t>
      </w:r>
      <w:r>
        <w:rPr>
          <w:rFonts w:cs="Times New Roman"/>
        </w:rPr>
        <w:t>。2021年，玄武区实现限上贸易业销售额3587.37亿元，同比增长35.9%，增速居城区首位，高于全市17.3个百分点。限上批发业、零售业、住宿业、餐饮业同比分别增长43.7%、14.5%、8.3%、28.8%，批发业以77.2%的占比稳居各行业首位，总量对全区限上销售额起重要支撑作用。消费市场继续保持恢复态势，全区实现社会消费品零售总额1129.77亿元，同比增长9.8%，两年平均增长5.5%。</w:t>
      </w:r>
    </w:p>
    <w:p w14:paraId="616A6A6B">
      <w:pPr>
        <w:ind w:firstLine="643" w:firstLineChars="200"/>
        <w:rPr>
          <w:rFonts w:cs="Times New Roman"/>
        </w:rPr>
      </w:pPr>
      <w:r>
        <w:rPr>
          <w:rFonts w:cs="Times New Roman"/>
          <w:b/>
          <w:bCs/>
        </w:rPr>
        <w:t>规上服务业较快复苏，十类行业齐头并进。</w:t>
      </w:r>
      <w:r>
        <w:rPr>
          <w:rFonts w:cs="Times New Roman"/>
        </w:rPr>
        <w:t>2021年，全区规上服务业保持复苏态势，实现营业收入689.16亿元，较上年同期增长25.4%。列入统计的10个行业营业收入全部实现两位数增长，其中5个行业同比增速超过20%。</w:t>
      </w:r>
    </w:p>
    <w:p w14:paraId="7CDEC303">
      <w:pPr>
        <w:pStyle w:val="4"/>
        <w:ind w:firstLine="640"/>
        <w:rPr>
          <w:rFonts w:ascii="方正黑体_GBK" w:cs="Times New Roman"/>
          <w:szCs w:val="28"/>
        </w:rPr>
      </w:pPr>
      <w:bookmarkStart w:id="32" w:name="_Toc129882914"/>
      <w:r>
        <w:rPr>
          <w:rFonts w:hint="eastAsia" w:ascii="方正黑体_GBK" w:cs="Times New Roman"/>
          <w:szCs w:val="28"/>
        </w:rPr>
        <w:t>二、社会发展</w:t>
      </w:r>
      <w:bookmarkEnd w:id="32"/>
    </w:p>
    <w:p w14:paraId="383AEA24">
      <w:pPr>
        <w:ind w:firstLine="643" w:firstLineChars="200"/>
        <w:rPr>
          <w:rFonts w:cs="Times New Roman"/>
        </w:rPr>
      </w:pPr>
      <w:r>
        <w:rPr>
          <w:rFonts w:cs="Times New Roman"/>
          <w:b/>
          <w:bCs/>
        </w:rPr>
        <w:t>常住人口有所减少，居民收入持续增长</w:t>
      </w:r>
      <w:r>
        <w:rPr>
          <w:rFonts w:cs="Times New Roman"/>
        </w:rPr>
        <w:t>。2021年末</w:t>
      </w:r>
      <w:r>
        <w:rPr>
          <w:rFonts w:hint="eastAsia" w:cs="Times New Roman"/>
        </w:rPr>
        <w:t>，</w:t>
      </w:r>
      <w:r>
        <w:rPr>
          <w:rFonts w:cs="Times New Roman"/>
        </w:rPr>
        <w:t>全区常住人口53.73万人，较2020年减少0.08万人，较2019年减少3.79万人。全区居民人均可支配收入达81471.8元，同比增长8.8%，两年平均增长6.8%，绝对值继续保持全省首位。居民生活消费支出达59102.2元，同比增长18.8%，两年平均增长9.0%。</w:t>
      </w:r>
    </w:p>
    <w:p w14:paraId="1CB48B86">
      <w:pPr>
        <w:spacing w:line="240" w:lineRule="auto"/>
        <w:jc w:val="center"/>
        <w:rPr>
          <w:rFonts w:cs="Times New Roman"/>
        </w:rPr>
      </w:pPr>
      <w:r>
        <w:rPr>
          <w:rFonts w:cs="Times New Roman"/>
        </w:rPr>
        <w:drawing>
          <wp:inline distT="0" distB="0" distL="0" distR="0">
            <wp:extent cx="4261485" cy="2487295"/>
            <wp:effectExtent l="0" t="0" r="5715" b="825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306F90">
      <w:pPr>
        <w:pStyle w:val="122"/>
        <w:numPr>
          <w:ilvl w:val="0"/>
          <w:numId w:val="8"/>
        </w:numPr>
        <w:spacing w:afterLines="0" w:line="560" w:lineRule="exact"/>
        <w:rPr>
          <w:rFonts w:cs="Times New Roman"/>
        </w:rPr>
      </w:pPr>
      <w:r>
        <w:rPr>
          <w:rFonts w:cs="Times New Roman"/>
        </w:rPr>
        <w:t>玄武区城镇居民人均可支配收入及增幅</w:t>
      </w:r>
    </w:p>
    <w:p w14:paraId="3BB90F5A">
      <w:pPr>
        <w:ind w:firstLine="643" w:firstLineChars="200"/>
        <w:rPr>
          <w:rFonts w:cs="Times New Roman"/>
        </w:rPr>
      </w:pPr>
      <w:r>
        <w:rPr>
          <w:rFonts w:cs="Times New Roman"/>
          <w:b/>
          <w:bCs/>
        </w:rPr>
        <w:t>创新动能更加集聚，综合创新生态更加完善。</w:t>
      </w:r>
      <w:r>
        <w:rPr>
          <w:rFonts w:cs="Times New Roman"/>
        </w:rPr>
        <w:t>聚力打造</w:t>
      </w:r>
      <w:r>
        <w:rPr>
          <w:rFonts w:hint="eastAsia" w:cs="Times New Roman"/>
        </w:rPr>
        <w:t>“</w:t>
      </w:r>
      <w:r>
        <w:rPr>
          <w:rFonts w:cs="Times New Roman"/>
        </w:rPr>
        <w:t>一区五园</w:t>
      </w:r>
      <w:r>
        <w:rPr>
          <w:rFonts w:hint="eastAsia" w:cs="Times New Roman"/>
        </w:rPr>
        <w:t>”</w:t>
      </w:r>
      <w:r>
        <w:rPr>
          <w:rFonts w:cs="Times New Roman"/>
        </w:rPr>
        <w:t>创新经济带，徐庄高新区创成省级高新区，珠江路创业大街向城市</w:t>
      </w:r>
      <w:r>
        <w:rPr>
          <w:rFonts w:hint="eastAsia" w:cs="Times New Roman"/>
        </w:rPr>
        <w:t>“</w:t>
      </w:r>
      <w:r>
        <w:rPr>
          <w:rFonts w:cs="Times New Roman"/>
        </w:rPr>
        <w:t>硅巷</w:t>
      </w:r>
      <w:r>
        <w:rPr>
          <w:rFonts w:hint="eastAsia" w:cs="Times New Roman"/>
        </w:rPr>
        <w:t>”</w:t>
      </w:r>
      <w:r>
        <w:rPr>
          <w:rFonts w:cs="Times New Roman"/>
        </w:rPr>
        <w:t>升级，成功入选首批省级众创社区试点单位，全区创成省级双创示范基地。组建玄武文化和旅游融合发展联盟、钟山农业创新发展联盟、南京理工大学基础教育联盟等多边平台。深入实施</w:t>
      </w:r>
      <w:r>
        <w:rPr>
          <w:rFonts w:hint="eastAsia" w:cs="Times New Roman"/>
        </w:rPr>
        <w:t>“</w:t>
      </w:r>
      <w:r>
        <w:rPr>
          <w:rFonts w:cs="Times New Roman"/>
        </w:rPr>
        <w:t>凤栖玄武</w:t>
      </w:r>
      <w:r>
        <w:rPr>
          <w:rFonts w:hint="eastAsia" w:cs="Times New Roman"/>
        </w:rPr>
        <w:t>”</w:t>
      </w:r>
      <w:r>
        <w:rPr>
          <w:rFonts w:cs="Times New Roman"/>
        </w:rPr>
        <w:t>人才工程，搭建</w:t>
      </w:r>
      <w:r>
        <w:rPr>
          <w:rFonts w:hint="eastAsia" w:cs="Times New Roman"/>
        </w:rPr>
        <w:t>“</w:t>
      </w:r>
      <w:r>
        <w:rPr>
          <w:rFonts w:cs="Times New Roman"/>
        </w:rPr>
        <w:t>云平台+人才经纪人+服务圈</w:t>
      </w:r>
      <w:r>
        <w:rPr>
          <w:rFonts w:hint="eastAsia" w:cs="Times New Roman"/>
        </w:rPr>
        <w:t>”</w:t>
      </w:r>
      <w:r>
        <w:rPr>
          <w:rFonts w:cs="Times New Roman"/>
        </w:rPr>
        <w:t>三维架构，推出具有主城特色的</w:t>
      </w:r>
      <w:r>
        <w:rPr>
          <w:rFonts w:hint="eastAsia" w:cs="Times New Roman"/>
        </w:rPr>
        <w:t>“</w:t>
      </w:r>
      <w:r>
        <w:rPr>
          <w:rFonts w:cs="Times New Roman"/>
        </w:rPr>
        <w:t>凤栖玄武•人才优服</w:t>
      </w:r>
      <w:r>
        <w:rPr>
          <w:rFonts w:hint="eastAsia" w:cs="Times New Roman"/>
        </w:rPr>
        <w:t>”</w:t>
      </w:r>
      <w:r>
        <w:rPr>
          <w:rFonts w:cs="Times New Roman"/>
        </w:rPr>
        <w:t>体系。五年来累计备案新型研发机构12家</w:t>
      </w:r>
      <w:r>
        <w:rPr>
          <w:rFonts w:hint="eastAsia" w:cs="Times New Roman"/>
        </w:rPr>
        <w:t>；</w:t>
      </w:r>
      <w:r>
        <w:rPr>
          <w:rFonts w:cs="Times New Roman"/>
        </w:rPr>
        <w:t>引育各类人才466人，其中入选科技顶尖专家7人、创新型企业家24人、市级高层次创业人才69人、区级高层次创业人才205人；培育出独角兽企业3家、瞪羚企业17家，高新技术企业325家。PCT专利申请量630余件，有效发明专利12500件，万人发明专利拥有量200件，位列全市前列。</w:t>
      </w:r>
    </w:p>
    <w:p w14:paraId="1C2BFFC4">
      <w:pPr>
        <w:ind w:firstLine="643" w:firstLineChars="200"/>
        <w:rPr>
          <w:rFonts w:cs="Times New Roman"/>
        </w:rPr>
      </w:pPr>
      <w:r>
        <w:rPr>
          <w:rFonts w:cs="Times New Roman"/>
          <w:b/>
          <w:bCs/>
        </w:rPr>
        <w:t>医疗卫生体系逐渐完善。</w:t>
      </w:r>
      <w:r>
        <w:rPr>
          <w:rFonts w:cs="Times New Roman"/>
        </w:rPr>
        <w:t>玄武区目前共有各级各类医疗机构232家，其中区卫健系统所属社区卫生服务中心10家、卫生服务站2家、妇幼保健所1家、口腔专科医院1家，其余各类社会办医疗机构及学校医院218家。坚持生命至上，疫情防控取得重大成果，预检分诊</w:t>
      </w:r>
      <w:r>
        <w:rPr>
          <w:rFonts w:hint="eastAsia" w:cs="Times New Roman"/>
        </w:rPr>
        <w:t>“</w:t>
      </w:r>
      <w:r>
        <w:rPr>
          <w:rFonts w:cs="Times New Roman"/>
        </w:rPr>
        <w:t>兰园模式</w:t>
      </w:r>
      <w:r>
        <w:rPr>
          <w:rFonts w:hint="eastAsia" w:cs="Times New Roman"/>
        </w:rPr>
        <w:t>”</w:t>
      </w:r>
      <w:r>
        <w:rPr>
          <w:rFonts w:cs="Times New Roman"/>
        </w:rPr>
        <w:t>获国家卫健委肯定。建成区公共卫生事件应急处置中心大楼，新街口社区卫生服务中心获评</w:t>
      </w:r>
      <w:r>
        <w:rPr>
          <w:rFonts w:hint="eastAsia" w:cs="Times New Roman"/>
        </w:rPr>
        <w:t>“</w:t>
      </w:r>
      <w:r>
        <w:rPr>
          <w:rFonts w:cs="Times New Roman"/>
        </w:rPr>
        <w:t>全国优质服务示范社区卫生服务中心</w:t>
      </w:r>
      <w:r>
        <w:rPr>
          <w:rFonts w:hint="eastAsia" w:cs="Times New Roman"/>
        </w:rPr>
        <w:t>”，</w:t>
      </w:r>
      <w:r>
        <w:rPr>
          <w:rFonts w:cs="Times New Roman"/>
        </w:rPr>
        <w:t>每万人拥有全科医生5.41人。</w:t>
      </w:r>
    </w:p>
    <w:p w14:paraId="7AE493DB">
      <w:pPr>
        <w:pStyle w:val="4"/>
        <w:ind w:firstLine="640"/>
        <w:rPr>
          <w:rFonts w:ascii="方正黑体_GBK" w:cs="Times New Roman"/>
          <w:szCs w:val="28"/>
        </w:rPr>
      </w:pPr>
      <w:bookmarkStart w:id="33" w:name="_Toc129882915"/>
      <w:r>
        <w:rPr>
          <w:rFonts w:hint="eastAsia" w:ascii="方正黑体_GBK" w:cs="Times New Roman"/>
          <w:szCs w:val="28"/>
        </w:rPr>
        <w:t>三、生态环境</w:t>
      </w:r>
      <w:bookmarkEnd w:id="33"/>
    </w:p>
    <w:p w14:paraId="0AF1E8B5">
      <w:pPr>
        <w:pStyle w:val="36"/>
        <w:ind w:firstLine="643"/>
        <w:rPr>
          <w:rFonts w:cs="Times New Roman"/>
          <w:bCs/>
          <w:szCs w:val="28"/>
        </w:rPr>
      </w:pPr>
      <w:r>
        <w:rPr>
          <w:rFonts w:cs="Times New Roman"/>
          <w:b/>
          <w:bCs/>
        </w:rPr>
        <w:t>生态环境质量持续改善。</w:t>
      </w:r>
      <w:r>
        <w:rPr>
          <w:rFonts w:hint="eastAsia" w:cs="Times New Roman"/>
          <w:bCs/>
          <w:szCs w:val="28"/>
        </w:rPr>
        <w:t>“</w:t>
      </w:r>
      <w:r>
        <w:rPr>
          <w:rFonts w:cs="Times New Roman"/>
          <w:bCs/>
          <w:szCs w:val="28"/>
        </w:rPr>
        <w:t>十三五</w:t>
      </w:r>
      <w:r>
        <w:rPr>
          <w:rFonts w:hint="eastAsia" w:cs="Times New Roman"/>
          <w:bCs/>
          <w:szCs w:val="28"/>
        </w:rPr>
        <w:t>”</w:t>
      </w:r>
      <w:r>
        <w:rPr>
          <w:rFonts w:cs="Times New Roman"/>
          <w:bCs/>
          <w:szCs w:val="28"/>
        </w:rPr>
        <w:t>期间，玄武区坚持抓整治优生态，老城更新成效显著，新城建设日新月异，生态环境持续改善，功能品质明显提升。深入实施河长制，完成黑臭河整治24条，水环境整治提升22条，黑臭水体消除率100%，主要水体水质达到地表水V类以上，雨污分流工程圆满收工。PM</w:t>
      </w:r>
      <w:r>
        <w:rPr>
          <w:rFonts w:cs="Times New Roman"/>
          <w:bCs/>
          <w:szCs w:val="28"/>
          <w:vertAlign w:val="subscript"/>
        </w:rPr>
        <w:t>2.5</w:t>
      </w:r>
      <w:r>
        <w:rPr>
          <w:rFonts w:cs="Times New Roman"/>
          <w:bCs/>
          <w:szCs w:val="28"/>
        </w:rPr>
        <w:t>年均浓度28.9微克/立方米。聚焦污染防治和智慧化管理，建成13条餐饮污染控制示范街，实现智慧工地全覆盖。新建、改造九华山公园、鼓楼广场（东）等12个游园，城区绿化覆盖率和人均绿地面积稳居全市前列。</w:t>
      </w:r>
    </w:p>
    <w:p w14:paraId="2CC004BC">
      <w:pPr>
        <w:pStyle w:val="4"/>
        <w:ind w:firstLine="640"/>
        <w:rPr>
          <w:rFonts w:ascii="方正黑体_GBK" w:cs="Times New Roman"/>
          <w:szCs w:val="28"/>
        </w:rPr>
      </w:pPr>
      <w:bookmarkStart w:id="34" w:name="_Toc129882916"/>
      <w:r>
        <w:rPr>
          <w:rFonts w:hint="eastAsia" w:ascii="方正黑体_GBK" w:cs="Times New Roman"/>
          <w:szCs w:val="28"/>
        </w:rPr>
        <w:t>四、未来布局规划</w:t>
      </w:r>
      <w:bookmarkEnd w:id="34"/>
    </w:p>
    <w:p w14:paraId="512AEFBF">
      <w:pPr>
        <w:ind w:firstLine="640" w:firstLineChars="200"/>
        <w:rPr>
          <w:rFonts w:cs="Times New Roman"/>
          <w:szCs w:val="28"/>
        </w:rPr>
      </w:pPr>
      <w:r>
        <w:rPr>
          <w:rFonts w:hint="eastAsia" w:cs="Times New Roman"/>
          <w:szCs w:val="28"/>
        </w:rPr>
        <w:t>“</w:t>
      </w:r>
      <w:r>
        <w:rPr>
          <w:rFonts w:cs="Times New Roman"/>
          <w:szCs w:val="28"/>
        </w:rPr>
        <w:t>十四五</w:t>
      </w:r>
      <w:r>
        <w:rPr>
          <w:rFonts w:hint="eastAsia" w:cs="Times New Roman"/>
          <w:szCs w:val="28"/>
        </w:rPr>
        <w:t>”</w:t>
      </w:r>
      <w:r>
        <w:rPr>
          <w:rFonts w:cs="Times New Roman"/>
          <w:szCs w:val="28"/>
        </w:rPr>
        <w:t>期间，</w:t>
      </w:r>
      <w:r>
        <w:rPr>
          <w:rFonts w:hint="eastAsia" w:cs="Times New Roman"/>
          <w:szCs w:val="28"/>
        </w:rPr>
        <w:t>玄武区将继续</w:t>
      </w:r>
      <w:r>
        <w:rPr>
          <w:rFonts w:cs="Times New Roman"/>
          <w:szCs w:val="28"/>
        </w:rPr>
        <w:t>坚持创新在现代化建设全局中的核心地位，以提升徐庄高新区综合能级为重心，以</w:t>
      </w:r>
      <w:r>
        <w:rPr>
          <w:rFonts w:hint="eastAsia" w:cs="Times New Roman"/>
          <w:szCs w:val="28"/>
        </w:rPr>
        <w:t>“</w:t>
      </w:r>
      <w:r>
        <w:rPr>
          <w:rFonts w:cs="Times New Roman"/>
          <w:szCs w:val="28"/>
        </w:rPr>
        <w:t>全域创新</w:t>
      </w:r>
      <w:r>
        <w:rPr>
          <w:rFonts w:hint="eastAsia" w:cs="Times New Roman"/>
          <w:szCs w:val="28"/>
        </w:rPr>
        <w:t>”</w:t>
      </w:r>
      <w:r>
        <w:rPr>
          <w:rFonts w:cs="Times New Roman"/>
          <w:szCs w:val="28"/>
        </w:rPr>
        <w:t>为统领，以</w:t>
      </w:r>
      <w:r>
        <w:rPr>
          <w:rFonts w:hint="eastAsia" w:cs="Times New Roman"/>
          <w:szCs w:val="28"/>
        </w:rPr>
        <w:t>“</w:t>
      </w:r>
      <w:r>
        <w:rPr>
          <w:rFonts w:cs="Times New Roman"/>
          <w:szCs w:val="28"/>
        </w:rPr>
        <w:t>政企研</w:t>
      </w:r>
      <w:r>
        <w:rPr>
          <w:rFonts w:hint="eastAsia" w:cs="Times New Roman"/>
          <w:szCs w:val="28"/>
        </w:rPr>
        <w:t>”</w:t>
      </w:r>
      <w:r>
        <w:rPr>
          <w:rFonts w:cs="Times New Roman"/>
          <w:szCs w:val="28"/>
        </w:rPr>
        <w:t>融合创新机制构建为主线，全面、深度激活玄武创新资源，率先形成以创新为主要驱动力的增长方式。聚力打造文化旅游地标产业，大力推动现代金融、高端商务商贸两大支柱产业转型升级，高质量打造软件和信息服务、新医药与生命健康两大新兴产业集群，加快形成数字玄武发展新优势，全力构建具有玄武特色的</w:t>
      </w:r>
      <w:r>
        <w:rPr>
          <w:rFonts w:hint="eastAsia" w:cs="Times New Roman"/>
          <w:szCs w:val="28"/>
        </w:rPr>
        <w:t>“</w:t>
      </w:r>
      <w:r>
        <w:rPr>
          <w:rFonts w:cs="Times New Roman"/>
          <w:szCs w:val="28"/>
        </w:rPr>
        <w:t>1+2+2</w:t>
      </w:r>
      <w:r>
        <w:rPr>
          <w:rFonts w:hint="eastAsia" w:cs="Times New Roman"/>
          <w:szCs w:val="28"/>
        </w:rPr>
        <w:t>”</w:t>
      </w:r>
      <w:r>
        <w:rPr>
          <w:rFonts w:cs="Times New Roman"/>
          <w:szCs w:val="28"/>
        </w:rPr>
        <w:t>现代化都市型产业体系。</w:t>
      </w:r>
    </w:p>
    <w:p w14:paraId="113FDC73">
      <w:pPr>
        <w:spacing w:line="240" w:lineRule="auto"/>
        <w:jc w:val="center"/>
        <w:rPr>
          <w:rFonts w:cs="Times New Roman"/>
        </w:rPr>
      </w:pPr>
      <w:r>
        <w:rPr>
          <w:rFonts w:cs="Times New Roman"/>
        </w:rPr>
        <w:drawing>
          <wp:inline distT="0" distB="0" distL="0" distR="0">
            <wp:extent cx="3973830" cy="11614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10584" cy="1172746"/>
                    </a:xfrm>
                    <a:prstGeom prst="rect">
                      <a:avLst/>
                    </a:prstGeom>
                    <a:noFill/>
                  </pic:spPr>
                </pic:pic>
              </a:graphicData>
            </a:graphic>
          </wp:inline>
        </w:drawing>
      </w:r>
    </w:p>
    <w:p w14:paraId="5F3F4BE7">
      <w:pPr>
        <w:pStyle w:val="38"/>
        <w:numPr>
          <w:ilvl w:val="0"/>
          <w:numId w:val="9"/>
        </w:numPr>
        <w:spacing w:afterLines="0" w:line="560" w:lineRule="exact"/>
        <w:rPr>
          <w:rFonts w:cs="Times New Roman"/>
          <w:szCs w:val="24"/>
        </w:rPr>
      </w:pPr>
      <w:r>
        <w:rPr>
          <w:rFonts w:cs="Times New Roman"/>
          <w:szCs w:val="24"/>
        </w:rPr>
        <w:t>玄武区空间格局示意图</w:t>
      </w:r>
    </w:p>
    <w:p w14:paraId="201ECC76">
      <w:pPr>
        <w:pStyle w:val="3"/>
        <w:spacing w:before="0" w:after="0"/>
        <w:rPr>
          <w:rFonts w:ascii="方正黑体_GBK" w:cs="Times New Roman"/>
          <w:szCs w:val="28"/>
        </w:rPr>
      </w:pPr>
      <w:bookmarkStart w:id="35" w:name="_Ref105692075"/>
      <w:bookmarkStart w:id="36" w:name="_Ref105692455"/>
      <w:bookmarkStart w:id="37" w:name="_Ref105692036"/>
      <w:bookmarkStart w:id="38" w:name="_Ref105692288"/>
      <w:bookmarkStart w:id="39" w:name="_Ref105692323"/>
      <w:bookmarkStart w:id="40" w:name="_Ref105692022"/>
      <w:bookmarkStart w:id="41" w:name="_Ref105692423"/>
      <w:bookmarkStart w:id="42" w:name="_Ref105692260"/>
      <w:bookmarkStart w:id="43" w:name="_Ref105691868"/>
      <w:bookmarkStart w:id="44" w:name="_Ref105692480"/>
      <w:bookmarkStart w:id="45" w:name="_Toc140150509"/>
      <w:bookmarkStart w:id="46" w:name="_Ref105691334"/>
      <w:bookmarkStart w:id="47" w:name="_Ref105691988"/>
      <w:bookmarkStart w:id="48" w:name="_Ref105691695"/>
      <w:bookmarkStart w:id="49" w:name="_Ref105692193"/>
      <w:bookmarkStart w:id="50" w:name="_Ref105691511"/>
      <w:bookmarkStart w:id="51" w:name="_Ref105691751"/>
      <w:bookmarkStart w:id="52" w:name="_Ref105691832"/>
      <w:bookmarkStart w:id="53" w:name="_Ref105692224"/>
      <w:bookmarkStart w:id="54" w:name="_Toc129882917"/>
      <w:bookmarkStart w:id="55" w:name="_Ref105691793"/>
      <w:bookmarkStart w:id="56" w:name="_Ref105691732"/>
      <w:bookmarkStart w:id="57" w:name="_Ref105691499"/>
      <w:bookmarkStart w:id="58" w:name="_Ref105693751"/>
      <w:bookmarkStart w:id="59" w:name="_Ref105692350"/>
      <w:bookmarkStart w:id="60" w:name="_Ref105691625"/>
      <w:bookmarkStart w:id="61" w:name="_Ref105692166"/>
      <w:bookmarkStart w:id="62" w:name="_Ref105692509"/>
      <w:bookmarkStart w:id="63" w:name="_Ref105692104"/>
      <w:bookmarkStart w:id="64" w:name="_Ref105692373"/>
      <w:bookmarkStart w:id="65" w:name="_Ref105691950"/>
      <w:bookmarkStart w:id="66" w:name="_Ref105692142"/>
      <w:bookmarkStart w:id="67" w:name="_Ref105691578"/>
    </w:p>
    <w:p w14:paraId="32C83DE8">
      <w:pPr>
        <w:pStyle w:val="3"/>
        <w:spacing w:before="0" w:after="0"/>
        <w:rPr>
          <w:rFonts w:ascii="方正黑体_GBK" w:cs="Times New Roman"/>
          <w:szCs w:val="28"/>
        </w:rPr>
      </w:pPr>
      <w:r>
        <w:rPr>
          <w:rFonts w:hint="eastAsia" w:ascii="方正黑体_GBK" w:cs="Times New Roman"/>
          <w:szCs w:val="28"/>
        </w:rPr>
        <w:t>第二节  固体废物管理现状</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2605161B">
      <w:pPr>
        <w:pStyle w:val="4"/>
        <w:ind w:firstLine="640"/>
        <w:rPr>
          <w:rFonts w:ascii="方正黑体_GBK" w:cs="Times New Roman"/>
          <w:szCs w:val="28"/>
        </w:rPr>
      </w:pPr>
      <w:bookmarkStart w:id="68" w:name="_Toc129882918"/>
      <w:r>
        <w:rPr>
          <w:rFonts w:hint="eastAsia" w:ascii="方正黑体_GBK" w:cs="Times New Roman"/>
          <w:szCs w:val="28"/>
        </w:rPr>
        <w:t>一、一般工业固废</w:t>
      </w:r>
      <w:bookmarkEnd w:id="68"/>
    </w:p>
    <w:p w14:paraId="1B033018">
      <w:pPr>
        <w:ind w:firstLine="643" w:firstLineChars="200"/>
        <w:rPr>
          <w:rFonts w:cs="Times New Roman"/>
        </w:rPr>
      </w:pPr>
      <w:r>
        <w:rPr>
          <w:rFonts w:cs="Times New Roman"/>
          <w:b/>
          <w:bCs/>
        </w:rPr>
        <w:t>产生量小，以废报纸为主，综合利用率较高。</w:t>
      </w:r>
      <w:r>
        <w:rPr>
          <w:rFonts w:cs="Times New Roman"/>
        </w:rPr>
        <w:t>根据环境统计数据，2016</w:t>
      </w:r>
      <w:r>
        <w:rPr>
          <w:rFonts w:hint="eastAsia" w:cs="Times New Roman"/>
        </w:rPr>
        <w:t>－</w:t>
      </w:r>
      <w:r>
        <w:rPr>
          <w:rFonts w:cs="Times New Roman"/>
        </w:rPr>
        <w:t>2021年玄武区一般工业固废产生量较小，区内无一般工业固废利用处置设施。2016年，玄武区一般工业固废主要来自于新华报业传媒集团印务中心、赛科利（南京）汽车模具技术应用有限公司、南京汽车集团有限公司动能分公司，产废种类主要为废报纸、粉煤灰、炉渣等；南汽集团于2016年搬迁后，区内一般工业固废主要来自于新华报业传媒集团印务中心，该企业将于近年内完成搬迁，届时区内无一般工业固废产废企业。2021年，玄武区一般工业固废产生量119.44吨，废报纸采用回收再利用方式，综合利用量119.44吨，一般工业固体废物综合利用率为100%，综合利用率整体较高。</w:t>
      </w:r>
    </w:p>
    <w:p w14:paraId="76E214D9">
      <w:pPr>
        <w:pStyle w:val="43"/>
        <w:numPr>
          <w:ilvl w:val="0"/>
          <w:numId w:val="10"/>
        </w:numPr>
        <w:spacing w:beforeLines="0" w:line="560" w:lineRule="exact"/>
        <w:rPr>
          <w:rFonts w:cs="Times New Roman"/>
        </w:rPr>
      </w:pPr>
      <w:r>
        <w:rPr>
          <w:rFonts w:cs="Times New Roman"/>
        </w:rPr>
        <w:t>2016</w:t>
      </w:r>
      <w:r>
        <w:rPr>
          <w:rFonts w:hint="eastAsia" w:cs="Times New Roman"/>
        </w:rPr>
        <w:t>－</w:t>
      </w:r>
      <w:r>
        <w:rPr>
          <w:rFonts w:cs="Times New Roman"/>
        </w:rPr>
        <w:t>2021年玄武区一般工业固废产生量</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547"/>
        <w:gridCol w:w="1549"/>
        <w:gridCol w:w="1547"/>
        <w:gridCol w:w="2873"/>
      </w:tblGrid>
      <w:tr w14:paraId="619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vAlign w:val="center"/>
          </w:tcPr>
          <w:p w14:paraId="6260FC20">
            <w:pPr>
              <w:jc w:val="center"/>
              <w:rPr>
                <w:rFonts w:cs="Times New Roman"/>
                <w:b/>
                <w:bCs/>
                <w:sz w:val="24"/>
                <w:szCs w:val="24"/>
              </w:rPr>
            </w:pPr>
            <w:r>
              <w:rPr>
                <w:rFonts w:cs="Times New Roman"/>
                <w:b/>
                <w:bCs/>
                <w:sz w:val="24"/>
                <w:szCs w:val="24"/>
              </w:rPr>
              <w:t>年份</w:t>
            </w:r>
          </w:p>
        </w:tc>
        <w:tc>
          <w:tcPr>
            <w:tcW w:w="854" w:type="pct"/>
            <w:vAlign w:val="center"/>
          </w:tcPr>
          <w:p w14:paraId="7CE8972E">
            <w:pPr>
              <w:spacing w:line="400" w:lineRule="exact"/>
              <w:jc w:val="center"/>
              <w:rPr>
                <w:rFonts w:cs="Times New Roman"/>
                <w:b/>
                <w:bCs/>
                <w:sz w:val="24"/>
                <w:szCs w:val="24"/>
              </w:rPr>
            </w:pPr>
            <w:r>
              <w:rPr>
                <w:rFonts w:cs="Times New Roman"/>
                <w:b/>
                <w:bCs/>
                <w:sz w:val="24"/>
                <w:szCs w:val="24"/>
              </w:rPr>
              <w:t>年产生量（吨）</w:t>
            </w:r>
          </w:p>
        </w:tc>
        <w:tc>
          <w:tcPr>
            <w:tcW w:w="855" w:type="pct"/>
            <w:vAlign w:val="center"/>
          </w:tcPr>
          <w:p w14:paraId="6123AA58">
            <w:pPr>
              <w:spacing w:line="400" w:lineRule="exact"/>
              <w:jc w:val="center"/>
              <w:rPr>
                <w:rFonts w:cs="Times New Roman"/>
                <w:b/>
                <w:bCs/>
                <w:sz w:val="24"/>
                <w:szCs w:val="24"/>
              </w:rPr>
            </w:pPr>
            <w:r>
              <w:rPr>
                <w:rFonts w:cs="Times New Roman"/>
                <w:b/>
                <w:bCs/>
                <w:sz w:val="24"/>
                <w:szCs w:val="24"/>
              </w:rPr>
              <w:t>综合利用量（吨）</w:t>
            </w:r>
          </w:p>
        </w:tc>
        <w:tc>
          <w:tcPr>
            <w:tcW w:w="854" w:type="pct"/>
            <w:vAlign w:val="center"/>
          </w:tcPr>
          <w:p w14:paraId="4C7E73DA">
            <w:pPr>
              <w:spacing w:line="400" w:lineRule="exact"/>
              <w:jc w:val="center"/>
              <w:rPr>
                <w:rFonts w:cs="Times New Roman"/>
                <w:b/>
                <w:bCs/>
                <w:sz w:val="24"/>
                <w:szCs w:val="24"/>
              </w:rPr>
            </w:pPr>
            <w:r>
              <w:rPr>
                <w:rFonts w:cs="Times New Roman"/>
                <w:b/>
                <w:bCs/>
                <w:sz w:val="24"/>
                <w:szCs w:val="24"/>
              </w:rPr>
              <w:t>综合利用率（%）</w:t>
            </w:r>
          </w:p>
        </w:tc>
        <w:tc>
          <w:tcPr>
            <w:tcW w:w="1585" w:type="pct"/>
            <w:vAlign w:val="center"/>
          </w:tcPr>
          <w:p w14:paraId="14706983">
            <w:pPr>
              <w:spacing w:line="400" w:lineRule="exact"/>
              <w:jc w:val="center"/>
              <w:rPr>
                <w:rFonts w:cs="Times New Roman"/>
                <w:b/>
                <w:bCs/>
                <w:sz w:val="24"/>
                <w:szCs w:val="24"/>
              </w:rPr>
            </w:pPr>
            <w:r>
              <w:rPr>
                <w:rFonts w:cs="Times New Roman"/>
                <w:b/>
                <w:bCs/>
                <w:sz w:val="24"/>
                <w:szCs w:val="24"/>
              </w:rPr>
              <w:t>一般工业固废种类</w:t>
            </w:r>
          </w:p>
        </w:tc>
      </w:tr>
      <w:tr w14:paraId="2778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52" w:type="pct"/>
            <w:vAlign w:val="center"/>
          </w:tcPr>
          <w:p w14:paraId="35C9F10F">
            <w:pPr>
              <w:jc w:val="center"/>
              <w:rPr>
                <w:rFonts w:cs="Times New Roman"/>
                <w:sz w:val="24"/>
                <w:szCs w:val="24"/>
              </w:rPr>
            </w:pPr>
            <w:r>
              <w:rPr>
                <w:rFonts w:cs="Times New Roman"/>
                <w:sz w:val="24"/>
                <w:szCs w:val="24"/>
              </w:rPr>
              <w:t>2016年</w:t>
            </w:r>
          </w:p>
        </w:tc>
        <w:tc>
          <w:tcPr>
            <w:tcW w:w="854" w:type="pct"/>
            <w:vAlign w:val="center"/>
          </w:tcPr>
          <w:p w14:paraId="00735BA2">
            <w:pPr>
              <w:jc w:val="center"/>
              <w:rPr>
                <w:rFonts w:cs="Times New Roman"/>
                <w:sz w:val="24"/>
                <w:szCs w:val="24"/>
              </w:rPr>
            </w:pPr>
            <w:r>
              <w:rPr>
                <w:rFonts w:cs="Times New Roman"/>
                <w:sz w:val="24"/>
                <w:szCs w:val="24"/>
              </w:rPr>
              <w:t>5095</w:t>
            </w:r>
          </w:p>
        </w:tc>
        <w:tc>
          <w:tcPr>
            <w:tcW w:w="855" w:type="pct"/>
            <w:vAlign w:val="center"/>
          </w:tcPr>
          <w:p w14:paraId="42C0B4D0">
            <w:pPr>
              <w:jc w:val="center"/>
              <w:rPr>
                <w:rFonts w:cs="Times New Roman"/>
                <w:sz w:val="24"/>
                <w:szCs w:val="24"/>
              </w:rPr>
            </w:pPr>
            <w:r>
              <w:rPr>
                <w:rFonts w:cs="Times New Roman"/>
                <w:sz w:val="24"/>
                <w:szCs w:val="24"/>
              </w:rPr>
              <w:t>4982</w:t>
            </w:r>
          </w:p>
        </w:tc>
        <w:tc>
          <w:tcPr>
            <w:tcW w:w="854" w:type="pct"/>
            <w:vAlign w:val="center"/>
          </w:tcPr>
          <w:p w14:paraId="3697743F">
            <w:pPr>
              <w:jc w:val="center"/>
              <w:rPr>
                <w:rFonts w:cs="Times New Roman"/>
                <w:sz w:val="24"/>
                <w:szCs w:val="24"/>
              </w:rPr>
            </w:pPr>
            <w:r>
              <w:rPr>
                <w:rFonts w:cs="Times New Roman"/>
                <w:sz w:val="24"/>
                <w:szCs w:val="24"/>
              </w:rPr>
              <w:t>97.78</w:t>
            </w:r>
          </w:p>
        </w:tc>
        <w:tc>
          <w:tcPr>
            <w:tcW w:w="1585" w:type="pct"/>
            <w:vAlign w:val="center"/>
          </w:tcPr>
          <w:p w14:paraId="6D14934E">
            <w:pPr>
              <w:jc w:val="center"/>
              <w:rPr>
                <w:rFonts w:cs="Times New Roman"/>
                <w:sz w:val="24"/>
                <w:szCs w:val="24"/>
              </w:rPr>
            </w:pPr>
            <w:r>
              <w:rPr>
                <w:rFonts w:cs="Times New Roman"/>
                <w:sz w:val="24"/>
                <w:szCs w:val="24"/>
              </w:rPr>
              <w:t>废报纸、粉煤灰、炉渣等</w:t>
            </w:r>
          </w:p>
        </w:tc>
      </w:tr>
      <w:tr w14:paraId="7ECB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 w:type="pct"/>
            <w:vAlign w:val="center"/>
          </w:tcPr>
          <w:p w14:paraId="724542C7">
            <w:pPr>
              <w:jc w:val="center"/>
              <w:rPr>
                <w:rFonts w:cs="Times New Roman"/>
                <w:sz w:val="24"/>
                <w:szCs w:val="24"/>
              </w:rPr>
            </w:pPr>
            <w:r>
              <w:rPr>
                <w:rFonts w:cs="Times New Roman"/>
                <w:sz w:val="24"/>
                <w:szCs w:val="24"/>
              </w:rPr>
              <w:t>2017年</w:t>
            </w:r>
          </w:p>
        </w:tc>
        <w:tc>
          <w:tcPr>
            <w:tcW w:w="854" w:type="pct"/>
            <w:vAlign w:val="center"/>
          </w:tcPr>
          <w:p w14:paraId="634D585A">
            <w:pPr>
              <w:jc w:val="center"/>
              <w:rPr>
                <w:rFonts w:cs="Times New Roman"/>
                <w:sz w:val="24"/>
                <w:szCs w:val="24"/>
              </w:rPr>
            </w:pPr>
            <w:r>
              <w:rPr>
                <w:rFonts w:cs="Times New Roman"/>
                <w:sz w:val="24"/>
                <w:szCs w:val="24"/>
              </w:rPr>
              <w:t>310.11</w:t>
            </w:r>
          </w:p>
        </w:tc>
        <w:tc>
          <w:tcPr>
            <w:tcW w:w="855" w:type="pct"/>
            <w:vAlign w:val="center"/>
          </w:tcPr>
          <w:p w14:paraId="028F77E8">
            <w:pPr>
              <w:jc w:val="center"/>
              <w:rPr>
                <w:rFonts w:cs="Times New Roman"/>
                <w:sz w:val="24"/>
                <w:szCs w:val="24"/>
              </w:rPr>
            </w:pPr>
            <w:r>
              <w:rPr>
                <w:rFonts w:cs="Times New Roman"/>
                <w:sz w:val="24"/>
                <w:szCs w:val="24"/>
              </w:rPr>
              <w:t>310.11</w:t>
            </w:r>
          </w:p>
        </w:tc>
        <w:tc>
          <w:tcPr>
            <w:tcW w:w="854" w:type="pct"/>
            <w:vAlign w:val="center"/>
          </w:tcPr>
          <w:p w14:paraId="726291B0">
            <w:pPr>
              <w:jc w:val="center"/>
              <w:rPr>
                <w:rFonts w:cs="Times New Roman"/>
                <w:sz w:val="24"/>
                <w:szCs w:val="24"/>
              </w:rPr>
            </w:pPr>
            <w:r>
              <w:rPr>
                <w:rFonts w:cs="Times New Roman"/>
                <w:sz w:val="24"/>
                <w:szCs w:val="24"/>
              </w:rPr>
              <w:t>100</w:t>
            </w:r>
          </w:p>
        </w:tc>
        <w:tc>
          <w:tcPr>
            <w:tcW w:w="1585" w:type="pct"/>
            <w:vAlign w:val="center"/>
          </w:tcPr>
          <w:p w14:paraId="43DC6C36">
            <w:pPr>
              <w:jc w:val="center"/>
              <w:rPr>
                <w:rFonts w:cs="Times New Roman"/>
                <w:sz w:val="24"/>
                <w:szCs w:val="24"/>
              </w:rPr>
            </w:pPr>
            <w:r>
              <w:rPr>
                <w:rFonts w:cs="Times New Roman"/>
                <w:sz w:val="24"/>
                <w:szCs w:val="24"/>
              </w:rPr>
              <w:t>废报纸</w:t>
            </w:r>
          </w:p>
        </w:tc>
      </w:tr>
      <w:tr w14:paraId="7DA8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 w:type="pct"/>
            <w:vAlign w:val="center"/>
          </w:tcPr>
          <w:p w14:paraId="10D028EC">
            <w:pPr>
              <w:jc w:val="center"/>
              <w:rPr>
                <w:rFonts w:cs="Times New Roman"/>
                <w:sz w:val="24"/>
                <w:szCs w:val="24"/>
              </w:rPr>
            </w:pPr>
            <w:r>
              <w:rPr>
                <w:rFonts w:cs="Times New Roman"/>
                <w:sz w:val="24"/>
                <w:szCs w:val="24"/>
              </w:rPr>
              <w:t>2018年</w:t>
            </w:r>
          </w:p>
        </w:tc>
        <w:tc>
          <w:tcPr>
            <w:tcW w:w="854" w:type="pct"/>
            <w:vAlign w:val="center"/>
          </w:tcPr>
          <w:p w14:paraId="23989187">
            <w:pPr>
              <w:jc w:val="center"/>
              <w:rPr>
                <w:rFonts w:cs="Times New Roman"/>
                <w:sz w:val="24"/>
                <w:szCs w:val="24"/>
              </w:rPr>
            </w:pPr>
            <w:r>
              <w:rPr>
                <w:rFonts w:cs="Times New Roman"/>
                <w:sz w:val="24"/>
                <w:szCs w:val="24"/>
              </w:rPr>
              <w:t>320.22</w:t>
            </w:r>
          </w:p>
        </w:tc>
        <w:tc>
          <w:tcPr>
            <w:tcW w:w="855" w:type="pct"/>
            <w:vAlign w:val="center"/>
          </w:tcPr>
          <w:p w14:paraId="260B8310">
            <w:pPr>
              <w:jc w:val="center"/>
              <w:rPr>
                <w:rFonts w:cs="Times New Roman"/>
                <w:sz w:val="24"/>
                <w:szCs w:val="24"/>
              </w:rPr>
            </w:pPr>
            <w:r>
              <w:rPr>
                <w:rFonts w:cs="Times New Roman"/>
                <w:sz w:val="24"/>
                <w:szCs w:val="24"/>
              </w:rPr>
              <w:t>320.22</w:t>
            </w:r>
          </w:p>
        </w:tc>
        <w:tc>
          <w:tcPr>
            <w:tcW w:w="854" w:type="pct"/>
            <w:vAlign w:val="center"/>
          </w:tcPr>
          <w:p w14:paraId="5613F8E0">
            <w:pPr>
              <w:jc w:val="center"/>
              <w:rPr>
                <w:rFonts w:cs="Times New Roman"/>
                <w:sz w:val="24"/>
                <w:szCs w:val="24"/>
              </w:rPr>
            </w:pPr>
            <w:r>
              <w:rPr>
                <w:rFonts w:cs="Times New Roman"/>
                <w:sz w:val="24"/>
                <w:szCs w:val="24"/>
              </w:rPr>
              <w:t>100</w:t>
            </w:r>
          </w:p>
        </w:tc>
        <w:tc>
          <w:tcPr>
            <w:tcW w:w="1585" w:type="pct"/>
            <w:vAlign w:val="center"/>
          </w:tcPr>
          <w:p w14:paraId="25586597">
            <w:pPr>
              <w:jc w:val="center"/>
              <w:rPr>
                <w:rFonts w:cs="Times New Roman"/>
                <w:sz w:val="24"/>
                <w:szCs w:val="24"/>
              </w:rPr>
            </w:pPr>
            <w:r>
              <w:rPr>
                <w:rFonts w:cs="Times New Roman"/>
                <w:sz w:val="24"/>
                <w:szCs w:val="24"/>
              </w:rPr>
              <w:t>废报纸</w:t>
            </w:r>
          </w:p>
        </w:tc>
      </w:tr>
      <w:tr w14:paraId="2133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 w:type="pct"/>
            <w:vAlign w:val="center"/>
          </w:tcPr>
          <w:p w14:paraId="3F3A9C8F">
            <w:pPr>
              <w:jc w:val="center"/>
              <w:rPr>
                <w:rFonts w:cs="Times New Roman"/>
                <w:sz w:val="24"/>
                <w:szCs w:val="24"/>
              </w:rPr>
            </w:pPr>
            <w:r>
              <w:rPr>
                <w:rFonts w:cs="Times New Roman"/>
                <w:sz w:val="24"/>
                <w:szCs w:val="24"/>
              </w:rPr>
              <w:t>2019年</w:t>
            </w:r>
          </w:p>
        </w:tc>
        <w:tc>
          <w:tcPr>
            <w:tcW w:w="854" w:type="pct"/>
            <w:vAlign w:val="center"/>
          </w:tcPr>
          <w:p w14:paraId="2EEED370">
            <w:pPr>
              <w:jc w:val="center"/>
              <w:rPr>
                <w:rFonts w:cs="Times New Roman"/>
                <w:sz w:val="24"/>
                <w:szCs w:val="24"/>
              </w:rPr>
            </w:pPr>
            <w:r>
              <w:rPr>
                <w:rFonts w:cs="Times New Roman"/>
                <w:sz w:val="24"/>
                <w:szCs w:val="24"/>
              </w:rPr>
              <w:t>334.02</w:t>
            </w:r>
          </w:p>
        </w:tc>
        <w:tc>
          <w:tcPr>
            <w:tcW w:w="855" w:type="pct"/>
            <w:vAlign w:val="center"/>
          </w:tcPr>
          <w:p w14:paraId="7061653A">
            <w:pPr>
              <w:jc w:val="center"/>
              <w:rPr>
                <w:rFonts w:cs="Times New Roman"/>
                <w:sz w:val="24"/>
                <w:szCs w:val="24"/>
              </w:rPr>
            </w:pPr>
            <w:r>
              <w:rPr>
                <w:rFonts w:cs="Times New Roman"/>
                <w:sz w:val="24"/>
                <w:szCs w:val="24"/>
              </w:rPr>
              <w:t>334.02</w:t>
            </w:r>
          </w:p>
        </w:tc>
        <w:tc>
          <w:tcPr>
            <w:tcW w:w="854" w:type="pct"/>
            <w:vAlign w:val="center"/>
          </w:tcPr>
          <w:p w14:paraId="43910645">
            <w:pPr>
              <w:jc w:val="center"/>
              <w:rPr>
                <w:rFonts w:cs="Times New Roman"/>
                <w:sz w:val="24"/>
                <w:szCs w:val="24"/>
              </w:rPr>
            </w:pPr>
            <w:r>
              <w:rPr>
                <w:rFonts w:cs="Times New Roman"/>
                <w:sz w:val="24"/>
                <w:szCs w:val="24"/>
              </w:rPr>
              <w:t>100</w:t>
            </w:r>
          </w:p>
        </w:tc>
        <w:tc>
          <w:tcPr>
            <w:tcW w:w="1585" w:type="pct"/>
            <w:vAlign w:val="center"/>
          </w:tcPr>
          <w:p w14:paraId="1FC68360">
            <w:pPr>
              <w:jc w:val="center"/>
              <w:rPr>
                <w:rFonts w:cs="Times New Roman"/>
                <w:sz w:val="24"/>
                <w:szCs w:val="24"/>
              </w:rPr>
            </w:pPr>
            <w:r>
              <w:rPr>
                <w:rFonts w:cs="Times New Roman"/>
                <w:sz w:val="24"/>
                <w:szCs w:val="24"/>
              </w:rPr>
              <w:t>废报纸</w:t>
            </w:r>
          </w:p>
        </w:tc>
      </w:tr>
      <w:tr w14:paraId="2968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 w:type="pct"/>
            <w:vAlign w:val="center"/>
          </w:tcPr>
          <w:p w14:paraId="3F04966F">
            <w:pPr>
              <w:jc w:val="center"/>
              <w:rPr>
                <w:rFonts w:cs="Times New Roman"/>
                <w:sz w:val="24"/>
                <w:szCs w:val="24"/>
              </w:rPr>
            </w:pPr>
            <w:r>
              <w:rPr>
                <w:rFonts w:cs="Times New Roman"/>
                <w:sz w:val="24"/>
                <w:szCs w:val="24"/>
              </w:rPr>
              <w:t>2020年</w:t>
            </w:r>
          </w:p>
        </w:tc>
        <w:tc>
          <w:tcPr>
            <w:tcW w:w="854" w:type="pct"/>
            <w:vAlign w:val="center"/>
          </w:tcPr>
          <w:p w14:paraId="7FC77003">
            <w:pPr>
              <w:jc w:val="center"/>
              <w:rPr>
                <w:rFonts w:cs="Times New Roman"/>
                <w:sz w:val="24"/>
                <w:szCs w:val="24"/>
              </w:rPr>
            </w:pPr>
            <w:r>
              <w:rPr>
                <w:rFonts w:cs="Times New Roman"/>
                <w:sz w:val="24"/>
                <w:szCs w:val="24"/>
              </w:rPr>
              <w:t>242.58</w:t>
            </w:r>
          </w:p>
        </w:tc>
        <w:tc>
          <w:tcPr>
            <w:tcW w:w="855" w:type="pct"/>
            <w:vAlign w:val="center"/>
          </w:tcPr>
          <w:p w14:paraId="20AE974F">
            <w:pPr>
              <w:jc w:val="center"/>
              <w:rPr>
                <w:rFonts w:cs="Times New Roman"/>
                <w:sz w:val="24"/>
                <w:szCs w:val="24"/>
              </w:rPr>
            </w:pPr>
            <w:r>
              <w:rPr>
                <w:rFonts w:cs="Times New Roman"/>
                <w:sz w:val="24"/>
                <w:szCs w:val="24"/>
              </w:rPr>
              <w:t>242.58</w:t>
            </w:r>
          </w:p>
        </w:tc>
        <w:tc>
          <w:tcPr>
            <w:tcW w:w="854" w:type="pct"/>
            <w:vAlign w:val="center"/>
          </w:tcPr>
          <w:p w14:paraId="250641EC">
            <w:pPr>
              <w:jc w:val="center"/>
              <w:rPr>
                <w:rFonts w:cs="Times New Roman"/>
                <w:sz w:val="24"/>
                <w:szCs w:val="24"/>
              </w:rPr>
            </w:pPr>
            <w:r>
              <w:rPr>
                <w:rFonts w:cs="Times New Roman"/>
                <w:sz w:val="24"/>
                <w:szCs w:val="24"/>
              </w:rPr>
              <w:t>100</w:t>
            </w:r>
          </w:p>
        </w:tc>
        <w:tc>
          <w:tcPr>
            <w:tcW w:w="1585" w:type="pct"/>
            <w:vAlign w:val="center"/>
          </w:tcPr>
          <w:p w14:paraId="3FF0A7C1">
            <w:pPr>
              <w:jc w:val="center"/>
              <w:rPr>
                <w:rFonts w:cs="Times New Roman"/>
                <w:sz w:val="24"/>
                <w:szCs w:val="24"/>
              </w:rPr>
            </w:pPr>
            <w:r>
              <w:rPr>
                <w:rFonts w:cs="Times New Roman"/>
                <w:sz w:val="24"/>
                <w:szCs w:val="24"/>
              </w:rPr>
              <w:t>废报纸</w:t>
            </w:r>
          </w:p>
        </w:tc>
      </w:tr>
      <w:tr w14:paraId="2D95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 w:type="pct"/>
            <w:vAlign w:val="center"/>
          </w:tcPr>
          <w:p w14:paraId="749C3847">
            <w:pPr>
              <w:jc w:val="center"/>
              <w:rPr>
                <w:rFonts w:cs="Times New Roman"/>
                <w:sz w:val="24"/>
                <w:szCs w:val="24"/>
              </w:rPr>
            </w:pPr>
            <w:r>
              <w:rPr>
                <w:rFonts w:cs="Times New Roman"/>
                <w:sz w:val="24"/>
                <w:szCs w:val="24"/>
              </w:rPr>
              <w:t>2021年</w:t>
            </w:r>
          </w:p>
        </w:tc>
        <w:tc>
          <w:tcPr>
            <w:tcW w:w="854" w:type="pct"/>
            <w:vAlign w:val="center"/>
          </w:tcPr>
          <w:p w14:paraId="450566BB">
            <w:pPr>
              <w:jc w:val="center"/>
              <w:rPr>
                <w:rFonts w:cs="Times New Roman"/>
                <w:sz w:val="24"/>
                <w:szCs w:val="24"/>
              </w:rPr>
            </w:pPr>
            <w:r>
              <w:rPr>
                <w:rFonts w:cs="Times New Roman"/>
                <w:sz w:val="24"/>
                <w:szCs w:val="24"/>
              </w:rPr>
              <w:t>119.44</w:t>
            </w:r>
          </w:p>
        </w:tc>
        <w:tc>
          <w:tcPr>
            <w:tcW w:w="855" w:type="pct"/>
            <w:vAlign w:val="center"/>
          </w:tcPr>
          <w:p w14:paraId="70B91943">
            <w:pPr>
              <w:jc w:val="center"/>
              <w:rPr>
                <w:rFonts w:cs="Times New Roman"/>
                <w:sz w:val="24"/>
                <w:szCs w:val="24"/>
              </w:rPr>
            </w:pPr>
            <w:r>
              <w:rPr>
                <w:rFonts w:cs="Times New Roman"/>
                <w:sz w:val="24"/>
                <w:szCs w:val="24"/>
              </w:rPr>
              <w:t>119.44</w:t>
            </w:r>
          </w:p>
        </w:tc>
        <w:tc>
          <w:tcPr>
            <w:tcW w:w="854" w:type="pct"/>
            <w:vAlign w:val="center"/>
          </w:tcPr>
          <w:p w14:paraId="082CFC17">
            <w:pPr>
              <w:jc w:val="center"/>
              <w:rPr>
                <w:rFonts w:cs="Times New Roman"/>
                <w:sz w:val="24"/>
                <w:szCs w:val="24"/>
              </w:rPr>
            </w:pPr>
            <w:r>
              <w:rPr>
                <w:rFonts w:cs="Times New Roman"/>
                <w:sz w:val="24"/>
                <w:szCs w:val="24"/>
              </w:rPr>
              <w:t>100</w:t>
            </w:r>
          </w:p>
        </w:tc>
        <w:tc>
          <w:tcPr>
            <w:tcW w:w="1585" w:type="pct"/>
            <w:vAlign w:val="center"/>
          </w:tcPr>
          <w:p w14:paraId="63EF4A2C">
            <w:pPr>
              <w:jc w:val="center"/>
              <w:rPr>
                <w:rFonts w:cs="Times New Roman"/>
                <w:sz w:val="24"/>
                <w:szCs w:val="24"/>
              </w:rPr>
            </w:pPr>
            <w:r>
              <w:rPr>
                <w:rFonts w:cs="Times New Roman"/>
                <w:sz w:val="24"/>
                <w:szCs w:val="24"/>
              </w:rPr>
              <w:t>废报纸</w:t>
            </w:r>
          </w:p>
        </w:tc>
      </w:tr>
    </w:tbl>
    <w:p w14:paraId="5C619517">
      <w:pPr>
        <w:pStyle w:val="4"/>
        <w:ind w:firstLine="640"/>
        <w:rPr>
          <w:rFonts w:ascii="方正黑体_GBK" w:cs="Times New Roman"/>
          <w:szCs w:val="28"/>
        </w:rPr>
      </w:pPr>
      <w:bookmarkStart w:id="69" w:name="_Toc129882919"/>
      <w:r>
        <w:rPr>
          <w:rFonts w:hint="eastAsia" w:ascii="方正黑体_GBK" w:cs="Times New Roman"/>
          <w:szCs w:val="28"/>
        </w:rPr>
        <w:t>二、生活垃圾</w:t>
      </w:r>
      <w:bookmarkEnd w:id="69"/>
    </w:p>
    <w:p w14:paraId="4DD67BB1">
      <w:pPr>
        <w:ind w:firstLine="640" w:firstLineChars="200"/>
        <w:rPr>
          <w:rFonts w:cs="Times New Roman"/>
          <w:szCs w:val="28"/>
        </w:rPr>
      </w:pPr>
      <w:r>
        <w:rPr>
          <w:rFonts w:cs="Times New Roman"/>
          <w:szCs w:val="28"/>
        </w:rPr>
        <w:t>2020年11月1日，《南京市生活垃圾管理条例》正式实施，南京正式进入生活垃圾强制分类时代。根据《南京市生活垃圾管理条例》，将生活垃圾分为四大类：可回收物、有害垃圾、厨余垃圾（含餐厨垃圾）和其他垃圾。</w:t>
      </w:r>
    </w:p>
    <w:p w14:paraId="0C77E120">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（一）产生利用处置情况</w:t>
      </w:r>
    </w:p>
    <w:p w14:paraId="075A5EE5">
      <w:pPr>
        <w:ind w:firstLine="643" w:firstLineChars="200"/>
        <w:rPr>
          <w:rFonts w:cs="Times New Roman"/>
        </w:rPr>
      </w:pPr>
      <w:r>
        <w:rPr>
          <w:rFonts w:cs="Times New Roman"/>
          <w:b/>
          <w:bCs/>
        </w:rPr>
        <w:t>其他垃圾为主，有害垃圾收集量少，餐厨、厨余分类明显。</w:t>
      </w:r>
      <w:r>
        <w:rPr>
          <w:rFonts w:cs="Times New Roman"/>
        </w:rPr>
        <w:t>玄武区</w:t>
      </w:r>
      <w:r>
        <w:rPr>
          <w:rFonts w:hint="eastAsia" w:cs="Times New Roman"/>
        </w:rPr>
        <w:t>内</w:t>
      </w:r>
      <w:r>
        <w:rPr>
          <w:rFonts w:cs="Times New Roman"/>
        </w:rPr>
        <w:t>服务业发达，餐厨、厨余垃圾产生量大。2021年生活垃圾产生量为26.95万吨，占南京市产生总量的6.09%，人均生活垃圾产生量约1.37千克/人•日，</w:t>
      </w:r>
      <w:r>
        <w:rPr>
          <w:rFonts w:hint="eastAsia" w:cs="Times New Roman"/>
        </w:rPr>
        <w:t>略</w:t>
      </w:r>
      <w:r>
        <w:rPr>
          <w:rFonts w:cs="Times New Roman"/>
        </w:rPr>
        <w:t>高于南京市平均水平。其中，其他垃圾17.02万吨，占比约63.15%，餐厨垃圾3.74万吨，厨余垃圾2.67万吨，有害垃圾2.24吨，可回收物收集量3.52万吨，占比约13.06%，餐厨、厨余分出率为23.78%，高于南京市平均水平。</w:t>
      </w:r>
    </w:p>
    <w:p w14:paraId="3CC4B771">
      <w:pPr>
        <w:pStyle w:val="43"/>
        <w:numPr>
          <w:ilvl w:val="0"/>
          <w:numId w:val="10"/>
        </w:numPr>
        <w:spacing w:beforeLines="0" w:line="560" w:lineRule="exact"/>
        <w:rPr>
          <w:rFonts w:cs="Times New Roman"/>
        </w:rPr>
      </w:pPr>
      <w:r>
        <w:rPr>
          <w:rFonts w:cs="Times New Roman"/>
        </w:rPr>
        <w:t>2021年玄武区生活垃圾产生量</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395"/>
        <w:gridCol w:w="1238"/>
        <w:gridCol w:w="1239"/>
        <w:gridCol w:w="1238"/>
        <w:gridCol w:w="1239"/>
        <w:gridCol w:w="1167"/>
      </w:tblGrid>
      <w:tr w14:paraId="3342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trPr>
        <w:tc>
          <w:tcPr>
            <w:tcW w:w="852" w:type="pct"/>
            <w:vAlign w:val="center"/>
          </w:tcPr>
          <w:p w14:paraId="6689FD5A">
            <w:pPr>
              <w:pStyle w:val="38"/>
              <w:snapToGrid w:val="0"/>
              <w:spacing w:afterLines="0" w:line="560" w:lineRule="exact"/>
              <w:rPr>
                <w:rFonts w:cs="Times New Roman"/>
                <w:szCs w:val="24"/>
              </w:rPr>
            </w:pPr>
            <w:r>
              <w:rPr>
                <w:rFonts w:cs="Times New Roman"/>
                <w:szCs w:val="24"/>
              </w:rPr>
              <w:t>类型</w:t>
            </w:r>
          </w:p>
        </w:tc>
        <w:tc>
          <w:tcPr>
            <w:tcW w:w="770" w:type="pct"/>
            <w:vAlign w:val="center"/>
          </w:tcPr>
          <w:p w14:paraId="06E03D0D">
            <w:pPr>
              <w:pStyle w:val="38"/>
              <w:snapToGrid w:val="0"/>
              <w:spacing w:afterLines="0" w:line="560" w:lineRule="exact"/>
              <w:rPr>
                <w:rFonts w:cs="Times New Roman"/>
                <w:szCs w:val="24"/>
              </w:rPr>
            </w:pPr>
            <w:r>
              <w:rPr>
                <w:rFonts w:cs="Times New Roman"/>
                <w:szCs w:val="24"/>
              </w:rPr>
              <w:t>其他垃圾</w:t>
            </w:r>
          </w:p>
        </w:tc>
        <w:tc>
          <w:tcPr>
            <w:tcW w:w="683" w:type="pct"/>
            <w:vAlign w:val="center"/>
          </w:tcPr>
          <w:p w14:paraId="4E504AD8">
            <w:pPr>
              <w:pStyle w:val="38"/>
              <w:snapToGrid w:val="0"/>
              <w:spacing w:afterLines="0" w:line="560" w:lineRule="exact"/>
              <w:rPr>
                <w:rFonts w:cs="Times New Roman"/>
                <w:szCs w:val="24"/>
              </w:rPr>
            </w:pPr>
            <w:r>
              <w:rPr>
                <w:rFonts w:cs="Times New Roman"/>
                <w:szCs w:val="24"/>
              </w:rPr>
              <w:t>餐厨垃圾</w:t>
            </w:r>
          </w:p>
        </w:tc>
        <w:tc>
          <w:tcPr>
            <w:tcW w:w="684" w:type="pct"/>
            <w:vAlign w:val="center"/>
          </w:tcPr>
          <w:p w14:paraId="2697A3F9">
            <w:pPr>
              <w:pStyle w:val="38"/>
              <w:snapToGrid w:val="0"/>
              <w:spacing w:afterLines="0" w:line="560" w:lineRule="exact"/>
              <w:rPr>
                <w:rFonts w:cs="Times New Roman"/>
                <w:szCs w:val="24"/>
              </w:rPr>
            </w:pPr>
            <w:r>
              <w:rPr>
                <w:rFonts w:cs="Times New Roman"/>
                <w:szCs w:val="24"/>
              </w:rPr>
              <w:t>厨余垃圾</w:t>
            </w:r>
          </w:p>
        </w:tc>
        <w:tc>
          <w:tcPr>
            <w:tcW w:w="683" w:type="pct"/>
            <w:vAlign w:val="center"/>
          </w:tcPr>
          <w:p w14:paraId="67101104">
            <w:pPr>
              <w:pStyle w:val="38"/>
              <w:snapToGrid w:val="0"/>
              <w:spacing w:afterLines="0" w:line="560" w:lineRule="exact"/>
              <w:rPr>
                <w:rFonts w:cs="Times New Roman"/>
                <w:szCs w:val="24"/>
              </w:rPr>
            </w:pPr>
            <w:r>
              <w:rPr>
                <w:rFonts w:cs="Times New Roman"/>
                <w:szCs w:val="24"/>
              </w:rPr>
              <w:t>有害垃圾</w:t>
            </w:r>
          </w:p>
        </w:tc>
        <w:tc>
          <w:tcPr>
            <w:tcW w:w="684" w:type="pct"/>
            <w:vAlign w:val="center"/>
          </w:tcPr>
          <w:p w14:paraId="60FF83D5">
            <w:pPr>
              <w:pStyle w:val="38"/>
              <w:snapToGrid w:val="0"/>
              <w:spacing w:afterLines="0" w:line="560" w:lineRule="exact"/>
              <w:rPr>
                <w:rFonts w:cs="Times New Roman"/>
                <w:szCs w:val="24"/>
              </w:rPr>
            </w:pPr>
            <w:r>
              <w:rPr>
                <w:rFonts w:cs="Times New Roman"/>
                <w:szCs w:val="24"/>
              </w:rPr>
              <w:t>可回收物</w:t>
            </w:r>
          </w:p>
        </w:tc>
        <w:tc>
          <w:tcPr>
            <w:tcW w:w="644" w:type="pct"/>
            <w:vAlign w:val="center"/>
          </w:tcPr>
          <w:p w14:paraId="33A8035D">
            <w:pPr>
              <w:pStyle w:val="38"/>
              <w:snapToGrid w:val="0"/>
              <w:spacing w:afterLines="0" w:line="560" w:lineRule="exact"/>
              <w:rPr>
                <w:rFonts w:cs="Times New Roman"/>
                <w:szCs w:val="24"/>
              </w:rPr>
            </w:pPr>
            <w:r>
              <w:rPr>
                <w:rFonts w:cs="Times New Roman"/>
                <w:szCs w:val="24"/>
              </w:rPr>
              <w:t>总量</w:t>
            </w:r>
          </w:p>
        </w:tc>
      </w:tr>
      <w:tr w14:paraId="5811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852" w:type="pct"/>
            <w:vAlign w:val="center"/>
          </w:tcPr>
          <w:p w14:paraId="5EB83ED2">
            <w:pPr>
              <w:pStyle w:val="38"/>
              <w:snapToGrid w:val="0"/>
              <w:spacing w:afterLines="0" w:line="400" w:lineRule="exact"/>
              <w:rPr>
                <w:rFonts w:cs="Times New Roman"/>
                <w:b w:val="0"/>
                <w:bCs/>
                <w:szCs w:val="24"/>
              </w:rPr>
            </w:pPr>
            <w:r>
              <w:rPr>
                <w:rFonts w:cs="Times New Roman"/>
                <w:b w:val="0"/>
                <w:bCs/>
                <w:szCs w:val="24"/>
              </w:rPr>
              <w:t>产生/回收量（万吨）</w:t>
            </w:r>
          </w:p>
        </w:tc>
        <w:tc>
          <w:tcPr>
            <w:tcW w:w="770" w:type="pct"/>
            <w:vAlign w:val="center"/>
          </w:tcPr>
          <w:p w14:paraId="13DED033">
            <w:pPr>
              <w:pStyle w:val="38"/>
              <w:snapToGrid w:val="0"/>
              <w:spacing w:afterLines="0" w:line="400" w:lineRule="exact"/>
              <w:rPr>
                <w:rFonts w:cs="Times New Roman"/>
                <w:b w:val="0"/>
                <w:bCs/>
                <w:szCs w:val="24"/>
              </w:rPr>
            </w:pPr>
            <w:r>
              <w:rPr>
                <w:rFonts w:cs="Times New Roman"/>
                <w:b w:val="0"/>
                <w:bCs/>
                <w:szCs w:val="24"/>
              </w:rPr>
              <w:t>17.02</w:t>
            </w:r>
          </w:p>
        </w:tc>
        <w:tc>
          <w:tcPr>
            <w:tcW w:w="683" w:type="pct"/>
            <w:vAlign w:val="center"/>
          </w:tcPr>
          <w:p w14:paraId="41C341B0">
            <w:pPr>
              <w:pStyle w:val="38"/>
              <w:snapToGrid w:val="0"/>
              <w:spacing w:afterLines="0" w:line="400" w:lineRule="exact"/>
              <w:rPr>
                <w:rFonts w:cs="Times New Roman"/>
                <w:b w:val="0"/>
                <w:bCs/>
                <w:szCs w:val="24"/>
              </w:rPr>
            </w:pPr>
            <w:r>
              <w:rPr>
                <w:rFonts w:cs="Times New Roman"/>
                <w:b w:val="0"/>
                <w:bCs/>
                <w:szCs w:val="24"/>
              </w:rPr>
              <w:t>3.74</w:t>
            </w:r>
          </w:p>
        </w:tc>
        <w:tc>
          <w:tcPr>
            <w:tcW w:w="684" w:type="pct"/>
            <w:vAlign w:val="center"/>
          </w:tcPr>
          <w:p w14:paraId="2EE88070">
            <w:pPr>
              <w:pStyle w:val="38"/>
              <w:snapToGrid w:val="0"/>
              <w:spacing w:afterLines="0" w:line="400" w:lineRule="exact"/>
              <w:rPr>
                <w:rFonts w:cs="Times New Roman"/>
                <w:b w:val="0"/>
                <w:bCs/>
                <w:szCs w:val="24"/>
              </w:rPr>
            </w:pPr>
            <w:r>
              <w:rPr>
                <w:rFonts w:cs="Times New Roman"/>
                <w:b w:val="0"/>
                <w:bCs/>
                <w:szCs w:val="24"/>
              </w:rPr>
              <w:t>2.67</w:t>
            </w:r>
          </w:p>
        </w:tc>
        <w:tc>
          <w:tcPr>
            <w:tcW w:w="683" w:type="pct"/>
            <w:vAlign w:val="center"/>
          </w:tcPr>
          <w:p w14:paraId="235922F3">
            <w:pPr>
              <w:pStyle w:val="38"/>
              <w:snapToGrid w:val="0"/>
              <w:spacing w:afterLines="0" w:line="400" w:lineRule="exact"/>
              <w:rPr>
                <w:rFonts w:cs="Times New Roman"/>
                <w:b w:val="0"/>
                <w:bCs/>
                <w:szCs w:val="24"/>
              </w:rPr>
            </w:pPr>
            <w:r>
              <w:rPr>
                <w:rFonts w:cs="Times New Roman"/>
                <w:b w:val="0"/>
                <w:bCs/>
                <w:szCs w:val="24"/>
              </w:rPr>
              <w:t>2.24吨</w:t>
            </w:r>
          </w:p>
        </w:tc>
        <w:tc>
          <w:tcPr>
            <w:tcW w:w="684" w:type="pct"/>
            <w:vAlign w:val="center"/>
          </w:tcPr>
          <w:p w14:paraId="58C8013A">
            <w:pPr>
              <w:pStyle w:val="38"/>
              <w:snapToGrid w:val="0"/>
              <w:spacing w:afterLines="0" w:line="400" w:lineRule="exact"/>
              <w:rPr>
                <w:rFonts w:cs="Times New Roman"/>
                <w:b w:val="0"/>
                <w:bCs/>
                <w:szCs w:val="24"/>
              </w:rPr>
            </w:pPr>
            <w:r>
              <w:rPr>
                <w:rFonts w:cs="Times New Roman"/>
                <w:b w:val="0"/>
                <w:bCs/>
                <w:szCs w:val="24"/>
              </w:rPr>
              <w:t>3.52</w:t>
            </w:r>
          </w:p>
        </w:tc>
        <w:tc>
          <w:tcPr>
            <w:tcW w:w="644" w:type="pct"/>
            <w:vAlign w:val="center"/>
          </w:tcPr>
          <w:p w14:paraId="414404B4">
            <w:pPr>
              <w:pStyle w:val="38"/>
              <w:snapToGrid w:val="0"/>
              <w:spacing w:afterLines="0" w:line="400" w:lineRule="exact"/>
              <w:rPr>
                <w:rFonts w:cs="Times New Roman"/>
                <w:b w:val="0"/>
                <w:bCs/>
                <w:szCs w:val="24"/>
              </w:rPr>
            </w:pPr>
            <w:r>
              <w:rPr>
                <w:rFonts w:cs="Times New Roman"/>
                <w:b w:val="0"/>
                <w:bCs/>
                <w:szCs w:val="24"/>
              </w:rPr>
              <w:t>26.95</w:t>
            </w:r>
          </w:p>
        </w:tc>
      </w:tr>
      <w:tr w14:paraId="4C3C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852" w:type="pct"/>
            <w:vAlign w:val="center"/>
          </w:tcPr>
          <w:p w14:paraId="1ACA0D58">
            <w:pPr>
              <w:pStyle w:val="38"/>
              <w:snapToGrid w:val="0"/>
              <w:spacing w:afterLines="0" w:line="400" w:lineRule="exact"/>
              <w:rPr>
                <w:rFonts w:cs="Times New Roman"/>
                <w:b w:val="0"/>
                <w:bCs/>
                <w:szCs w:val="24"/>
              </w:rPr>
            </w:pPr>
            <w:r>
              <w:rPr>
                <w:rFonts w:cs="Times New Roman"/>
                <w:b w:val="0"/>
                <w:bCs/>
                <w:szCs w:val="24"/>
              </w:rPr>
              <w:t>人均生活垃圾产生强度(千克/(人</w:t>
            </w:r>
            <w:r>
              <w:rPr>
                <w:rFonts w:cs="Times New Roman"/>
                <w:szCs w:val="24"/>
              </w:rPr>
              <w:t>•</w:t>
            </w:r>
            <w:r>
              <w:rPr>
                <w:rFonts w:cs="Times New Roman"/>
                <w:b w:val="0"/>
                <w:bCs/>
                <w:szCs w:val="24"/>
              </w:rPr>
              <w:t>日))</w:t>
            </w:r>
          </w:p>
        </w:tc>
        <w:tc>
          <w:tcPr>
            <w:tcW w:w="770" w:type="pct"/>
            <w:vAlign w:val="center"/>
          </w:tcPr>
          <w:p w14:paraId="4E4AB03B">
            <w:pPr>
              <w:pStyle w:val="38"/>
              <w:snapToGrid w:val="0"/>
              <w:spacing w:afterLines="0" w:line="400" w:lineRule="exact"/>
              <w:rPr>
                <w:rFonts w:cs="Times New Roman"/>
                <w:b w:val="0"/>
                <w:bCs/>
                <w:szCs w:val="24"/>
              </w:rPr>
            </w:pPr>
            <w:r>
              <w:rPr>
                <w:rFonts w:cs="Times New Roman"/>
                <w:b w:val="0"/>
                <w:bCs/>
                <w:szCs w:val="24"/>
              </w:rPr>
              <w:t>0.87</w:t>
            </w:r>
          </w:p>
        </w:tc>
        <w:tc>
          <w:tcPr>
            <w:tcW w:w="683" w:type="pct"/>
            <w:vAlign w:val="center"/>
          </w:tcPr>
          <w:p w14:paraId="200C0930">
            <w:pPr>
              <w:pStyle w:val="38"/>
              <w:snapToGrid w:val="0"/>
              <w:spacing w:afterLines="0" w:line="400" w:lineRule="exact"/>
              <w:rPr>
                <w:rFonts w:cs="Times New Roman"/>
                <w:b w:val="0"/>
                <w:bCs/>
                <w:szCs w:val="24"/>
              </w:rPr>
            </w:pPr>
            <w:r>
              <w:rPr>
                <w:rFonts w:cs="Times New Roman"/>
                <w:b w:val="0"/>
                <w:bCs/>
                <w:szCs w:val="24"/>
              </w:rPr>
              <w:t>0.19</w:t>
            </w:r>
          </w:p>
        </w:tc>
        <w:tc>
          <w:tcPr>
            <w:tcW w:w="684" w:type="pct"/>
            <w:vAlign w:val="center"/>
          </w:tcPr>
          <w:p w14:paraId="7F4A51EE">
            <w:pPr>
              <w:pStyle w:val="38"/>
              <w:snapToGrid w:val="0"/>
              <w:spacing w:afterLines="0" w:line="400" w:lineRule="exact"/>
              <w:rPr>
                <w:rFonts w:cs="Times New Roman"/>
                <w:b w:val="0"/>
                <w:bCs/>
                <w:szCs w:val="24"/>
              </w:rPr>
            </w:pPr>
            <w:r>
              <w:rPr>
                <w:rFonts w:cs="Times New Roman"/>
                <w:b w:val="0"/>
                <w:bCs/>
                <w:szCs w:val="24"/>
              </w:rPr>
              <w:t>0.14</w:t>
            </w:r>
          </w:p>
        </w:tc>
        <w:tc>
          <w:tcPr>
            <w:tcW w:w="683" w:type="pct"/>
            <w:vAlign w:val="center"/>
          </w:tcPr>
          <w:p w14:paraId="6A9D8C03">
            <w:pPr>
              <w:pStyle w:val="38"/>
              <w:snapToGrid w:val="0"/>
              <w:spacing w:afterLines="0" w:line="400" w:lineRule="exact"/>
              <w:rPr>
                <w:rFonts w:cs="Times New Roman"/>
                <w:b w:val="0"/>
                <w:bCs/>
                <w:szCs w:val="24"/>
              </w:rPr>
            </w:pPr>
            <w:r>
              <w:rPr>
                <w:rFonts w:cs="Times New Roman"/>
                <w:b w:val="0"/>
                <w:bCs/>
                <w:szCs w:val="24"/>
              </w:rPr>
              <w:t>/</w:t>
            </w:r>
          </w:p>
        </w:tc>
        <w:tc>
          <w:tcPr>
            <w:tcW w:w="684" w:type="pct"/>
            <w:vAlign w:val="center"/>
          </w:tcPr>
          <w:p w14:paraId="5AFCB32B">
            <w:pPr>
              <w:pStyle w:val="38"/>
              <w:snapToGrid w:val="0"/>
              <w:spacing w:afterLines="0" w:line="400" w:lineRule="exact"/>
              <w:rPr>
                <w:rFonts w:cs="Times New Roman"/>
                <w:b w:val="0"/>
                <w:bCs/>
                <w:szCs w:val="24"/>
              </w:rPr>
            </w:pPr>
            <w:r>
              <w:rPr>
                <w:rFonts w:cs="Times New Roman"/>
                <w:b w:val="0"/>
                <w:bCs/>
                <w:szCs w:val="24"/>
              </w:rPr>
              <w:t>0.18</w:t>
            </w:r>
          </w:p>
        </w:tc>
        <w:tc>
          <w:tcPr>
            <w:tcW w:w="644" w:type="pct"/>
            <w:vAlign w:val="center"/>
          </w:tcPr>
          <w:p w14:paraId="3319620C">
            <w:pPr>
              <w:pStyle w:val="38"/>
              <w:snapToGrid w:val="0"/>
              <w:spacing w:afterLines="0" w:line="400" w:lineRule="exact"/>
              <w:rPr>
                <w:rFonts w:cs="Times New Roman"/>
                <w:b w:val="0"/>
                <w:bCs/>
                <w:szCs w:val="24"/>
              </w:rPr>
            </w:pPr>
            <w:r>
              <w:rPr>
                <w:rFonts w:cs="Times New Roman"/>
                <w:b w:val="0"/>
                <w:bCs/>
                <w:szCs w:val="24"/>
              </w:rPr>
              <w:t>1.37</w:t>
            </w:r>
          </w:p>
        </w:tc>
      </w:tr>
      <w:tr w14:paraId="00D9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852" w:type="pct"/>
            <w:vAlign w:val="center"/>
          </w:tcPr>
          <w:p w14:paraId="5D879E90">
            <w:pPr>
              <w:pStyle w:val="38"/>
              <w:snapToGrid w:val="0"/>
              <w:spacing w:afterLines="0" w:line="400" w:lineRule="exact"/>
              <w:rPr>
                <w:rFonts w:cs="Times New Roman"/>
                <w:b w:val="0"/>
                <w:bCs/>
                <w:szCs w:val="24"/>
              </w:rPr>
            </w:pPr>
            <w:r>
              <w:rPr>
                <w:rFonts w:cs="Times New Roman"/>
                <w:b w:val="0"/>
                <w:bCs/>
                <w:szCs w:val="24"/>
              </w:rPr>
              <w:t>占比情况</w:t>
            </w:r>
          </w:p>
        </w:tc>
        <w:tc>
          <w:tcPr>
            <w:tcW w:w="770" w:type="pct"/>
            <w:vAlign w:val="center"/>
          </w:tcPr>
          <w:p w14:paraId="6F577811">
            <w:pPr>
              <w:pStyle w:val="38"/>
              <w:snapToGrid w:val="0"/>
              <w:spacing w:afterLines="0" w:line="400" w:lineRule="exact"/>
              <w:rPr>
                <w:rFonts w:cs="Times New Roman"/>
                <w:b w:val="0"/>
                <w:bCs/>
                <w:szCs w:val="24"/>
              </w:rPr>
            </w:pPr>
            <w:r>
              <w:rPr>
                <w:rFonts w:cs="Times New Roman"/>
                <w:b w:val="0"/>
                <w:bCs/>
                <w:szCs w:val="24"/>
              </w:rPr>
              <w:t>63.15%</w:t>
            </w:r>
          </w:p>
        </w:tc>
        <w:tc>
          <w:tcPr>
            <w:tcW w:w="683" w:type="pct"/>
            <w:vAlign w:val="center"/>
          </w:tcPr>
          <w:p w14:paraId="56E88AC0">
            <w:pPr>
              <w:pStyle w:val="38"/>
              <w:snapToGrid w:val="0"/>
              <w:spacing w:afterLines="0" w:line="400" w:lineRule="exact"/>
              <w:rPr>
                <w:rFonts w:cs="Times New Roman"/>
                <w:b w:val="0"/>
                <w:bCs/>
                <w:szCs w:val="24"/>
              </w:rPr>
            </w:pPr>
            <w:r>
              <w:rPr>
                <w:rFonts w:cs="Times New Roman"/>
                <w:b w:val="0"/>
                <w:bCs/>
                <w:szCs w:val="24"/>
              </w:rPr>
              <w:t>13.88%</w:t>
            </w:r>
          </w:p>
        </w:tc>
        <w:tc>
          <w:tcPr>
            <w:tcW w:w="684" w:type="pct"/>
            <w:vAlign w:val="center"/>
          </w:tcPr>
          <w:p w14:paraId="20CA5FCD">
            <w:pPr>
              <w:pStyle w:val="38"/>
              <w:snapToGrid w:val="0"/>
              <w:spacing w:afterLines="0" w:line="400" w:lineRule="exact"/>
              <w:rPr>
                <w:rFonts w:cs="Times New Roman"/>
                <w:b w:val="0"/>
                <w:bCs/>
                <w:szCs w:val="24"/>
              </w:rPr>
            </w:pPr>
            <w:r>
              <w:rPr>
                <w:rFonts w:cs="Times New Roman"/>
                <w:b w:val="0"/>
                <w:bCs/>
                <w:szCs w:val="24"/>
              </w:rPr>
              <w:t>9.91%</w:t>
            </w:r>
          </w:p>
        </w:tc>
        <w:tc>
          <w:tcPr>
            <w:tcW w:w="683" w:type="pct"/>
            <w:vAlign w:val="center"/>
          </w:tcPr>
          <w:p w14:paraId="4A081AB0">
            <w:pPr>
              <w:pStyle w:val="38"/>
              <w:snapToGrid w:val="0"/>
              <w:spacing w:afterLines="0" w:line="400" w:lineRule="exact"/>
              <w:rPr>
                <w:rFonts w:cs="Times New Roman"/>
                <w:b w:val="0"/>
                <w:bCs/>
                <w:szCs w:val="24"/>
              </w:rPr>
            </w:pPr>
            <w:r>
              <w:rPr>
                <w:rFonts w:cs="Times New Roman"/>
                <w:b w:val="0"/>
                <w:bCs/>
                <w:szCs w:val="24"/>
              </w:rPr>
              <w:t>0.0008%</w:t>
            </w:r>
          </w:p>
        </w:tc>
        <w:tc>
          <w:tcPr>
            <w:tcW w:w="684" w:type="pct"/>
            <w:vAlign w:val="center"/>
          </w:tcPr>
          <w:p w14:paraId="21B240BC">
            <w:pPr>
              <w:pStyle w:val="38"/>
              <w:snapToGrid w:val="0"/>
              <w:spacing w:afterLines="0" w:line="400" w:lineRule="exact"/>
              <w:rPr>
                <w:rFonts w:cs="Times New Roman"/>
                <w:b w:val="0"/>
                <w:bCs/>
                <w:szCs w:val="24"/>
              </w:rPr>
            </w:pPr>
            <w:r>
              <w:rPr>
                <w:rFonts w:cs="Times New Roman"/>
                <w:b w:val="0"/>
                <w:bCs/>
                <w:szCs w:val="24"/>
              </w:rPr>
              <w:t>13.06%</w:t>
            </w:r>
          </w:p>
        </w:tc>
        <w:tc>
          <w:tcPr>
            <w:tcW w:w="644" w:type="pct"/>
            <w:vAlign w:val="center"/>
          </w:tcPr>
          <w:p w14:paraId="25A16347">
            <w:pPr>
              <w:pStyle w:val="38"/>
              <w:snapToGrid w:val="0"/>
              <w:spacing w:afterLines="0" w:line="400" w:lineRule="exact"/>
              <w:rPr>
                <w:rFonts w:cs="Times New Roman"/>
                <w:b w:val="0"/>
                <w:bCs/>
                <w:szCs w:val="24"/>
              </w:rPr>
            </w:pPr>
            <w:r>
              <w:rPr>
                <w:rFonts w:cs="Times New Roman"/>
                <w:b w:val="0"/>
                <w:bCs/>
                <w:szCs w:val="24"/>
              </w:rPr>
              <w:t>100%</w:t>
            </w:r>
          </w:p>
        </w:tc>
      </w:tr>
    </w:tbl>
    <w:p w14:paraId="64FB7857">
      <w:pPr>
        <w:ind w:firstLine="643" w:firstLineChars="200"/>
        <w:rPr>
          <w:rFonts w:cs="Times New Roman"/>
        </w:rPr>
      </w:pPr>
      <w:r>
        <w:rPr>
          <w:rFonts w:cs="Times New Roman"/>
          <w:b/>
          <w:bCs/>
        </w:rPr>
        <w:t>可回收物以废纸为主。</w:t>
      </w:r>
      <w:r>
        <w:rPr>
          <w:rFonts w:cs="Times New Roman"/>
        </w:rPr>
        <w:t>2021年玄武区可回收物收集量为3.52万吨，其中废纸收集量占比48%，其次是废金属，占比24%，废塑料占比17%，废织物和废玻璃合计占比约10%，大件垃圾（沙发、床垫、木制家具、木材等）收集量占比1%。</w:t>
      </w:r>
    </w:p>
    <w:p w14:paraId="4809B06C">
      <w:pPr>
        <w:spacing w:line="240" w:lineRule="auto"/>
        <w:jc w:val="center"/>
        <w:rPr>
          <w:rFonts w:cs="Times New Roman"/>
        </w:rPr>
      </w:pPr>
      <w:r>
        <w:rPr>
          <w:rFonts w:cs="Times New Roman"/>
        </w:rPr>
        <w:drawing>
          <wp:inline distT="0" distB="0" distL="0" distR="0">
            <wp:extent cx="3564255" cy="2470785"/>
            <wp:effectExtent l="4445" t="5080" r="12700" b="1968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857D3A">
      <w:pPr>
        <w:pStyle w:val="36"/>
        <w:numPr>
          <w:ilvl w:val="0"/>
          <w:numId w:val="11"/>
        </w:numPr>
        <w:ind w:firstLineChars="0"/>
        <w:jc w:val="center"/>
        <w:rPr>
          <w:rFonts w:cs="Times New Roman"/>
          <w:b/>
          <w:bCs/>
          <w:sz w:val="24"/>
          <w:szCs w:val="24"/>
        </w:rPr>
      </w:pPr>
      <w:r>
        <w:rPr>
          <w:rStyle w:val="124"/>
          <w:rFonts w:cs="Times New Roman"/>
          <w:szCs w:val="24"/>
        </w:rPr>
        <w:t>2021</w:t>
      </w:r>
      <w:r>
        <w:rPr>
          <w:rFonts w:cs="Times New Roman"/>
          <w:b/>
          <w:bCs/>
          <w:sz w:val="24"/>
          <w:szCs w:val="24"/>
        </w:rPr>
        <w:t>年</w:t>
      </w:r>
      <w:r>
        <w:rPr>
          <w:rStyle w:val="124"/>
          <w:rFonts w:cs="Times New Roman"/>
          <w:szCs w:val="24"/>
        </w:rPr>
        <w:t>玄武区</w:t>
      </w:r>
      <w:r>
        <w:rPr>
          <w:rFonts w:cs="Times New Roman"/>
          <w:b/>
          <w:bCs/>
          <w:sz w:val="24"/>
          <w:szCs w:val="24"/>
        </w:rPr>
        <w:t>生活垃圾可回收物种类分布情况（万吨）</w:t>
      </w:r>
    </w:p>
    <w:p w14:paraId="415E63B1">
      <w:pPr>
        <w:ind w:firstLine="643" w:firstLineChars="200"/>
        <w:rPr>
          <w:rFonts w:cs="Times New Roman"/>
        </w:rPr>
      </w:pPr>
      <w:r>
        <w:rPr>
          <w:rFonts w:cs="Times New Roman"/>
          <w:b/>
          <w:bCs/>
        </w:rPr>
        <w:t>生活垃圾分类全覆盖。</w:t>
      </w:r>
      <w:r>
        <w:rPr>
          <w:rFonts w:cs="Times New Roman"/>
        </w:rPr>
        <w:t>截至2021年，玄武区已完成488个小区收集点建设投运任务，已投运点位782个，小区收集点覆盖率、点位投运率均达100%，实现居民小区生活垃圾分类全覆盖。各街道安排</w:t>
      </w:r>
      <w:r>
        <w:rPr>
          <w:rFonts w:hint="eastAsia" w:cs="Times New Roman"/>
        </w:rPr>
        <w:t>垃圾分类</w:t>
      </w:r>
      <w:r>
        <w:rPr>
          <w:rFonts w:cs="Times New Roman"/>
        </w:rPr>
        <w:t>指导员定时上岗开展桶边指导，实行定时定点分类投放，通过入户宣传、设置红黑榜、积分奖励等方式提高居民垃圾分类意识，小区垃圾分类质量效益显著提升。</w:t>
      </w:r>
    </w:p>
    <w:p w14:paraId="70811D6B">
      <w:pPr>
        <w:ind w:firstLine="643" w:firstLineChars="200"/>
        <w:rPr>
          <w:rFonts w:cs="Times New Roman"/>
          <w:szCs w:val="28"/>
        </w:rPr>
      </w:pPr>
      <w:r>
        <w:rPr>
          <w:rFonts w:cs="Times New Roman"/>
          <w:b/>
          <w:bCs/>
        </w:rPr>
        <w:t>收运分拣体系较为健全。</w:t>
      </w:r>
      <w:r>
        <w:rPr>
          <w:rFonts w:cs="Times New Roman"/>
        </w:rPr>
        <w:t>截至2021年，玄武</w:t>
      </w:r>
      <w:r>
        <w:rPr>
          <w:rFonts w:cs="Times New Roman"/>
          <w:szCs w:val="28"/>
        </w:rPr>
        <w:t>区已配置有害垃圾车4辆、可回收物车5辆、餐厨垃圾（厨余垃圾）车41辆、大件垃圾车1辆，其他垃圾车64辆，</w:t>
      </w:r>
      <w:r>
        <w:rPr>
          <w:rFonts w:hint="eastAsia" w:cs="Times New Roman"/>
          <w:szCs w:val="28"/>
        </w:rPr>
        <w:t>并</w:t>
      </w:r>
      <w:r>
        <w:rPr>
          <w:rFonts w:cs="Times New Roman"/>
          <w:szCs w:val="28"/>
        </w:rPr>
        <w:t>对115辆收运车辆规范喷涂了分类标识。建立有害垃圾、可回收物收运专线各8条，餐厨垃圾收运专线15条，厨余垃圾收运专线14条，大件垃圾实行预约收运。区内拥有生活垃圾中转站13个，平均转运规模达375吨/日，最高可达520吨/日</w:t>
      </w:r>
      <w:r>
        <w:rPr>
          <w:rFonts w:hint="eastAsia" w:cs="Times New Roman"/>
          <w:szCs w:val="28"/>
        </w:rPr>
        <w:t>，规划中的</w:t>
      </w:r>
      <w:r>
        <w:rPr>
          <w:rFonts w:cs="Times New Roman"/>
          <w:szCs w:val="28"/>
        </w:rPr>
        <w:t>玄武区大件垃圾分拣中心设计处理规模为30吨/日。</w:t>
      </w:r>
    </w:p>
    <w:p w14:paraId="5A6D55D0">
      <w:pPr>
        <w:pStyle w:val="43"/>
        <w:numPr>
          <w:ilvl w:val="0"/>
          <w:numId w:val="10"/>
        </w:numPr>
        <w:spacing w:beforeLines="0" w:line="560" w:lineRule="exact"/>
        <w:rPr>
          <w:rFonts w:cs="Times New Roman"/>
        </w:rPr>
      </w:pPr>
      <w:r>
        <w:rPr>
          <w:rFonts w:cs="Times New Roman"/>
        </w:rPr>
        <w:t>玄武区生活垃圾中转站及分拣中心一览表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074"/>
        <w:gridCol w:w="2127"/>
        <w:gridCol w:w="1559"/>
        <w:gridCol w:w="1134"/>
        <w:gridCol w:w="992"/>
        <w:gridCol w:w="788"/>
      </w:tblGrid>
      <w:tr w14:paraId="5920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restart"/>
            <w:vAlign w:val="center"/>
          </w:tcPr>
          <w:p w14:paraId="1AAD42BD">
            <w:pPr>
              <w:jc w:val="center"/>
              <w:rPr>
                <w:rFonts w:cs="Times New Roman"/>
                <w:b/>
                <w:bCs/>
                <w:sz w:val="24"/>
                <w:szCs w:val="24"/>
              </w:rPr>
            </w:pPr>
            <w:r>
              <w:rPr>
                <w:rFonts w:cs="Times New Roman"/>
                <w:b/>
                <w:bCs/>
                <w:sz w:val="24"/>
                <w:szCs w:val="24"/>
              </w:rPr>
              <w:t>序号</w:t>
            </w:r>
          </w:p>
        </w:tc>
        <w:tc>
          <w:tcPr>
            <w:tcW w:w="1074" w:type="dxa"/>
            <w:vMerge w:val="restart"/>
            <w:vAlign w:val="center"/>
          </w:tcPr>
          <w:p w14:paraId="40001D89">
            <w:pPr>
              <w:jc w:val="center"/>
              <w:rPr>
                <w:rFonts w:cs="Times New Roman"/>
                <w:b/>
                <w:bCs/>
                <w:sz w:val="24"/>
                <w:szCs w:val="24"/>
              </w:rPr>
            </w:pPr>
            <w:r>
              <w:rPr>
                <w:rFonts w:cs="Times New Roman"/>
                <w:b/>
                <w:bCs/>
                <w:sz w:val="24"/>
                <w:szCs w:val="24"/>
              </w:rPr>
              <w:t>类型</w:t>
            </w:r>
          </w:p>
        </w:tc>
        <w:tc>
          <w:tcPr>
            <w:tcW w:w="2127" w:type="dxa"/>
            <w:vMerge w:val="restart"/>
            <w:vAlign w:val="center"/>
          </w:tcPr>
          <w:p w14:paraId="5BCE373D">
            <w:pPr>
              <w:jc w:val="center"/>
              <w:rPr>
                <w:rFonts w:cs="Times New Roman"/>
                <w:b/>
                <w:bCs/>
                <w:sz w:val="24"/>
                <w:szCs w:val="24"/>
              </w:rPr>
            </w:pPr>
            <w:r>
              <w:rPr>
                <w:rFonts w:cs="Times New Roman"/>
                <w:b/>
                <w:bCs/>
                <w:sz w:val="24"/>
                <w:szCs w:val="24"/>
              </w:rPr>
              <w:t>名称</w:t>
            </w:r>
          </w:p>
        </w:tc>
        <w:tc>
          <w:tcPr>
            <w:tcW w:w="1559" w:type="dxa"/>
            <w:vMerge w:val="restart"/>
            <w:vAlign w:val="center"/>
          </w:tcPr>
          <w:p w14:paraId="4BF8E5E6">
            <w:pPr>
              <w:jc w:val="center"/>
              <w:rPr>
                <w:rFonts w:cs="Times New Roman"/>
                <w:b/>
                <w:bCs/>
                <w:sz w:val="24"/>
                <w:szCs w:val="24"/>
              </w:rPr>
            </w:pPr>
            <w:r>
              <w:rPr>
                <w:rFonts w:cs="Times New Roman"/>
                <w:b/>
                <w:bCs/>
                <w:sz w:val="24"/>
                <w:szCs w:val="24"/>
              </w:rPr>
              <w:t>所在街道</w:t>
            </w:r>
          </w:p>
        </w:tc>
        <w:tc>
          <w:tcPr>
            <w:tcW w:w="2126" w:type="dxa"/>
            <w:gridSpan w:val="2"/>
            <w:vAlign w:val="center"/>
          </w:tcPr>
          <w:p w14:paraId="313032F6">
            <w:pPr>
              <w:jc w:val="center"/>
              <w:rPr>
                <w:rFonts w:cs="Times New Roman"/>
                <w:b/>
                <w:bCs/>
                <w:sz w:val="24"/>
                <w:szCs w:val="24"/>
              </w:rPr>
            </w:pPr>
            <w:r>
              <w:rPr>
                <w:rFonts w:cs="Times New Roman"/>
                <w:b/>
                <w:bCs/>
                <w:spacing w:val="0"/>
                <w:w w:val="84"/>
                <w:kern w:val="0"/>
                <w:sz w:val="24"/>
                <w:szCs w:val="24"/>
                <w:fitText w:val="1680" w:id="767318180"/>
              </w:rPr>
              <w:t>运行规模（吨/日）</w:t>
            </w:r>
          </w:p>
        </w:tc>
        <w:tc>
          <w:tcPr>
            <w:tcW w:w="788" w:type="dxa"/>
            <w:vMerge w:val="restart"/>
            <w:vAlign w:val="center"/>
          </w:tcPr>
          <w:p w14:paraId="7A12CA2A">
            <w:pPr>
              <w:spacing w:line="400" w:lineRule="exact"/>
              <w:jc w:val="center"/>
              <w:rPr>
                <w:rFonts w:cs="Times New Roman"/>
                <w:b/>
                <w:bCs/>
                <w:sz w:val="24"/>
                <w:szCs w:val="24"/>
              </w:rPr>
            </w:pPr>
            <w:r>
              <w:rPr>
                <w:rFonts w:cs="Times New Roman"/>
                <w:b/>
                <w:bCs/>
                <w:sz w:val="24"/>
                <w:szCs w:val="24"/>
              </w:rPr>
              <w:t>建成时间(年)</w:t>
            </w:r>
          </w:p>
        </w:tc>
      </w:tr>
      <w:tr w14:paraId="1E78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14:paraId="1AD43EA9">
            <w:pPr>
              <w:jc w:val="center"/>
              <w:rPr>
                <w:rFonts w:cs="Times New Roman"/>
                <w:b/>
                <w:bCs/>
                <w:sz w:val="24"/>
                <w:szCs w:val="24"/>
              </w:rPr>
            </w:pPr>
          </w:p>
        </w:tc>
        <w:tc>
          <w:tcPr>
            <w:tcW w:w="1074" w:type="dxa"/>
            <w:vMerge w:val="continue"/>
            <w:vAlign w:val="center"/>
          </w:tcPr>
          <w:p w14:paraId="255CE6E0">
            <w:pPr>
              <w:jc w:val="center"/>
              <w:rPr>
                <w:rFonts w:cs="Times New Roman"/>
                <w:b/>
                <w:bCs/>
                <w:sz w:val="24"/>
                <w:szCs w:val="24"/>
              </w:rPr>
            </w:pPr>
          </w:p>
        </w:tc>
        <w:tc>
          <w:tcPr>
            <w:tcW w:w="2127" w:type="dxa"/>
            <w:vMerge w:val="continue"/>
            <w:vAlign w:val="center"/>
          </w:tcPr>
          <w:p w14:paraId="34F8CDD3">
            <w:pPr>
              <w:jc w:val="center"/>
              <w:rPr>
                <w:rFonts w:cs="Times New Roman"/>
                <w:b/>
                <w:bCs/>
                <w:sz w:val="24"/>
                <w:szCs w:val="24"/>
              </w:rPr>
            </w:pPr>
          </w:p>
        </w:tc>
        <w:tc>
          <w:tcPr>
            <w:tcW w:w="1559" w:type="dxa"/>
            <w:vMerge w:val="continue"/>
            <w:vAlign w:val="center"/>
          </w:tcPr>
          <w:p w14:paraId="6079CE3E">
            <w:pPr>
              <w:jc w:val="center"/>
              <w:rPr>
                <w:rFonts w:cs="Times New Roman"/>
                <w:b/>
                <w:bCs/>
                <w:sz w:val="24"/>
                <w:szCs w:val="24"/>
              </w:rPr>
            </w:pPr>
          </w:p>
        </w:tc>
        <w:tc>
          <w:tcPr>
            <w:tcW w:w="1134" w:type="dxa"/>
            <w:vAlign w:val="center"/>
          </w:tcPr>
          <w:p w14:paraId="1A0BDA17">
            <w:pPr>
              <w:jc w:val="center"/>
              <w:rPr>
                <w:rFonts w:cs="Times New Roman"/>
                <w:b/>
                <w:bCs/>
                <w:sz w:val="24"/>
                <w:szCs w:val="24"/>
              </w:rPr>
            </w:pPr>
            <w:r>
              <w:rPr>
                <w:rFonts w:cs="Times New Roman"/>
                <w:b/>
                <w:bCs/>
                <w:sz w:val="24"/>
                <w:szCs w:val="24"/>
              </w:rPr>
              <w:t>平均</w:t>
            </w:r>
          </w:p>
        </w:tc>
        <w:tc>
          <w:tcPr>
            <w:tcW w:w="992" w:type="dxa"/>
            <w:vAlign w:val="center"/>
          </w:tcPr>
          <w:p w14:paraId="1AB0865F">
            <w:pPr>
              <w:jc w:val="center"/>
              <w:rPr>
                <w:rFonts w:cs="Times New Roman"/>
                <w:b/>
                <w:bCs/>
                <w:sz w:val="24"/>
                <w:szCs w:val="24"/>
              </w:rPr>
            </w:pPr>
            <w:r>
              <w:rPr>
                <w:rFonts w:cs="Times New Roman"/>
                <w:b/>
                <w:bCs/>
                <w:sz w:val="24"/>
                <w:szCs w:val="24"/>
              </w:rPr>
              <w:t>最高</w:t>
            </w:r>
          </w:p>
        </w:tc>
        <w:tc>
          <w:tcPr>
            <w:tcW w:w="788" w:type="dxa"/>
            <w:vMerge w:val="continue"/>
            <w:vAlign w:val="center"/>
          </w:tcPr>
          <w:p w14:paraId="142B1C48">
            <w:pPr>
              <w:jc w:val="center"/>
              <w:rPr>
                <w:rFonts w:cs="Times New Roman"/>
                <w:sz w:val="24"/>
                <w:szCs w:val="24"/>
              </w:rPr>
            </w:pPr>
          </w:p>
        </w:tc>
      </w:tr>
      <w:tr w14:paraId="2BDB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73D9431E">
            <w:pPr>
              <w:jc w:val="center"/>
              <w:rPr>
                <w:rFonts w:cs="Times New Roman"/>
                <w:sz w:val="24"/>
                <w:szCs w:val="24"/>
              </w:rPr>
            </w:pPr>
            <w:r>
              <w:rPr>
                <w:rFonts w:cs="Times New Roman"/>
                <w:sz w:val="24"/>
                <w:szCs w:val="24"/>
              </w:rPr>
              <w:t>1</w:t>
            </w:r>
          </w:p>
        </w:tc>
        <w:tc>
          <w:tcPr>
            <w:tcW w:w="1074" w:type="dxa"/>
            <w:vAlign w:val="center"/>
          </w:tcPr>
          <w:p w14:paraId="52B6B6E9">
            <w:pPr>
              <w:jc w:val="center"/>
              <w:rPr>
                <w:rFonts w:cs="Times New Roman"/>
                <w:sz w:val="24"/>
                <w:szCs w:val="24"/>
              </w:rPr>
            </w:pPr>
            <w:r>
              <w:rPr>
                <w:rFonts w:cs="Times New Roman"/>
                <w:sz w:val="24"/>
                <w:szCs w:val="24"/>
              </w:rPr>
              <w:t>中转站</w:t>
            </w:r>
          </w:p>
        </w:tc>
        <w:tc>
          <w:tcPr>
            <w:tcW w:w="2127" w:type="dxa"/>
            <w:vAlign w:val="center"/>
          </w:tcPr>
          <w:p w14:paraId="505243E0">
            <w:pPr>
              <w:jc w:val="center"/>
              <w:rPr>
                <w:rFonts w:cs="Times New Roman"/>
                <w:sz w:val="24"/>
                <w:szCs w:val="24"/>
              </w:rPr>
            </w:pPr>
            <w:r>
              <w:rPr>
                <w:rFonts w:cs="Times New Roman"/>
                <w:sz w:val="24"/>
                <w:szCs w:val="24"/>
              </w:rPr>
              <w:t>四牌楼</w:t>
            </w:r>
          </w:p>
        </w:tc>
        <w:tc>
          <w:tcPr>
            <w:tcW w:w="1559" w:type="dxa"/>
            <w:vAlign w:val="center"/>
          </w:tcPr>
          <w:p w14:paraId="65E6A7DD">
            <w:pPr>
              <w:jc w:val="center"/>
              <w:rPr>
                <w:rFonts w:cs="Times New Roman"/>
                <w:sz w:val="24"/>
                <w:szCs w:val="24"/>
              </w:rPr>
            </w:pPr>
            <w:r>
              <w:rPr>
                <w:rFonts w:cs="Times New Roman"/>
                <w:sz w:val="24"/>
                <w:szCs w:val="24"/>
              </w:rPr>
              <w:t>新街口街道</w:t>
            </w:r>
          </w:p>
        </w:tc>
        <w:tc>
          <w:tcPr>
            <w:tcW w:w="1134" w:type="dxa"/>
            <w:vAlign w:val="center"/>
          </w:tcPr>
          <w:p w14:paraId="213CE3C9">
            <w:pPr>
              <w:jc w:val="center"/>
              <w:rPr>
                <w:rFonts w:cs="Times New Roman"/>
                <w:sz w:val="24"/>
                <w:szCs w:val="24"/>
              </w:rPr>
            </w:pPr>
            <w:r>
              <w:rPr>
                <w:rFonts w:cs="Times New Roman"/>
                <w:sz w:val="24"/>
                <w:szCs w:val="24"/>
              </w:rPr>
              <w:t>60</w:t>
            </w:r>
          </w:p>
        </w:tc>
        <w:tc>
          <w:tcPr>
            <w:tcW w:w="992" w:type="dxa"/>
            <w:vAlign w:val="center"/>
          </w:tcPr>
          <w:p w14:paraId="4A332787">
            <w:pPr>
              <w:jc w:val="center"/>
              <w:rPr>
                <w:rFonts w:cs="Times New Roman"/>
                <w:sz w:val="24"/>
                <w:szCs w:val="24"/>
              </w:rPr>
            </w:pPr>
            <w:r>
              <w:rPr>
                <w:rFonts w:cs="Times New Roman"/>
                <w:sz w:val="24"/>
                <w:szCs w:val="24"/>
              </w:rPr>
              <w:t>75</w:t>
            </w:r>
          </w:p>
        </w:tc>
        <w:tc>
          <w:tcPr>
            <w:tcW w:w="788" w:type="dxa"/>
            <w:vAlign w:val="center"/>
          </w:tcPr>
          <w:p w14:paraId="58FD90D7">
            <w:pPr>
              <w:jc w:val="center"/>
              <w:rPr>
                <w:rFonts w:cs="Times New Roman"/>
                <w:sz w:val="24"/>
                <w:szCs w:val="24"/>
              </w:rPr>
            </w:pPr>
            <w:r>
              <w:rPr>
                <w:rFonts w:cs="Times New Roman"/>
                <w:sz w:val="24"/>
                <w:szCs w:val="24"/>
              </w:rPr>
              <w:t>2008</w:t>
            </w:r>
          </w:p>
        </w:tc>
      </w:tr>
      <w:tr w14:paraId="41F2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4EFE4A6B">
            <w:pPr>
              <w:jc w:val="center"/>
              <w:rPr>
                <w:rFonts w:cs="Times New Roman"/>
                <w:sz w:val="24"/>
                <w:szCs w:val="24"/>
              </w:rPr>
            </w:pPr>
            <w:r>
              <w:rPr>
                <w:rFonts w:cs="Times New Roman"/>
                <w:sz w:val="24"/>
                <w:szCs w:val="24"/>
              </w:rPr>
              <w:t>2</w:t>
            </w:r>
          </w:p>
        </w:tc>
        <w:tc>
          <w:tcPr>
            <w:tcW w:w="1074" w:type="dxa"/>
            <w:vAlign w:val="center"/>
          </w:tcPr>
          <w:p w14:paraId="790DEA59">
            <w:pPr>
              <w:jc w:val="center"/>
              <w:rPr>
                <w:rFonts w:cs="Times New Roman"/>
                <w:sz w:val="24"/>
                <w:szCs w:val="24"/>
              </w:rPr>
            </w:pPr>
            <w:r>
              <w:rPr>
                <w:rFonts w:cs="Times New Roman"/>
                <w:sz w:val="24"/>
                <w:szCs w:val="24"/>
              </w:rPr>
              <w:t>中转站</w:t>
            </w:r>
          </w:p>
        </w:tc>
        <w:tc>
          <w:tcPr>
            <w:tcW w:w="2127" w:type="dxa"/>
            <w:vAlign w:val="center"/>
          </w:tcPr>
          <w:p w14:paraId="01ABB418">
            <w:pPr>
              <w:jc w:val="center"/>
              <w:rPr>
                <w:rFonts w:cs="Times New Roman"/>
                <w:sz w:val="24"/>
                <w:szCs w:val="24"/>
              </w:rPr>
            </w:pPr>
            <w:r>
              <w:rPr>
                <w:rFonts w:cs="Times New Roman"/>
                <w:sz w:val="24"/>
                <w:szCs w:val="24"/>
              </w:rPr>
              <w:t>胜利村</w:t>
            </w:r>
          </w:p>
        </w:tc>
        <w:tc>
          <w:tcPr>
            <w:tcW w:w="1559" w:type="dxa"/>
            <w:vAlign w:val="center"/>
          </w:tcPr>
          <w:p w14:paraId="160648A5">
            <w:pPr>
              <w:jc w:val="center"/>
              <w:rPr>
                <w:rFonts w:cs="Times New Roman"/>
                <w:sz w:val="24"/>
                <w:szCs w:val="24"/>
              </w:rPr>
            </w:pPr>
            <w:r>
              <w:rPr>
                <w:rFonts w:cs="Times New Roman"/>
                <w:sz w:val="24"/>
                <w:szCs w:val="24"/>
              </w:rPr>
              <w:t>孝陵卫街道</w:t>
            </w:r>
          </w:p>
        </w:tc>
        <w:tc>
          <w:tcPr>
            <w:tcW w:w="1134" w:type="dxa"/>
            <w:vAlign w:val="center"/>
          </w:tcPr>
          <w:p w14:paraId="1E03B853">
            <w:pPr>
              <w:jc w:val="center"/>
              <w:rPr>
                <w:rFonts w:cs="Times New Roman"/>
                <w:sz w:val="24"/>
                <w:szCs w:val="24"/>
              </w:rPr>
            </w:pPr>
            <w:r>
              <w:rPr>
                <w:rFonts w:cs="Times New Roman"/>
                <w:sz w:val="24"/>
                <w:szCs w:val="24"/>
              </w:rPr>
              <w:t>15</w:t>
            </w:r>
          </w:p>
        </w:tc>
        <w:tc>
          <w:tcPr>
            <w:tcW w:w="992" w:type="dxa"/>
            <w:vAlign w:val="center"/>
          </w:tcPr>
          <w:p w14:paraId="742E1438">
            <w:pPr>
              <w:jc w:val="center"/>
              <w:rPr>
                <w:rFonts w:cs="Times New Roman"/>
                <w:sz w:val="24"/>
                <w:szCs w:val="24"/>
              </w:rPr>
            </w:pPr>
            <w:r>
              <w:rPr>
                <w:rFonts w:cs="Times New Roman"/>
                <w:sz w:val="24"/>
                <w:szCs w:val="24"/>
              </w:rPr>
              <w:t>25</w:t>
            </w:r>
          </w:p>
        </w:tc>
        <w:tc>
          <w:tcPr>
            <w:tcW w:w="788" w:type="dxa"/>
            <w:vAlign w:val="center"/>
          </w:tcPr>
          <w:p w14:paraId="6F225BD0">
            <w:pPr>
              <w:jc w:val="center"/>
              <w:rPr>
                <w:rFonts w:cs="Times New Roman"/>
                <w:sz w:val="24"/>
                <w:szCs w:val="24"/>
              </w:rPr>
            </w:pPr>
            <w:r>
              <w:rPr>
                <w:rFonts w:cs="Times New Roman"/>
                <w:sz w:val="24"/>
                <w:szCs w:val="24"/>
              </w:rPr>
              <w:t>2008</w:t>
            </w:r>
          </w:p>
        </w:tc>
      </w:tr>
      <w:tr w14:paraId="1260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3BF96C78">
            <w:pPr>
              <w:jc w:val="center"/>
              <w:rPr>
                <w:rFonts w:cs="Times New Roman"/>
                <w:sz w:val="24"/>
                <w:szCs w:val="24"/>
              </w:rPr>
            </w:pPr>
            <w:r>
              <w:rPr>
                <w:rFonts w:cs="Times New Roman"/>
                <w:sz w:val="24"/>
                <w:szCs w:val="24"/>
              </w:rPr>
              <w:t>3</w:t>
            </w:r>
          </w:p>
        </w:tc>
        <w:tc>
          <w:tcPr>
            <w:tcW w:w="1074" w:type="dxa"/>
            <w:vAlign w:val="center"/>
          </w:tcPr>
          <w:p w14:paraId="0462D322">
            <w:pPr>
              <w:jc w:val="center"/>
              <w:rPr>
                <w:rFonts w:cs="Times New Roman"/>
                <w:sz w:val="24"/>
                <w:szCs w:val="24"/>
              </w:rPr>
            </w:pPr>
            <w:r>
              <w:rPr>
                <w:rFonts w:cs="Times New Roman"/>
                <w:sz w:val="24"/>
                <w:szCs w:val="24"/>
              </w:rPr>
              <w:t>中转站</w:t>
            </w:r>
          </w:p>
        </w:tc>
        <w:tc>
          <w:tcPr>
            <w:tcW w:w="2127" w:type="dxa"/>
            <w:vAlign w:val="center"/>
          </w:tcPr>
          <w:p w14:paraId="153A8B3A">
            <w:pPr>
              <w:jc w:val="center"/>
              <w:rPr>
                <w:rFonts w:cs="Times New Roman"/>
                <w:sz w:val="24"/>
                <w:szCs w:val="24"/>
              </w:rPr>
            </w:pPr>
            <w:r>
              <w:rPr>
                <w:rFonts w:cs="Times New Roman"/>
                <w:sz w:val="24"/>
                <w:szCs w:val="24"/>
              </w:rPr>
              <w:t>银城东苑</w:t>
            </w:r>
          </w:p>
        </w:tc>
        <w:tc>
          <w:tcPr>
            <w:tcW w:w="1559" w:type="dxa"/>
            <w:vAlign w:val="center"/>
          </w:tcPr>
          <w:p w14:paraId="5B14A38A">
            <w:pPr>
              <w:jc w:val="center"/>
              <w:rPr>
                <w:rFonts w:cs="Times New Roman"/>
                <w:sz w:val="24"/>
                <w:szCs w:val="24"/>
              </w:rPr>
            </w:pPr>
            <w:r>
              <w:rPr>
                <w:rFonts w:cs="Times New Roman"/>
                <w:sz w:val="24"/>
                <w:szCs w:val="24"/>
              </w:rPr>
              <w:t>孝陵卫街道</w:t>
            </w:r>
          </w:p>
        </w:tc>
        <w:tc>
          <w:tcPr>
            <w:tcW w:w="1134" w:type="dxa"/>
            <w:vAlign w:val="center"/>
          </w:tcPr>
          <w:p w14:paraId="2F8421A9">
            <w:pPr>
              <w:jc w:val="center"/>
              <w:rPr>
                <w:rFonts w:cs="Times New Roman"/>
                <w:sz w:val="24"/>
                <w:szCs w:val="24"/>
              </w:rPr>
            </w:pPr>
            <w:r>
              <w:rPr>
                <w:rFonts w:cs="Times New Roman"/>
                <w:sz w:val="24"/>
                <w:szCs w:val="24"/>
              </w:rPr>
              <w:t>15</w:t>
            </w:r>
          </w:p>
        </w:tc>
        <w:tc>
          <w:tcPr>
            <w:tcW w:w="992" w:type="dxa"/>
            <w:vAlign w:val="center"/>
          </w:tcPr>
          <w:p w14:paraId="3188444A">
            <w:pPr>
              <w:jc w:val="center"/>
              <w:rPr>
                <w:rFonts w:cs="Times New Roman"/>
                <w:sz w:val="24"/>
                <w:szCs w:val="24"/>
              </w:rPr>
            </w:pPr>
            <w:r>
              <w:rPr>
                <w:rFonts w:cs="Times New Roman"/>
                <w:sz w:val="24"/>
                <w:szCs w:val="24"/>
              </w:rPr>
              <w:t>25</w:t>
            </w:r>
          </w:p>
        </w:tc>
        <w:tc>
          <w:tcPr>
            <w:tcW w:w="788" w:type="dxa"/>
            <w:vAlign w:val="center"/>
          </w:tcPr>
          <w:p w14:paraId="17B0CCC5">
            <w:pPr>
              <w:jc w:val="center"/>
              <w:rPr>
                <w:rFonts w:cs="Times New Roman"/>
                <w:sz w:val="24"/>
                <w:szCs w:val="24"/>
              </w:rPr>
            </w:pPr>
            <w:r>
              <w:rPr>
                <w:rFonts w:cs="Times New Roman"/>
                <w:sz w:val="24"/>
                <w:szCs w:val="24"/>
              </w:rPr>
              <w:t>2008</w:t>
            </w:r>
          </w:p>
        </w:tc>
      </w:tr>
      <w:tr w14:paraId="1477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1DDDE235">
            <w:pPr>
              <w:jc w:val="center"/>
              <w:rPr>
                <w:rFonts w:cs="Times New Roman"/>
                <w:sz w:val="24"/>
                <w:szCs w:val="24"/>
              </w:rPr>
            </w:pPr>
            <w:r>
              <w:rPr>
                <w:rFonts w:cs="Times New Roman"/>
                <w:sz w:val="24"/>
                <w:szCs w:val="24"/>
              </w:rPr>
              <w:t>4</w:t>
            </w:r>
          </w:p>
        </w:tc>
        <w:tc>
          <w:tcPr>
            <w:tcW w:w="1074" w:type="dxa"/>
            <w:vAlign w:val="center"/>
          </w:tcPr>
          <w:p w14:paraId="0271335F">
            <w:pPr>
              <w:jc w:val="center"/>
              <w:rPr>
                <w:rFonts w:cs="Times New Roman"/>
                <w:sz w:val="24"/>
                <w:szCs w:val="24"/>
              </w:rPr>
            </w:pPr>
            <w:r>
              <w:rPr>
                <w:rFonts w:cs="Times New Roman"/>
                <w:sz w:val="24"/>
                <w:szCs w:val="24"/>
              </w:rPr>
              <w:t>中转站</w:t>
            </w:r>
          </w:p>
        </w:tc>
        <w:tc>
          <w:tcPr>
            <w:tcW w:w="2127" w:type="dxa"/>
            <w:vAlign w:val="center"/>
          </w:tcPr>
          <w:p w14:paraId="51AD8F12">
            <w:pPr>
              <w:jc w:val="center"/>
              <w:rPr>
                <w:rFonts w:cs="Times New Roman"/>
                <w:sz w:val="24"/>
                <w:szCs w:val="24"/>
              </w:rPr>
            </w:pPr>
            <w:r>
              <w:rPr>
                <w:rFonts w:cs="Times New Roman"/>
                <w:sz w:val="24"/>
                <w:szCs w:val="24"/>
              </w:rPr>
              <w:t>盛和家园</w:t>
            </w:r>
          </w:p>
        </w:tc>
        <w:tc>
          <w:tcPr>
            <w:tcW w:w="1559" w:type="dxa"/>
            <w:vAlign w:val="center"/>
          </w:tcPr>
          <w:p w14:paraId="136BE65F">
            <w:pPr>
              <w:jc w:val="center"/>
              <w:rPr>
                <w:rFonts w:cs="Times New Roman"/>
                <w:sz w:val="24"/>
                <w:szCs w:val="24"/>
              </w:rPr>
            </w:pPr>
            <w:r>
              <w:rPr>
                <w:rFonts w:cs="Times New Roman"/>
                <w:sz w:val="24"/>
                <w:szCs w:val="24"/>
              </w:rPr>
              <w:t>孝陵卫街道</w:t>
            </w:r>
          </w:p>
        </w:tc>
        <w:tc>
          <w:tcPr>
            <w:tcW w:w="1134" w:type="dxa"/>
            <w:vAlign w:val="center"/>
          </w:tcPr>
          <w:p w14:paraId="04709841">
            <w:pPr>
              <w:jc w:val="center"/>
              <w:rPr>
                <w:rFonts w:cs="Times New Roman"/>
                <w:sz w:val="24"/>
                <w:szCs w:val="24"/>
              </w:rPr>
            </w:pPr>
            <w:r>
              <w:rPr>
                <w:rFonts w:cs="Times New Roman"/>
                <w:sz w:val="24"/>
                <w:szCs w:val="24"/>
              </w:rPr>
              <w:t>15</w:t>
            </w:r>
          </w:p>
        </w:tc>
        <w:tc>
          <w:tcPr>
            <w:tcW w:w="992" w:type="dxa"/>
            <w:vAlign w:val="center"/>
          </w:tcPr>
          <w:p w14:paraId="78C4AA74">
            <w:pPr>
              <w:jc w:val="center"/>
              <w:rPr>
                <w:rFonts w:cs="Times New Roman"/>
                <w:sz w:val="24"/>
                <w:szCs w:val="24"/>
              </w:rPr>
            </w:pPr>
            <w:r>
              <w:rPr>
                <w:rFonts w:cs="Times New Roman"/>
                <w:sz w:val="24"/>
                <w:szCs w:val="24"/>
              </w:rPr>
              <w:t>20</w:t>
            </w:r>
          </w:p>
        </w:tc>
        <w:tc>
          <w:tcPr>
            <w:tcW w:w="788" w:type="dxa"/>
            <w:vAlign w:val="center"/>
          </w:tcPr>
          <w:p w14:paraId="1F063171">
            <w:pPr>
              <w:jc w:val="center"/>
              <w:rPr>
                <w:rFonts w:cs="Times New Roman"/>
                <w:sz w:val="24"/>
                <w:szCs w:val="24"/>
              </w:rPr>
            </w:pPr>
            <w:r>
              <w:rPr>
                <w:rFonts w:cs="Times New Roman"/>
                <w:sz w:val="24"/>
                <w:szCs w:val="24"/>
              </w:rPr>
              <w:t>2015</w:t>
            </w:r>
          </w:p>
        </w:tc>
      </w:tr>
      <w:tr w14:paraId="1B7E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2689DD68">
            <w:pPr>
              <w:jc w:val="center"/>
              <w:rPr>
                <w:rFonts w:cs="Times New Roman"/>
                <w:sz w:val="24"/>
                <w:szCs w:val="24"/>
              </w:rPr>
            </w:pPr>
            <w:r>
              <w:rPr>
                <w:rFonts w:cs="Times New Roman"/>
                <w:sz w:val="24"/>
                <w:szCs w:val="24"/>
              </w:rPr>
              <w:t>5</w:t>
            </w:r>
          </w:p>
        </w:tc>
        <w:tc>
          <w:tcPr>
            <w:tcW w:w="1074" w:type="dxa"/>
            <w:vAlign w:val="center"/>
          </w:tcPr>
          <w:p w14:paraId="79654C79">
            <w:pPr>
              <w:jc w:val="center"/>
              <w:rPr>
                <w:rFonts w:cs="Times New Roman"/>
                <w:sz w:val="24"/>
                <w:szCs w:val="24"/>
              </w:rPr>
            </w:pPr>
            <w:r>
              <w:rPr>
                <w:rFonts w:cs="Times New Roman"/>
                <w:sz w:val="24"/>
                <w:szCs w:val="24"/>
              </w:rPr>
              <w:t>中转站</w:t>
            </w:r>
          </w:p>
        </w:tc>
        <w:tc>
          <w:tcPr>
            <w:tcW w:w="2127" w:type="dxa"/>
            <w:vAlign w:val="center"/>
          </w:tcPr>
          <w:p w14:paraId="625CF4DE">
            <w:pPr>
              <w:jc w:val="center"/>
              <w:rPr>
                <w:rFonts w:cs="Times New Roman"/>
                <w:sz w:val="24"/>
                <w:szCs w:val="24"/>
              </w:rPr>
            </w:pPr>
            <w:r>
              <w:rPr>
                <w:rFonts w:cs="Times New Roman"/>
                <w:sz w:val="24"/>
                <w:szCs w:val="24"/>
              </w:rPr>
              <w:t>余粮路</w:t>
            </w:r>
          </w:p>
        </w:tc>
        <w:tc>
          <w:tcPr>
            <w:tcW w:w="1559" w:type="dxa"/>
            <w:vAlign w:val="center"/>
          </w:tcPr>
          <w:p w14:paraId="484DB2A9">
            <w:pPr>
              <w:jc w:val="center"/>
              <w:rPr>
                <w:rFonts w:cs="Times New Roman"/>
                <w:sz w:val="24"/>
                <w:szCs w:val="24"/>
              </w:rPr>
            </w:pPr>
            <w:r>
              <w:rPr>
                <w:rFonts w:cs="Times New Roman"/>
                <w:sz w:val="24"/>
                <w:szCs w:val="24"/>
              </w:rPr>
              <w:t>孝陵卫街道</w:t>
            </w:r>
          </w:p>
        </w:tc>
        <w:tc>
          <w:tcPr>
            <w:tcW w:w="1134" w:type="dxa"/>
            <w:vAlign w:val="center"/>
          </w:tcPr>
          <w:p w14:paraId="226F7DF0">
            <w:pPr>
              <w:jc w:val="center"/>
              <w:rPr>
                <w:rFonts w:cs="Times New Roman"/>
                <w:sz w:val="24"/>
                <w:szCs w:val="24"/>
              </w:rPr>
            </w:pPr>
            <w:r>
              <w:rPr>
                <w:rFonts w:cs="Times New Roman"/>
                <w:sz w:val="24"/>
                <w:szCs w:val="24"/>
              </w:rPr>
              <w:t>20</w:t>
            </w:r>
          </w:p>
        </w:tc>
        <w:tc>
          <w:tcPr>
            <w:tcW w:w="992" w:type="dxa"/>
            <w:vAlign w:val="center"/>
          </w:tcPr>
          <w:p w14:paraId="3133DD24">
            <w:pPr>
              <w:jc w:val="center"/>
              <w:rPr>
                <w:rFonts w:cs="Times New Roman"/>
                <w:sz w:val="24"/>
                <w:szCs w:val="24"/>
              </w:rPr>
            </w:pPr>
            <w:r>
              <w:rPr>
                <w:rFonts w:cs="Times New Roman"/>
                <w:sz w:val="24"/>
                <w:szCs w:val="24"/>
              </w:rPr>
              <w:t>30</w:t>
            </w:r>
          </w:p>
        </w:tc>
        <w:tc>
          <w:tcPr>
            <w:tcW w:w="788" w:type="dxa"/>
            <w:vAlign w:val="center"/>
          </w:tcPr>
          <w:p w14:paraId="2FAA6B8D">
            <w:pPr>
              <w:jc w:val="center"/>
              <w:rPr>
                <w:rFonts w:cs="Times New Roman"/>
                <w:sz w:val="24"/>
                <w:szCs w:val="24"/>
              </w:rPr>
            </w:pPr>
            <w:r>
              <w:rPr>
                <w:rFonts w:cs="Times New Roman"/>
                <w:sz w:val="24"/>
                <w:szCs w:val="24"/>
              </w:rPr>
              <w:t>2020</w:t>
            </w:r>
          </w:p>
        </w:tc>
      </w:tr>
      <w:tr w14:paraId="5C7E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762AF3AF">
            <w:pPr>
              <w:jc w:val="center"/>
              <w:rPr>
                <w:rFonts w:cs="Times New Roman"/>
                <w:sz w:val="24"/>
                <w:szCs w:val="24"/>
              </w:rPr>
            </w:pPr>
            <w:r>
              <w:rPr>
                <w:rFonts w:cs="Times New Roman"/>
                <w:sz w:val="24"/>
                <w:szCs w:val="24"/>
              </w:rPr>
              <w:t>6</w:t>
            </w:r>
          </w:p>
        </w:tc>
        <w:tc>
          <w:tcPr>
            <w:tcW w:w="1074" w:type="dxa"/>
            <w:vAlign w:val="center"/>
          </w:tcPr>
          <w:p w14:paraId="6FE09A2D">
            <w:pPr>
              <w:jc w:val="center"/>
              <w:rPr>
                <w:rFonts w:cs="Times New Roman"/>
                <w:sz w:val="24"/>
                <w:szCs w:val="24"/>
              </w:rPr>
            </w:pPr>
            <w:r>
              <w:rPr>
                <w:rFonts w:cs="Times New Roman"/>
                <w:sz w:val="24"/>
                <w:szCs w:val="24"/>
              </w:rPr>
              <w:t>中转站</w:t>
            </w:r>
          </w:p>
        </w:tc>
        <w:tc>
          <w:tcPr>
            <w:tcW w:w="2127" w:type="dxa"/>
            <w:vAlign w:val="center"/>
          </w:tcPr>
          <w:p w14:paraId="74EBA59B">
            <w:pPr>
              <w:jc w:val="center"/>
              <w:rPr>
                <w:rFonts w:cs="Times New Roman"/>
                <w:sz w:val="24"/>
                <w:szCs w:val="24"/>
              </w:rPr>
            </w:pPr>
            <w:r>
              <w:rPr>
                <w:rFonts w:cs="Times New Roman"/>
                <w:sz w:val="24"/>
                <w:szCs w:val="24"/>
              </w:rPr>
              <w:t>洞庭路</w:t>
            </w:r>
          </w:p>
        </w:tc>
        <w:tc>
          <w:tcPr>
            <w:tcW w:w="1559" w:type="dxa"/>
            <w:vAlign w:val="center"/>
          </w:tcPr>
          <w:p w14:paraId="5328F6A1">
            <w:pPr>
              <w:jc w:val="center"/>
              <w:rPr>
                <w:rFonts w:cs="Times New Roman"/>
                <w:sz w:val="24"/>
                <w:szCs w:val="24"/>
              </w:rPr>
            </w:pPr>
            <w:r>
              <w:rPr>
                <w:rFonts w:cs="Times New Roman"/>
                <w:sz w:val="24"/>
                <w:szCs w:val="24"/>
              </w:rPr>
              <w:t>玄武门街道</w:t>
            </w:r>
          </w:p>
        </w:tc>
        <w:tc>
          <w:tcPr>
            <w:tcW w:w="1134" w:type="dxa"/>
            <w:vAlign w:val="center"/>
          </w:tcPr>
          <w:p w14:paraId="2A948D99">
            <w:pPr>
              <w:jc w:val="center"/>
              <w:rPr>
                <w:rFonts w:cs="Times New Roman"/>
                <w:sz w:val="24"/>
                <w:szCs w:val="24"/>
              </w:rPr>
            </w:pPr>
            <w:r>
              <w:rPr>
                <w:rFonts w:cs="Times New Roman"/>
                <w:sz w:val="24"/>
                <w:szCs w:val="24"/>
              </w:rPr>
              <w:t>45</w:t>
            </w:r>
          </w:p>
        </w:tc>
        <w:tc>
          <w:tcPr>
            <w:tcW w:w="992" w:type="dxa"/>
            <w:vAlign w:val="center"/>
          </w:tcPr>
          <w:p w14:paraId="02A1C971">
            <w:pPr>
              <w:jc w:val="center"/>
              <w:rPr>
                <w:rFonts w:cs="Times New Roman"/>
                <w:sz w:val="24"/>
                <w:szCs w:val="24"/>
              </w:rPr>
            </w:pPr>
            <w:r>
              <w:rPr>
                <w:rFonts w:cs="Times New Roman"/>
                <w:sz w:val="24"/>
                <w:szCs w:val="24"/>
              </w:rPr>
              <w:t>60</w:t>
            </w:r>
          </w:p>
        </w:tc>
        <w:tc>
          <w:tcPr>
            <w:tcW w:w="788" w:type="dxa"/>
            <w:vAlign w:val="center"/>
          </w:tcPr>
          <w:p w14:paraId="129BB11B">
            <w:pPr>
              <w:jc w:val="center"/>
              <w:rPr>
                <w:rFonts w:cs="Times New Roman"/>
                <w:sz w:val="24"/>
                <w:szCs w:val="24"/>
              </w:rPr>
            </w:pPr>
            <w:r>
              <w:rPr>
                <w:rFonts w:cs="Times New Roman"/>
                <w:sz w:val="24"/>
                <w:szCs w:val="24"/>
              </w:rPr>
              <w:t>2009</w:t>
            </w:r>
          </w:p>
        </w:tc>
      </w:tr>
      <w:tr w14:paraId="30C9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49DF3B63">
            <w:pPr>
              <w:jc w:val="center"/>
              <w:rPr>
                <w:rFonts w:cs="Times New Roman"/>
                <w:sz w:val="24"/>
                <w:szCs w:val="24"/>
              </w:rPr>
            </w:pPr>
            <w:r>
              <w:rPr>
                <w:rFonts w:cs="Times New Roman"/>
                <w:sz w:val="24"/>
                <w:szCs w:val="24"/>
              </w:rPr>
              <w:t>7</w:t>
            </w:r>
          </w:p>
        </w:tc>
        <w:tc>
          <w:tcPr>
            <w:tcW w:w="1074" w:type="dxa"/>
            <w:vAlign w:val="center"/>
          </w:tcPr>
          <w:p w14:paraId="1F1ACD8A">
            <w:pPr>
              <w:jc w:val="center"/>
              <w:rPr>
                <w:rFonts w:cs="Times New Roman"/>
                <w:sz w:val="24"/>
                <w:szCs w:val="24"/>
              </w:rPr>
            </w:pPr>
            <w:r>
              <w:rPr>
                <w:rFonts w:cs="Times New Roman"/>
                <w:sz w:val="24"/>
                <w:szCs w:val="24"/>
              </w:rPr>
              <w:t>中转站</w:t>
            </w:r>
          </w:p>
        </w:tc>
        <w:tc>
          <w:tcPr>
            <w:tcW w:w="2127" w:type="dxa"/>
            <w:vAlign w:val="center"/>
          </w:tcPr>
          <w:p w14:paraId="1559186F">
            <w:pPr>
              <w:jc w:val="center"/>
              <w:rPr>
                <w:rFonts w:cs="Times New Roman"/>
                <w:sz w:val="24"/>
                <w:szCs w:val="24"/>
              </w:rPr>
            </w:pPr>
            <w:r>
              <w:rPr>
                <w:rFonts w:cs="Times New Roman"/>
                <w:sz w:val="24"/>
                <w:szCs w:val="24"/>
              </w:rPr>
              <w:t>火车站</w:t>
            </w:r>
          </w:p>
        </w:tc>
        <w:tc>
          <w:tcPr>
            <w:tcW w:w="1559" w:type="dxa"/>
            <w:vAlign w:val="center"/>
          </w:tcPr>
          <w:p w14:paraId="7127F140">
            <w:pPr>
              <w:jc w:val="center"/>
              <w:rPr>
                <w:rFonts w:cs="Times New Roman"/>
                <w:sz w:val="24"/>
                <w:szCs w:val="24"/>
              </w:rPr>
            </w:pPr>
            <w:r>
              <w:rPr>
                <w:rFonts w:cs="Times New Roman"/>
                <w:sz w:val="24"/>
                <w:szCs w:val="24"/>
              </w:rPr>
              <w:t>锁金</w:t>
            </w:r>
            <w:r>
              <w:rPr>
                <w:rFonts w:hint="eastAsia" w:cs="Times New Roman"/>
                <w:sz w:val="24"/>
                <w:szCs w:val="24"/>
              </w:rPr>
              <w:t>村</w:t>
            </w:r>
            <w:r>
              <w:rPr>
                <w:rFonts w:cs="Times New Roman"/>
                <w:sz w:val="24"/>
                <w:szCs w:val="24"/>
              </w:rPr>
              <w:t>街道</w:t>
            </w:r>
          </w:p>
        </w:tc>
        <w:tc>
          <w:tcPr>
            <w:tcW w:w="1134" w:type="dxa"/>
            <w:vAlign w:val="center"/>
          </w:tcPr>
          <w:p w14:paraId="73ED18ED">
            <w:pPr>
              <w:jc w:val="center"/>
              <w:rPr>
                <w:rFonts w:cs="Times New Roman"/>
                <w:sz w:val="24"/>
                <w:szCs w:val="24"/>
              </w:rPr>
            </w:pPr>
            <w:r>
              <w:rPr>
                <w:rFonts w:cs="Times New Roman"/>
                <w:sz w:val="24"/>
                <w:szCs w:val="24"/>
              </w:rPr>
              <w:t>15</w:t>
            </w:r>
          </w:p>
        </w:tc>
        <w:tc>
          <w:tcPr>
            <w:tcW w:w="992" w:type="dxa"/>
            <w:vAlign w:val="center"/>
          </w:tcPr>
          <w:p w14:paraId="35946F41">
            <w:pPr>
              <w:jc w:val="center"/>
              <w:rPr>
                <w:rFonts w:cs="Times New Roman"/>
                <w:sz w:val="24"/>
                <w:szCs w:val="24"/>
              </w:rPr>
            </w:pPr>
            <w:r>
              <w:rPr>
                <w:rFonts w:cs="Times New Roman"/>
                <w:sz w:val="24"/>
                <w:szCs w:val="24"/>
              </w:rPr>
              <w:t>25</w:t>
            </w:r>
          </w:p>
        </w:tc>
        <w:tc>
          <w:tcPr>
            <w:tcW w:w="788" w:type="dxa"/>
            <w:vAlign w:val="center"/>
          </w:tcPr>
          <w:p w14:paraId="385C14ED">
            <w:pPr>
              <w:jc w:val="center"/>
              <w:rPr>
                <w:rFonts w:cs="Times New Roman"/>
                <w:sz w:val="24"/>
                <w:szCs w:val="24"/>
              </w:rPr>
            </w:pPr>
            <w:r>
              <w:rPr>
                <w:rFonts w:cs="Times New Roman"/>
                <w:sz w:val="24"/>
                <w:szCs w:val="24"/>
              </w:rPr>
              <w:t>2008</w:t>
            </w:r>
          </w:p>
        </w:tc>
      </w:tr>
      <w:tr w14:paraId="0842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52703721">
            <w:pPr>
              <w:jc w:val="center"/>
              <w:rPr>
                <w:rFonts w:cs="Times New Roman"/>
                <w:sz w:val="24"/>
                <w:szCs w:val="24"/>
              </w:rPr>
            </w:pPr>
            <w:r>
              <w:rPr>
                <w:rFonts w:cs="Times New Roman"/>
                <w:sz w:val="24"/>
                <w:szCs w:val="24"/>
              </w:rPr>
              <w:t>8</w:t>
            </w:r>
          </w:p>
        </w:tc>
        <w:tc>
          <w:tcPr>
            <w:tcW w:w="1074" w:type="dxa"/>
            <w:vAlign w:val="center"/>
          </w:tcPr>
          <w:p w14:paraId="048DCAEA">
            <w:pPr>
              <w:jc w:val="center"/>
              <w:rPr>
                <w:rFonts w:cs="Times New Roman"/>
                <w:sz w:val="24"/>
                <w:szCs w:val="24"/>
              </w:rPr>
            </w:pPr>
            <w:r>
              <w:rPr>
                <w:rFonts w:cs="Times New Roman"/>
                <w:sz w:val="24"/>
                <w:szCs w:val="24"/>
              </w:rPr>
              <w:t>中转站</w:t>
            </w:r>
          </w:p>
        </w:tc>
        <w:tc>
          <w:tcPr>
            <w:tcW w:w="2127" w:type="dxa"/>
            <w:vAlign w:val="center"/>
          </w:tcPr>
          <w:p w14:paraId="3D204B90">
            <w:pPr>
              <w:jc w:val="center"/>
              <w:rPr>
                <w:rFonts w:cs="Times New Roman"/>
                <w:sz w:val="24"/>
                <w:szCs w:val="24"/>
              </w:rPr>
            </w:pPr>
            <w:r>
              <w:rPr>
                <w:rFonts w:cs="Times New Roman"/>
                <w:sz w:val="24"/>
                <w:szCs w:val="24"/>
              </w:rPr>
              <w:t>太阳宫</w:t>
            </w:r>
          </w:p>
        </w:tc>
        <w:tc>
          <w:tcPr>
            <w:tcW w:w="1559" w:type="dxa"/>
            <w:vAlign w:val="center"/>
          </w:tcPr>
          <w:p w14:paraId="2F037BD0">
            <w:pPr>
              <w:jc w:val="center"/>
              <w:rPr>
                <w:rFonts w:cs="Times New Roman"/>
                <w:sz w:val="24"/>
                <w:szCs w:val="24"/>
              </w:rPr>
            </w:pPr>
            <w:r>
              <w:rPr>
                <w:rFonts w:cs="Times New Roman"/>
                <w:sz w:val="24"/>
                <w:szCs w:val="24"/>
              </w:rPr>
              <w:t>锁金</w:t>
            </w:r>
            <w:r>
              <w:rPr>
                <w:rFonts w:hint="eastAsia" w:cs="Times New Roman"/>
                <w:sz w:val="24"/>
                <w:szCs w:val="24"/>
              </w:rPr>
              <w:t>村</w:t>
            </w:r>
            <w:r>
              <w:rPr>
                <w:rFonts w:cs="Times New Roman"/>
                <w:sz w:val="24"/>
                <w:szCs w:val="24"/>
              </w:rPr>
              <w:t>街道</w:t>
            </w:r>
          </w:p>
        </w:tc>
        <w:tc>
          <w:tcPr>
            <w:tcW w:w="1134" w:type="dxa"/>
            <w:vAlign w:val="center"/>
          </w:tcPr>
          <w:p w14:paraId="1D18035E">
            <w:pPr>
              <w:jc w:val="center"/>
              <w:rPr>
                <w:rFonts w:cs="Times New Roman"/>
                <w:sz w:val="24"/>
                <w:szCs w:val="24"/>
              </w:rPr>
            </w:pPr>
            <w:r>
              <w:rPr>
                <w:rFonts w:cs="Times New Roman"/>
                <w:sz w:val="24"/>
                <w:szCs w:val="24"/>
              </w:rPr>
              <w:t>45</w:t>
            </w:r>
          </w:p>
        </w:tc>
        <w:tc>
          <w:tcPr>
            <w:tcW w:w="992" w:type="dxa"/>
            <w:vAlign w:val="center"/>
          </w:tcPr>
          <w:p w14:paraId="3393AAD7">
            <w:pPr>
              <w:jc w:val="center"/>
              <w:rPr>
                <w:rFonts w:cs="Times New Roman"/>
                <w:sz w:val="24"/>
                <w:szCs w:val="24"/>
              </w:rPr>
            </w:pPr>
            <w:r>
              <w:rPr>
                <w:rFonts w:cs="Times New Roman"/>
                <w:sz w:val="24"/>
                <w:szCs w:val="24"/>
              </w:rPr>
              <w:t>60</w:t>
            </w:r>
          </w:p>
        </w:tc>
        <w:tc>
          <w:tcPr>
            <w:tcW w:w="788" w:type="dxa"/>
            <w:vAlign w:val="center"/>
          </w:tcPr>
          <w:p w14:paraId="46A06459">
            <w:pPr>
              <w:jc w:val="center"/>
              <w:rPr>
                <w:rFonts w:cs="Times New Roman"/>
                <w:sz w:val="24"/>
                <w:szCs w:val="24"/>
              </w:rPr>
            </w:pPr>
            <w:r>
              <w:rPr>
                <w:rFonts w:cs="Times New Roman"/>
                <w:sz w:val="24"/>
                <w:szCs w:val="24"/>
              </w:rPr>
              <w:t>2008</w:t>
            </w:r>
          </w:p>
        </w:tc>
      </w:tr>
      <w:tr w14:paraId="3B06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5E14BF6B">
            <w:pPr>
              <w:jc w:val="center"/>
              <w:rPr>
                <w:rFonts w:cs="Times New Roman"/>
                <w:sz w:val="24"/>
                <w:szCs w:val="24"/>
              </w:rPr>
            </w:pPr>
            <w:r>
              <w:rPr>
                <w:rFonts w:cs="Times New Roman"/>
                <w:sz w:val="24"/>
                <w:szCs w:val="24"/>
              </w:rPr>
              <w:t>9</w:t>
            </w:r>
          </w:p>
        </w:tc>
        <w:tc>
          <w:tcPr>
            <w:tcW w:w="1074" w:type="dxa"/>
            <w:vAlign w:val="center"/>
          </w:tcPr>
          <w:p w14:paraId="29915976">
            <w:pPr>
              <w:jc w:val="center"/>
              <w:rPr>
                <w:rFonts w:cs="Times New Roman"/>
                <w:sz w:val="24"/>
                <w:szCs w:val="24"/>
              </w:rPr>
            </w:pPr>
            <w:r>
              <w:rPr>
                <w:rFonts w:cs="Times New Roman"/>
                <w:sz w:val="24"/>
                <w:szCs w:val="24"/>
              </w:rPr>
              <w:t>中转站</w:t>
            </w:r>
          </w:p>
        </w:tc>
        <w:tc>
          <w:tcPr>
            <w:tcW w:w="2127" w:type="dxa"/>
            <w:vAlign w:val="center"/>
          </w:tcPr>
          <w:p w14:paraId="6AEDBF41">
            <w:pPr>
              <w:jc w:val="center"/>
              <w:rPr>
                <w:rFonts w:cs="Times New Roman"/>
                <w:sz w:val="24"/>
                <w:szCs w:val="24"/>
              </w:rPr>
            </w:pPr>
            <w:r>
              <w:rPr>
                <w:rFonts w:cs="Times New Roman"/>
                <w:sz w:val="24"/>
                <w:szCs w:val="24"/>
              </w:rPr>
              <w:t>钟山山庄</w:t>
            </w:r>
          </w:p>
        </w:tc>
        <w:tc>
          <w:tcPr>
            <w:tcW w:w="1559" w:type="dxa"/>
            <w:vAlign w:val="center"/>
          </w:tcPr>
          <w:p w14:paraId="3DE03759">
            <w:pPr>
              <w:jc w:val="center"/>
              <w:rPr>
                <w:rFonts w:cs="Times New Roman"/>
                <w:sz w:val="24"/>
                <w:szCs w:val="24"/>
              </w:rPr>
            </w:pPr>
            <w:r>
              <w:rPr>
                <w:rFonts w:cs="Times New Roman"/>
                <w:sz w:val="24"/>
                <w:szCs w:val="24"/>
              </w:rPr>
              <w:t>玄武湖街道</w:t>
            </w:r>
          </w:p>
        </w:tc>
        <w:tc>
          <w:tcPr>
            <w:tcW w:w="1134" w:type="dxa"/>
            <w:vAlign w:val="center"/>
          </w:tcPr>
          <w:p w14:paraId="0A1AB50A">
            <w:pPr>
              <w:jc w:val="center"/>
              <w:rPr>
                <w:rFonts w:cs="Times New Roman"/>
                <w:sz w:val="24"/>
                <w:szCs w:val="24"/>
              </w:rPr>
            </w:pPr>
            <w:r>
              <w:rPr>
                <w:rFonts w:cs="Times New Roman"/>
                <w:sz w:val="24"/>
                <w:szCs w:val="24"/>
              </w:rPr>
              <w:t>30</w:t>
            </w:r>
          </w:p>
        </w:tc>
        <w:tc>
          <w:tcPr>
            <w:tcW w:w="992" w:type="dxa"/>
            <w:vAlign w:val="center"/>
          </w:tcPr>
          <w:p w14:paraId="538C353C">
            <w:pPr>
              <w:jc w:val="center"/>
              <w:rPr>
                <w:rFonts w:cs="Times New Roman"/>
                <w:sz w:val="24"/>
                <w:szCs w:val="24"/>
              </w:rPr>
            </w:pPr>
            <w:r>
              <w:rPr>
                <w:rFonts w:cs="Times New Roman"/>
                <w:sz w:val="24"/>
                <w:szCs w:val="24"/>
              </w:rPr>
              <w:t>40</w:t>
            </w:r>
          </w:p>
        </w:tc>
        <w:tc>
          <w:tcPr>
            <w:tcW w:w="788" w:type="dxa"/>
            <w:vAlign w:val="center"/>
          </w:tcPr>
          <w:p w14:paraId="70A6C24B">
            <w:pPr>
              <w:jc w:val="center"/>
              <w:rPr>
                <w:rFonts w:cs="Times New Roman"/>
                <w:sz w:val="24"/>
                <w:szCs w:val="24"/>
              </w:rPr>
            </w:pPr>
            <w:r>
              <w:rPr>
                <w:rFonts w:cs="Times New Roman"/>
                <w:sz w:val="24"/>
                <w:szCs w:val="24"/>
              </w:rPr>
              <w:t>2008</w:t>
            </w:r>
          </w:p>
        </w:tc>
      </w:tr>
      <w:tr w14:paraId="3028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0B8B1195">
            <w:pPr>
              <w:jc w:val="center"/>
              <w:rPr>
                <w:rFonts w:cs="Times New Roman"/>
                <w:sz w:val="24"/>
                <w:szCs w:val="24"/>
              </w:rPr>
            </w:pPr>
            <w:r>
              <w:rPr>
                <w:rFonts w:cs="Times New Roman"/>
                <w:sz w:val="24"/>
                <w:szCs w:val="24"/>
              </w:rPr>
              <w:t>10</w:t>
            </w:r>
          </w:p>
        </w:tc>
        <w:tc>
          <w:tcPr>
            <w:tcW w:w="1074" w:type="dxa"/>
            <w:vAlign w:val="center"/>
          </w:tcPr>
          <w:p w14:paraId="4FB1F130">
            <w:pPr>
              <w:jc w:val="center"/>
              <w:rPr>
                <w:rFonts w:cs="Times New Roman"/>
                <w:sz w:val="24"/>
                <w:szCs w:val="24"/>
              </w:rPr>
            </w:pPr>
            <w:r>
              <w:rPr>
                <w:rFonts w:cs="Times New Roman"/>
                <w:sz w:val="24"/>
                <w:szCs w:val="24"/>
              </w:rPr>
              <w:t>中转站</w:t>
            </w:r>
          </w:p>
        </w:tc>
        <w:tc>
          <w:tcPr>
            <w:tcW w:w="2127" w:type="dxa"/>
            <w:vAlign w:val="center"/>
          </w:tcPr>
          <w:p w14:paraId="5B2B9208">
            <w:pPr>
              <w:jc w:val="center"/>
              <w:rPr>
                <w:rFonts w:cs="Times New Roman"/>
                <w:sz w:val="24"/>
                <w:szCs w:val="24"/>
              </w:rPr>
            </w:pPr>
            <w:r>
              <w:rPr>
                <w:rFonts w:cs="Times New Roman"/>
                <w:sz w:val="24"/>
                <w:szCs w:val="24"/>
              </w:rPr>
              <w:t>聚宝山庄</w:t>
            </w:r>
          </w:p>
        </w:tc>
        <w:tc>
          <w:tcPr>
            <w:tcW w:w="1559" w:type="dxa"/>
            <w:vAlign w:val="center"/>
          </w:tcPr>
          <w:p w14:paraId="58A04F98">
            <w:pPr>
              <w:jc w:val="center"/>
              <w:rPr>
                <w:rFonts w:cs="Times New Roman"/>
                <w:sz w:val="24"/>
                <w:szCs w:val="24"/>
              </w:rPr>
            </w:pPr>
            <w:r>
              <w:rPr>
                <w:rFonts w:cs="Times New Roman"/>
                <w:sz w:val="24"/>
                <w:szCs w:val="24"/>
              </w:rPr>
              <w:t>玄武湖街道</w:t>
            </w:r>
          </w:p>
        </w:tc>
        <w:tc>
          <w:tcPr>
            <w:tcW w:w="1134" w:type="dxa"/>
            <w:vAlign w:val="center"/>
          </w:tcPr>
          <w:p w14:paraId="023F5703">
            <w:pPr>
              <w:jc w:val="center"/>
              <w:rPr>
                <w:rFonts w:cs="Times New Roman"/>
                <w:sz w:val="24"/>
                <w:szCs w:val="24"/>
              </w:rPr>
            </w:pPr>
            <w:r>
              <w:rPr>
                <w:rFonts w:cs="Times New Roman"/>
                <w:sz w:val="24"/>
                <w:szCs w:val="24"/>
              </w:rPr>
              <w:t>10</w:t>
            </w:r>
          </w:p>
        </w:tc>
        <w:tc>
          <w:tcPr>
            <w:tcW w:w="992" w:type="dxa"/>
            <w:vAlign w:val="center"/>
          </w:tcPr>
          <w:p w14:paraId="186A51A3">
            <w:pPr>
              <w:jc w:val="center"/>
              <w:rPr>
                <w:rFonts w:cs="Times New Roman"/>
                <w:sz w:val="24"/>
                <w:szCs w:val="24"/>
              </w:rPr>
            </w:pPr>
            <w:r>
              <w:rPr>
                <w:rFonts w:cs="Times New Roman"/>
                <w:sz w:val="24"/>
                <w:szCs w:val="24"/>
              </w:rPr>
              <w:t>15</w:t>
            </w:r>
          </w:p>
        </w:tc>
        <w:tc>
          <w:tcPr>
            <w:tcW w:w="788" w:type="dxa"/>
            <w:vAlign w:val="center"/>
          </w:tcPr>
          <w:p w14:paraId="70B7EF3B">
            <w:pPr>
              <w:jc w:val="center"/>
              <w:rPr>
                <w:rFonts w:cs="Times New Roman"/>
                <w:sz w:val="24"/>
                <w:szCs w:val="24"/>
              </w:rPr>
            </w:pPr>
            <w:r>
              <w:rPr>
                <w:rFonts w:cs="Times New Roman"/>
                <w:sz w:val="24"/>
                <w:szCs w:val="24"/>
              </w:rPr>
              <w:t>2008</w:t>
            </w:r>
          </w:p>
        </w:tc>
      </w:tr>
      <w:tr w14:paraId="2A59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676FC75C">
            <w:pPr>
              <w:jc w:val="center"/>
              <w:rPr>
                <w:rFonts w:cs="Times New Roman"/>
                <w:sz w:val="24"/>
                <w:szCs w:val="24"/>
              </w:rPr>
            </w:pPr>
            <w:r>
              <w:rPr>
                <w:rFonts w:cs="Times New Roman"/>
                <w:sz w:val="24"/>
                <w:szCs w:val="24"/>
              </w:rPr>
              <w:t>11</w:t>
            </w:r>
          </w:p>
        </w:tc>
        <w:tc>
          <w:tcPr>
            <w:tcW w:w="1074" w:type="dxa"/>
            <w:vAlign w:val="center"/>
          </w:tcPr>
          <w:p w14:paraId="434BED54">
            <w:pPr>
              <w:jc w:val="center"/>
              <w:rPr>
                <w:rFonts w:cs="Times New Roman"/>
                <w:sz w:val="24"/>
                <w:szCs w:val="24"/>
              </w:rPr>
            </w:pPr>
            <w:r>
              <w:rPr>
                <w:rFonts w:cs="Times New Roman"/>
                <w:sz w:val="24"/>
                <w:szCs w:val="24"/>
              </w:rPr>
              <w:t>中转站</w:t>
            </w:r>
          </w:p>
        </w:tc>
        <w:tc>
          <w:tcPr>
            <w:tcW w:w="2127" w:type="dxa"/>
            <w:vAlign w:val="center"/>
          </w:tcPr>
          <w:p w14:paraId="2948260F">
            <w:pPr>
              <w:jc w:val="center"/>
              <w:rPr>
                <w:rFonts w:cs="Times New Roman"/>
                <w:sz w:val="24"/>
                <w:szCs w:val="24"/>
              </w:rPr>
            </w:pPr>
            <w:r>
              <w:rPr>
                <w:rFonts w:cs="Times New Roman"/>
                <w:sz w:val="24"/>
                <w:szCs w:val="24"/>
              </w:rPr>
              <w:t>仙居雅苑</w:t>
            </w:r>
          </w:p>
        </w:tc>
        <w:tc>
          <w:tcPr>
            <w:tcW w:w="1559" w:type="dxa"/>
            <w:vAlign w:val="center"/>
          </w:tcPr>
          <w:p w14:paraId="6E44E31E">
            <w:pPr>
              <w:jc w:val="center"/>
              <w:rPr>
                <w:rFonts w:cs="Times New Roman"/>
                <w:sz w:val="24"/>
                <w:szCs w:val="24"/>
              </w:rPr>
            </w:pPr>
            <w:r>
              <w:rPr>
                <w:rFonts w:cs="Times New Roman"/>
                <w:sz w:val="24"/>
                <w:szCs w:val="24"/>
              </w:rPr>
              <w:t>玄武湖街道</w:t>
            </w:r>
          </w:p>
        </w:tc>
        <w:tc>
          <w:tcPr>
            <w:tcW w:w="1134" w:type="dxa"/>
            <w:vAlign w:val="center"/>
          </w:tcPr>
          <w:p w14:paraId="3E24C2CB">
            <w:pPr>
              <w:jc w:val="center"/>
              <w:rPr>
                <w:rFonts w:cs="Times New Roman"/>
                <w:sz w:val="24"/>
                <w:szCs w:val="24"/>
              </w:rPr>
            </w:pPr>
            <w:r>
              <w:rPr>
                <w:rFonts w:cs="Times New Roman"/>
                <w:sz w:val="24"/>
                <w:szCs w:val="24"/>
              </w:rPr>
              <w:t>30</w:t>
            </w:r>
          </w:p>
        </w:tc>
        <w:tc>
          <w:tcPr>
            <w:tcW w:w="992" w:type="dxa"/>
            <w:vAlign w:val="center"/>
          </w:tcPr>
          <w:p w14:paraId="662809F9">
            <w:pPr>
              <w:jc w:val="center"/>
              <w:rPr>
                <w:rFonts w:cs="Times New Roman"/>
                <w:sz w:val="24"/>
                <w:szCs w:val="24"/>
              </w:rPr>
            </w:pPr>
            <w:r>
              <w:rPr>
                <w:rFonts w:cs="Times New Roman"/>
                <w:sz w:val="24"/>
                <w:szCs w:val="24"/>
              </w:rPr>
              <w:t>40</w:t>
            </w:r>
          </w:p>
        </w:tc>
        <w:tc>
          <w:tcPr>
            <w:tcW w:w="788" w:type="dxa"/>
            <w:vAlign w:val="center"/>
          </w:tcPr>
          <w:p w14:paraId="542A5F96">
            <w:pPr>
              <w:jc w:val="center"/>
              <w:rPr>
                <w:rFonts w:cs="Times New Roman"/>
                <w:sz w:val="24"/>
                <w:szCs w:val="24"/>
              </w:rPr>
            </w:pPr>
            <w:r>
              <w:rPr>
                <w:rFonts w:cs="Times New Roman"/>
                <w:sz w:val="24"/>
                <w:szCs w:val="24"/>
              </w:rPr>
              <w:t>2008</w:t>
            </w:r>
          </w:p>
        </w:tc>
      </w:tr>
      <w:tr w14:paraId="60CD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566DB535">
            <w:pPr>
              <w:jc w:val="center"/>
              <w:rPr>
                <w:rFonts w:cs="Times New Roman"/>
                <w:sz w:val="24"/>
                <w:szCs w:val="24"/>
              </w:rPr>
            </w:pPr>
            <w:r>
              <w:rPr>
                <w:rFonts w:cs="Times New Roman"/>
                <w:sz w:val="24"/>
                <w:szCs w:val="24"/>
              </w:rPr>
              <w:t>12</w:t>
            </w:r>
          </w:p>
        </w:tc>
        <w:tc>
          <w:tcPr>
            <w:tcW w:w="1074" w:type="dxa"/>
            <w:vAlign w:val="center"/>
          </w:tcPr>
          <w:p w14:paraId="4C664D7C">
            <w:pPr>
              <w:jc w:val="center"/>
              <w:rPr>
                <w:rFonts w:cs="Times New Roman"/>
                <w:sz w:val="24"/>
                <w:szCs w:val="24"/>
              </w:rPr>
            </w:pPr>
            <w:r>
              <w:rPr>
                <w:rFonts w:cs="Times New Roman"/>
                <w:sz w:val="24"/>
                <w:szCs w:val="24"/>
              </w:rPr>
              <w:t>中转站</w:t>
            </w:r>
          </w:p>
        </w:tc>
        <w:tc>
          <w:tcPr>
            <w:tcW w:w="2127" w:type="dxa"/>
            <w:vAlign w:val="center"/>
          </w:tcPr>
          <w:p w14:paraId="33EEA5EE">
            <w:pPr>
              <w:jc w:val="center"/>
              <w:rPr>
                <w:rFonts w:cs="Times New Roman"/>
                <w:sz w:val="24"/>
                <w:szCs w:val="24"/>
              </w:rPr>
            </w:pPr>
            <w:r>
              <w:rPr>
                <w:rFonts w:cs="Times New Roman"/>
                <w:sz w:val="24"/>
                <w:szCs w:val="24"/>
              </w:rPr>
              <w:t>兴贤佳园</w:t>
            </w:r>
          </w:p>
        </w:tc>
        <w:tc>
          <w:tcPr>
            <w:tcW w:w="1559" w:type="dxa"/>
            <w:vAlign w:val="center"/>
          </w:tcPr>
          <w:p w14:paraId="0C842F1A">
            <w:pPr>
              <w:jc w:val="center"/>
              <w:rPr>
                <w:rFonts w:cs="Times New Roman"/>
                <w:sz w:val="24"/>
                <w:szCs w:val="24"/>
              </w:rPr>
            </w:pPr>
            <w:r>
              <w:rPr>
                <w:rFonts w:cs="Times New Roman"/>
                <w:sz w:val="24"/>
                <w:szCs w:val="24"/>
              </w:rPr>
              <w:t>红山街道</w:t>
            </w:r>
          </w:p>
        </w:tc>
        <w:tc>
          <w:tcPr>
            <w:tcW w:w="1134" w:type="dxa"/>
            <w:vAlign w:val="center"/>
          </w:tcPr>
          <w:p w14:paraId="2E41DF03">
            <w:pPr>
              <w:jc w:val="center"/>
              <w:rPr>
                <w:rFonts w:cs="Times New Roman"/>
                <w:sz w:val="24"/>
                <w:szCs w:val="24"/>
              </w:rPr>
            </w:pPr>
            <w:r>
              <w:rPr>
                <w:rFonts w:cs="Times New Roman"/>
                <w:sz w:val="24"/>
                <w:szCs w:val="24"/>
              </w:rPr>
              <w:t>15</w:t>
            </w:r>
          </w:p>
        </w:tc>
        <w:tc>
          <w:tcPr>
            <w:tcW w:w="992" w:type="dxa"/>
            <w:vAlign w:val="center"/>
          </w:tcPr>
          <w:p w14:paraId="26BE088F">
            <w:pPr>
              <w:jc w:val="center"/>
              <w:rPr>
                <w:rFonts w:cs="Times New Roman"/>
                <w:sz w:val="24"/>
                <w:szCs w:val="24"/>
              </w:rPr>
            </w:pPr>
            <w:r>
              <w:rPr>
                <w:rFonts w:cs="Times New Roman"/>
                <w:sz w:val="24"/>
                <w:szCs w:val="24"/>
              </w:rPr>
              <w:t>15</w:t>
            </w:r>
          </w:p>
        </w:tc>
        <w:tc>
          <w:tcPr>
            <w:tcW w:w="788" w:type="dxa"/>
            <w:vAlign w:val="center"/>
          </w:tcPr>
          <w:p w14:paraId="6C217F9B">
            <w:pPr>
              <w:jc w:val="center"/>
              <w:rPr>
                <w:rFonts w:cs="Times New Roman"/>
                <w:sz w:val="24"/>
                <w:szCs w:val="24"/>
              </w:rPr>
            </w:pPr>
            <w:r>
              <w:rPr>
                <w:rFonts w:cs="Times New Roman"/>
                <w:sz w:val="24"/>
                <w:szCs w:val="24"/>
              </w:rPr>
              <w:t>2010</w:t>
            </w:r>
          </w:p>
        </w:tc>
      </w:tr>
      <w:tr w14:paraId="6006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227AF912">
            <w:pPr>
              <w:jc w:val="center"/>
              <w:rPr>
                <w:rFonts w:cs="Times New Roman"/>
                <w:sz w:val="24"/>
                <w:szCs w:val="24"/>
              </w:rPr>
            </w:pPr>
            <w:r>
              <w:rPr>
                <w:rFonts w:cs="Times New Roman"/>
                <w:sz w:val="24"/>
                <w:szCs w:val="24"/>
              </w:rPr>
              <w:t>13</w:t>
            </w:r>
          </w:p>
        </w:tc>
        <w:tc>
          <w:tcPr>
            <w:tcW w:w="1074" w:type="dxa"/>
            <w:vAlign w:val="center"/>
          </w:tcPr>
          <w:p w14:paraId="6FA20F68">
            <w:pPr>
              <w:jc w:val="center"/>
              <w:rPr>
                <w:rFonts w:cs="Times New Roman"/>
                <w:sz w:val="24"/>
                <w:szCs w:val="24"/>
              </w:rPr>
            </w:pPr>
            <w:r>
              <w:rPr>
                <w:rFonts w:cs="Times New Roman"/>
                <w:sz w:val="24"/>
                <w:szCs w:val="24"/>
              </w:rPr>
              <w:t>中转站</w:t>
            </w:r>
          </w:p>
        </w:tc>
        <w:tc>
          <w:tcPr>
            <w:tcW w:w="2127" w:type="dxa"/>
            <w:vAlign w:val="center"/>
          </w:tcPr>
          <w:p w14:paraId="185DE0FC">
            <w:pPr>
              <w:jc w:val="center"/>
              <w:rPr>
                <w:rFonts w:cs="Times New Roman"/>
                <w:sz w:val="24"/>
                <w:szCs w:val="24"/>
              </w:rPr>
            </w:pPr>
            <w:r>
              <w:rPr>
                <w:rFonts w:cs="Times New Roman"/>
                <w:sz w:val="24"/>
                <w:szCs w:val="24"/>
              </w:rPr>
              <w:t>藤子村</w:t>
            </w:r>
          </w:p>
        </w:tc>
        <w:tc>
          <w:tcPr>
            <w:tcW w:w="1559" w:type="dxa"/>
            <w:vAlign w:val="center"/>
          </w:tcPr>
          <w:p w14:paraId="1061D7E2">
            <w:pPr>
              <w:jc w:val="center"/>
              <w:rPr>
                <w:rFonts w:cs="Times New Roman"/>
                <w:sz w:val="24"/>
                <w:szCs w:val="24"/>
              </w:rPr>
            </w:pPr>
            <w:r>
              <w:rPr>
                <w:rFonts w:cs="Times New Roman"/>
                <w:sz w:val="24"/>
                <w:szCs w:val="24"/>
              </w:rPr>
              <w:t>红山街道</w:t>
            </w:r>
          </w:p>
        </w:tc>
        <w:tc>
          <w:tcPr>
            <w:tcW w:w="1134" w:type="dxa"/>
            <w:vAlign w:val="center"/>
          </w:tcPr>
          <w:p w14:paraId="71CFE105">
            <w:pPr>
              <w:jc w:val="center"/>
              <w:rPr>
                <w:rFonts w:cs="Times New Roman"/>
                <w:sz w:val="24"/>
                <w:szCs w:val="24"/>
              </w:rPr>
            </w:pPr>
            <w:r>
              <w:rPr>
                <w:rFonts w:cs="Times New Roman"/>
                <w:sz w:val="24"/>
                <w:szCs w:val="24"/>
              </w:rPr>
              <w:t>60</w:t>
            </w:r>
          </w:p>
        </w:tc>
        <w:tc>
          <w:tcPr>
            <w:tcW w:w="992" w:type="dxa"/>
            <w:vAlign w:val="center"/>
          </w:tcPr>
          <w:p w14:paraId="152CE1C4">
            <w:pPr>
              <w:jc w:val="center"/>
              <w:rPr>
                <w:rFonts w:cs="Times New Roman"/>
                <w:sz w:val="24"/>
                <w:szCs w:val="24"/>
              </w:rPr>
            </w:pPr>
            <w:r>
              <w:rPr>
                <w:rFonts w:cs="Times New Roman"/>
                <w:sz w:val="24"/>
                <w:szCs w:val="24"/>
              </w:rPr>
              <w:t>90</w:t>
            </w:r>
          </w:p>
        </w:tc>
        <w:tc>
          <w:tcPr>
            <w:tcW w:w="788" w:type="dxa"/>
            <w:vAlign w:val="center"/>
          </w:tcPr>
          <w:p w14:paraId="3CB7EAF9">
            <w:pPr>
              <w:jc w:val="center"/>
              <w:rPr>
                <w:rFonts w:cs="Times New Roman"/>
                <w:sz w:val="24"/>
                <w:szCs w:val="24"/>
              </w:rPr>
            </w:pPr>
            <w:r>
              <w:rPr>
                <w:rFonts w:cs="Times New Roman"/>
                <w:sz w:val="24"/>
                <w:szCs w:val="24"/>
              </w:rPr>
              <w:t>2020</w:t>
            </w:r>
          </w:p>
        </w:tc>
      </w:tr>
      <w:tr w14:paraId="6354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98" w:type="dxa"/>
            <w:gridSpan w:val="4"/>
            <w:vAlign w:val="center"/>
          </w:tcPr>
          <w:p w14:paraId="28E62F2D">
            <w:pPr>
              <w:jc w:val="center"/>
              <w:rPr>
                <w:rFonts w:cs="Times New Roman"/>
                <w:sz w:val="24"/>
                <w:szCs w:val="24"/>
              </w:rPr>
            </w:pPr>
            <w:r>
              <w:rPr>
                <w:rFonts w:cs="Times New Roman"/>
                <w:b/>
                <w:bCs/>
                <w:sz w:val="24"/>
                <w:szCs w:val="24"/>
              </w:rPr>
              <w:t>合计</w:t>
            </w:r>
          </w:p>
        </w:tc>
        <w:tc>
          <w:tcPr>
            <w:tcW w:w="1134" w:type="dxa"/>
            <w:vAlign w:val="center"/>
          </w:tcPr>
          <w:p w14:paraId="14F2DEEB">
            <w:pPr>
              <w:jc w:val="center"/>
              <w:rPr>
                <w:rFonts w:cs="Times New Roman"/>
                <w:sz w:val="24"/>
                <w:szCs w:val="24"/>
              </w:rPr>
            </w:pPr>
            <w:r>
              <w:rPr>
                <w:rFonts w:cs="Times New Roman"/>
                <w:b/>
                <w:bCs/>
                <w:sz w:val="24"/>
                <w:szCs w:val="24"/>
              </w:rPr>
              <w:t>375</w:t>
            </w:r>
          </w:p>
        </w:tc>
        <w:tc>
          <w:tcPr>
            <w:tcW w:w="992" w:type="dxa"/>
            <w:vAlign w:val="center"/>
          </w:tcPr>
          <w:p w14:paraId="100B570B">
            <w:pPr>
              <w:jc w:val="center"/>
              <w:rPr>
                <w:rFonts w:cs="Times New Roman"/>
                <w:sz w:val="24"/>
                <w:szCs w:val="24"/>
              </w:rPr>
            </w:pPr>
            <w:r>
              <w:rPr>
                <w:rFonts w:cs="Times New Roman"/>
                <w:b/>
                <w:bCs/>
                <w:sz w:val="24"/>
                <w:szCs w:val="24"/>
              </w:rPr>
              <w:t>520</w:t>
            </w:r>
          </w:p>
        </w:tc>
        <w:tc>
          <w:tcPr>
            <w:tcW w:w="788" w:type="dxa"/>
            <w:vAlign w:val="center"/>
          </w:tcPr>
          <w:p w14:paraId="2A320EAC">
            <w:pPr>
              <w:jc w:val="center"/>
              <w:rPr>
                <w:rFonts w:cs="Times New Roman"/>
                <w:sz w:val="24"/>
                <w:szCs w:val="24"/>
              </w:rPr>
            </w:pPr>
          </w:p>
        </w:tc>
      </w:tr>
    </w:tbl>
    <w:p w14:paraId="7B50B0B1">
      <w:pPr>
        <w:ind w:firstLine="643" w:firstLineChars="200"/>
        <w:rPr>
          <w:rFonts w:cs="Times New Roman"/>
        </w:rPr>
      </w:pPr>
      <w:r>
        <w:rPr>
          <w:rFonts w:cs="Times New Roman"/>
          <w:b/>
          <w:bCs/>
        </w:rPr>
        <w:t>利用处置去向明确。</w:t>
      </w:r>
      <w:r>
        <w:rPr>
          <w:rFonts w:cs="Times New Roman"/>
        </w:rPr>
        <w:t>可回收物经再生资源交易后进行资源化利用；餐厨垃圾和厨余垃圾</w:t>
      </w:r>
      <w:r>
        <w:rPr>
          <w:rFonts w:cs="Times New Roman"/>
          <w:sz w:val="30"/>
          <w:szCs w:val="30"/>
        </w:rPr>
        <w:t>运</w:t>
      </w:r>
      <w:r>
        <w:rPr>
          <w:rFonts w:hint="eastAsia" w:cs="Times New Roman"/>
          <w:szCs w:val="28"/>
        </w:rPr>
        <w:t>往</w:t>
      </w:r>
      <w:r>
        <w:rPr>
          <w:rFonts w:hint="eastAsia" w:cs="Times New Roman"/>
          <w:szCs w:val="28"/>
          <w:lang w:eastAsia="zh-CN"/>
        </w:rPr>
        <w:t>有资质的</w:t>
      </w:r>
      <w:r>
        <w:rPr>
          <w:rFonts w:cs="Times New Roman"/>
          <w:szCs w:val="28"/>
        </w:rPr>
        <w:t>处置中心</w:t>
      </w:r>
      <w:r>
        <w:rPr>
          <w:rFonts w:hint="eastAsia" w:cs="Times New Roman"/>
          <w:szCs w:val="28"/>
          <w:lang w:eastAsia="zh-CN"/>
        </w:rPr>
        <w:t>进行集中处理</w:t>
      </w:r>
      <w:r>
        <w:rPr>
          <w:rFonts w:hint="eastAsia" w:cs="Times New Roman"/>
          <w:szCs w:val="28"/>
        </w:rPr>
        <w:t>。部分进入</w:t>
      </w:r>
      <w:r>
        <w:rPr>
          <w:rFonts w:cs="Times New Roman"/>
          <w:szCs w:val="28"/>
        </w:rPr>
        <w:t>区餐厨处置设施进行资源化利用，区内</w:t>
      </w:r>
      <w:r>
        <w:rPr>
          <w:rFonts w:hint="eastAsia" w:cs="Times New Roman"/>
          <w:szCs w:val="28"/>
        </w:rPr>
        <w:t>有</w:t>
      </w:r>
      <w:r>
        <w:rPr>
          <w:rFonts w:cs="Times New Roman"/>
          <w:szCs w:val="28"/>
        </w:rPr>
        <w:t>小型就地餐厨处理机12处，设计处理能力为23.7吨/日；有害垃圾运</w:t>
      </w:r>
      <w:r>
        <w:rPr>
          <w:rFonts w:hint="eastAsia" w:cs="Times New Roman"/>
          <w:szCs w:val="28"/>
        </w:rPr>
        <w:t>往</w:t>
      </w:r>
      <w:r>
        <w:rPr>
          <w:rFonts w:cs="Times New Roman"/>
          <w:szCs w:val="28"/>
        </w:rPr>
        <w:t>区大件垃圾</w:t>
      </w:r>
      <w:r>
        <w:rPr>
          <w:rFonts w:cs="Times New Roman"/>
        </w:rPr>
        <w:t>分拣中心暂存，由市定期统一</w:t>
      </w:r>
      <w:r>
        <w:rPr>
          <w:rFonts w:hint="eastAsia" w:cs="Times New Roman"/>
        </w:rPr>
        <w:t>运</w:t>
      </w:r>
      <w:r>
        <w:rPr>
          <w:rFonts w:cs="Times New Roman"/>
        </w:rPr>
        <w:t>往危险废物处置企业进行无害化处置；其他垃圾最终运</w:t>
      </w:r>
      <w:r>
        <w:rPr>
          <w:rFonts w:hint="eastAsia" w:cs="Times New Roman"/>
        </w:rPr>
        <w:t>往</w:t>
      </w:r>
      <w:r>
        <w:rPr>
          <w:rFonts w:cs="Times New Roman"/>
        </w:rPr>
        <w:t>江南焚烧厂进行焚烧发电。</w:t>
      </w:r>
    </w:p>
    <w:p w14:paraId="74538744">
      <w:pPr>
        <w:pStyle w:val="43"/>
        <w:numPr>
          <w:ilvl w:val="0"/>
          <w:numId w:val="12"/>
        </w:numPr>
        <w:spacing w:beforeLines="0" w:line="560" w:lineRule="exact"/>
        <w:rPr>
          <w:rFonts w:cs="Times New Roman"/>
          <w:szCs w:val="24"/>
        </w:rPr>
      </w:pPr>
      <w:r>
        <w:rPr>
          <w:rFonts w:cs="Times New Roman"/>
          <w:szCs w:val="24"/>
        </w:rPr>
        <w:t>玄武区餐厨处置设施情况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407"/>
        <w:gridCol w:w="3561"/>
        <w:gridCol w:w="1325"/>
      </w:tblGrid>
      <w:tr w14:paraId="4B6C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4" w:type="pct"/>
            <w:shd w:val="clear" w:color="auto" w:fill="auto"/>
            <w:noWrap/>
            <w:vAlign w:val="center"/>
          </w:tcPr>
          <w:p w14:paraId="40BF5EA7">
            <w:pPr>
              <w:pStyle w:val="47"/>
              <w:spacing w:line="560" w:lineRule="exact"/>
              <w:jc w:val="center"/>
              <w:rPr>
                <w:rFonts w:cs="Times New Roman"/>
                <w:b/>
                <w:bCs/>
                <w:sz w:val="24"/>
                <w:szCs w:val="24"/>
              </w:rPr>
            </w:pPr>
            <w:r>
              <w:rPr>
                <w:rFonts w:cs="Times New Roman"/>
                <w:b/>
                <w:bCs/>
                <w:sz w:val="24"/>
                <w:szCs w:val="24"/>
              </w:rPr>
              <w:t>序号</w:t>
            </w:r>
          </w:p>
        </w:tc>
        <w:tc>
          <w:tcPr>
            <w:tcW w:w="1880" w:type="pct"/>
            <w:vAlign w:val="center"/>
          </w:tcPr>
          <w:p w14:paraId="335AD5D8">
            <w:pPr>
              <w:pStyle w:val="47"/>
              <w:spacing w:line="560" w:lineRule="exact"/>
              <w:jc w:val="center"/>
              <w:rPr>
                <w:rFonts w:cs="Times New Roman"/>
                <w:b/>
                <w:bCs/>
                <w:sz w:val="24"/>
                <w:szCs w:val="24"/>
              </w:rPr>
            </w:pPr>
            <w:r>
              <w:rPr>
                <w:rFonts w:cs="Times New Roman"/>
                <w:b/>
                <w:bCs/>
                <w:sz w:val="24"/>
                <w:szCs w:val="24"/>
              </w:rPr>
              <w:t>设施名称</w:t>
            </w:r>
          </w:p>
        </w:tc>
        <w:tc>
          <w:tcPr>
            <w:tcW w:w="1965" w:type="pct"/>
            <w:vAlign w:val="center"/>
          </w:tcPr>
          <w:p w14:paraId="154EFFDF">
            <w:pPr>
              <w:pStyle w:val="47"/>
              <w:spacing w:line="560" w:lineRule="exact"/>
              <w:jc w:val="center"/>
              <w:rPr>
                <w:rFonts w:cs="Times New Roman"/>
                <w:b/>
                <w:bCs/>
                <w:sz w:val="24"/>
                <w:szCs w:val="24"/>
              </w:rPr>
            </w:pPr>
            <w:r>
              <w:rPr>
                <w:rFonts w:cs="Times New Roman"/>
                <w:b/>
                <w:bCs/>
                <w:sz w:val="24"/>
                <w:szCs w:val="24"/>
              </w:rPr>
              <w:t>地址</w:t>
            </w:r>
          </w:p>
        </w:tc>
        <w:tc>
          <w:tcPr>
            <w:tcW w:w="731" w:type="pct"/>
            <w:vAlign w:val="center"/>
          </w:tcPr>
          <w:p w14:paraId="42432608">
            <w:pPr>
              <w:pStyle w:val="47"/>
              <w:spacing w:line="400" w:lineRule="exact"/>
              <w:jc w:val="center"/>
              <w:rPr>
                <w:rFonts w:cs="Times New Roman"/>
                <w:b/>
                <w:bCs/>
                <w:sz w:val="24"/>
                <w:szCs w:val="24"/>
              </w:rPr>
            </w:pPr>
            <w:r>
              <w:rPr>
                <w:rFonts w:cs="Times New Roman"/>
                <w:b/>
                <w:bCs/>
                <w:sz w:val="24"/>
                <w:szCs w:val="24"/>
              </w:rPr>
              <w:t>处理能力</w:t>
            </w:r>
          </w:p>
          <w:p w14:paraId="6CD67A01">
            <w:pPr>
              <w:pStyle w:val="47"/>
              <w:spacing w:line="400" w:lineRule="exact"/>
              <w:jc w:val="center"/>
              <w:rPr>
                <w:rFonts w:cs="Times New Roman"/>
                <w:b/>
                <w:bCs/>
                <w:sz w:val="24"/>
                <w:szCs w:val="24"/>
              </w:rPr>
            </w:pPr>
            <w:r>
              <w:rPr>
                <w:rFonts w:cs="Times New Roman"/>
                <w:b/>
                <w:bCs/>
                <w:sz w:val="24"/>
                <w:szCs w:val="24"/>
              </w:rPr>
              <w:t>（吨/日）</w:t>
            </w:r>
          </w:p>
        </w:tc>
      </w:tr>
      <w:tr w14:paraId="4D20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0A69797A">
            <w:pPr>
              <w:pStyle w:val="47"/>
              <w:spacing w:line="400" w:lineRule="exact"/>
              <w:jc w:val="center"/>
              <w:rPr>
                <w:rFonts w:cs="Times New Roman"/>
                <w:sz w:val="24"/>
                <w:szCs w:val="24"/>
              </w:rPr>
            </w:pPr>
            <w:r>
              <w:rPr>
                <w:rFonts w:cs="Times New Roman"/>
                <w:sz w:val="24"/>
                <w:szCs w:val="24"/>
              </w:rPr>
              <w:t>1</w:t>
            </w:r>
          </w:p>
        </w:tc>
        <w:tc>
          <w:tcPr>
            <w:tcW w:w="1880" w:type="pct"/>
            <w:vAlign w:val="center"/>
          </w:tcPr>
          <w:p w14:paraId="53D032AC">
            <w:pPr>
              <w:pStyle w:val="47"/>
              <w:spacing w:line="400" w:lineRule="exact"/>
              <w:jc w:val="center"/>
              <w:rPr>
                <w:rFonts w:cs="Times New Roman"/>
                <w:sz w:val="24"/>
                <w:szCs w:val="24"/>
              </w:rPr>
            </w:pPr>
            <w:r>
              <w:rPr>
                <w:rFonts w:cs="Times New Roman"/>
                <w:sz w:val="24"/>
                <w:szCs w:val="24"/>
              </w:rPr>
              <w:t>玄武区政府餐厨机</w:t>
            </w:r>
          </w:p>
        </w:tc>
        <w:tc>
          <w:tcPr>
            <w:tcW w:w="1965" w:type="pct"/>
            <w:vAlign w:val="center"/>
          </w:tcPr>
          <w:p w14:paraId="111D0F9C">
            <w:pPr>
              <w:pStyle w:val="47"/>
              <w:spacing w:line="400" w:lineRule="exact"/>
              <w:jc w:val="center"/>
              <w:rPr>
                <w:rFonts w:cs="Times New Roman"/>
                <w:sz w:val="24"/>
                <w:szCs w:val="24"/>
              </w:rPr>
            </w:pPr>
            <w:r>
              <w:rPr>
                <w:rFonts w:cs="Times New Roman"/>
                <w:sz w:val="24"/>
                <w:szCs w:val="24"/>
              </w:rPr>
              <w:t>梅园新村街道珠江路455号</w:t>
            </w:r>
          </w:p>
        </w:tc>
        <w:tc>
          <w:tcPr>
            <w:tcW w:w="731" w:type="pct"/>
            <w:vAlign w:val="center"/>
          </w:tcPr>
          <w:p w14:paraId="2F766FD5">
            <w:pPr>
              <w:pStyle w:val="47"/>
              <w:spacing w:line="400" w:lineRule="exact"/>
              <w:jc w:val="center"/>
              <w:rPr>
                <w:rFonts w:cs="Times New Roman"/>
                <w:sz w:val="24"/>
                <w:szCs w:val="24"/>
              </w:rPr>
            </w:pPr>
            <w:r>
              <w:rPr>
                <w:rFonts w:cs="Times New Roman"/>
                <w:sz w:val="24"/>
                <w:szCs w:val="24"/>
              </w:rPr>
              <w:t>0.5</w:t>
            </w:r>
          </w:p>
        </w:tc>
      </w:tr>
      <w:tr w14:paraId="2612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57759373">
            <w:pPr>
              <w:pStyle w:val="47"/>
              <w:spacing w:line="400" w:lineRule="exact"/>
              <w:jc w:val="center"/>
              <w:rPr>
                <w:rFonts w:cs="Times New Roman"/>
                <w:sz w:val="24"/>
                <w:szCs w:val="24"/>
              </w:rPr>
            </w:pPr>
            <w:r>
              <w:rPr>
                <w:rFonts w:cs="Times New Roman"/>
                <w:sz w:val="24"/>
                <w:szCs w:val="24"/>
              </w:rPr>
              <w:t>2</w:t>
            </w:r>
          </w:p>
        </w:tc>
        <w:tc>
          <w:tcPr>
            <w:tcW w:w="1880" w:type="pct"/>
            <w:vAlign w:val="center"/>
          </w:tcPr>
          <w:p w14:paraId="24971D0F">
            <w:pPr>
              <w:pStyle w:val="47"/>
              <w:spacing w:line="300" w:lineRule="exact"/>
              <w:jc w:val="center"/>
              <w:rPr>
                <w:rFonts w:cs="Times New Roman"/>
                <w:sz w:val="24"/>
                <w:szCs w:val="24"/>
              </w:rPr>
            </w:pPr>
            <w:r>
              <w:rPr>
                <w:rFonts w:cs="Times New Roman"/>
                <w:sz w:val="24"/>
                <w:szCs w:val="24"/>
              </w:rPr>
              <w:t>玄武区城管执法大队餐厨机（新址）</w:t>
            </w:r>
          </w:p>
        </w:tc>
        <w:tc>
          <w:tcPr>
            <w:tcW w:w="1965" w:type="pct"/>
            <w:vAlign w:val="center"/>
          </w:tcPr>
          <w:p w14:paraId="3B765ACB">
            <w:pPr>
              <w:pStyle w:val="47"/>
              <w:spacing w:line="300" w:lineRule="exact"/>
              <w:jc w:val="center"/>
              <w:rPr>
                <w:rFonts w:cs="Times New Roman"/>
                <w:sz w:val="24"/>
                <w:szCs w:val="24"/>
              </w:rPr>
            </w:pPr>
            <w:r>
              <w:rPr>
                <w:rFonts w:cs="Times New Roman"/>
                <w:sz w:val="24"/>
                <w:szCs w:val="24"/>
              </w:rPr>
              <w:t>玄武湖街道玄武大道68号</w:t>
            </w:r>
          </w:p>
        </w:tc>
        <w:tc>
          <w:tcPr>
            <w:tcW w:w="731" w:type="pct"/>
            <w:vAlign w:val="center"/>
          </w:tcPr>
          <w:p w14:paraId="44EE3A04">
            <w:pPr>
              <w:pStyle w:val="47"/>
              <w:spacing w:line="300" w:lineRule="exact"/>
              <w:jc w:val="center"/>
              <w:rPr>
                <w:rFonts w:cs="Times New Roman"/>
                <w:sz w:val="24"/>
                <w:szCs w:val="24"/>
              </w:rPr>
            </w:pPr>
            <w:r>
              <w:rPr>
                <w:rFonts w:cs="Times New Roman"/>
                <w:sz w:val="24"/>
                <w:szCs w:val="24"/>
              </w:rPr>
              <w:t>0.2</w:t>
            </w:r>
          </w:p>
        </w:tc>
      </w:tr>
      <w:tr w14:paraId="2FDD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5D7EF130">
            <w:pPr>
              <w:pStyle w:val="47"/>
              <w:spacing w:line="400" w:lineRule="exact"/>
              <w:jc w:val="center"/>
              <w:rPr>
                <w:rFonts w:cs="Times New Roman"/>
                <w:sz w:val="24"/>
                <w:szCs w:val="24"/>
              </w:rPr>
            </w:pPr>
            <w:r>
              <w:rPr>
                <w:rFonts w:cs="Times New Roman"/>
                <w:sz w:val="24"/>
                <w:szCs w:val="24"/>
              </w:rPr>
              <w:t>3</w:t>
            </w:r>
          </w:p>
        </w:tc>
        <w:tc>
          <w:tcPr>
            <w:tcW w:w="1880" w:type="pct"/>
            <w:vAlign w:val="center"/>
          </w:tcPr>
          <w:p w14:paraId="6EBE8F7C">
            <w:pPr>
              <w:pStyle w:val="47"/>
              <w:spacing w:line="400" w:lineRule="exact"/>
              <w:jc w:val="center"/>
              <w:rPr>
                <w:rFonts w:cs="Times New Roman"/>
                <w:sz w:val="24"/>
                <w:szCs w:val="24"/>
              </w:rPr>
            </w:pPr>
            <w:r>
              <w:rPr>
                <w:rFonts w:cs="Times New Roman"/>
                <w:sz w:val="24"/>
                <w:szCs w:val="24"/>
              </w:rPr>
              <w:t>南京市交通运输局餐厨机</w:t>
            </w:r>
          </w:p>
        </w:tc>
        <w:tc>
          <w:tcPr>
            <w:tcW w:w="1965" w:type="pct"/>
            <w:vAlign w:val="center"/>
          </w:tcPr>
          <w:p w14:paraId="7BAA5481">
            <w:pPr>
              <w:pStyle w:val="47"/>
              <w:spacing w:line="400" w:lineRule="exact"/>
              <w:jc w:val="center"/>
              <w:rPr>
                <w:rFonts w:cs="Times New Roman"/>
                <w:sz w:val="24"/>
                <w:szCs w:val="24"/>
              </w:rPr>
            </w:pPr>
            <w:r>
              <w:rPr>
                <w:rFonts w:cs="Times New Roman"/>
                <w:sz w:val="24"/>
                <w:szCs w:val="24"/>
              </w:rPr>
              <w:t>新街口街道珠江路63-1号</w:t>
            </w:r>
          </w:p>
        </w:tc>
        <w:tc>
          <w:tcPr>
            <w:tcW w:w="731" w:type="pct"/>
            <w:vAlign w:val="center"/>
          </w:tcPr>
          <w:p w14:paraId="251730FD">
            <w:pPr>
              <w:pStyle w:val="47"/>
              <w:spacing w:line="400" w:lineRule="exact"/>
              <w:jc w:val="center"/>
              <w:rPr>
                <w:rFonts w:cs="Times New Roman"/>
                <w:sz w:val="24"/>
                <w:szCs w:val="24"/>
              </w:rPr>
            </w:pPr>
            <w:r>
              <w:rPr>
                <w:rFonts w:cs="Times New Roman"/>
                <w:sz w:val="24"/>
                <w:szCs w:val="24"/>
              </w:rPr>
              <w:t>0.3</w:t>
            </w:r>
          </w:p>
        </w:tc>
      </w:tr>
      <w:tr w14:paraId="1F7B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0495BED9">
            <w:pPr>
              <w:pStyle w:val="47"/>
              <w:spacing w:line="400" w:lineRule="exact"/>
              <w:jc w:val="center"/>
              <w:rPr>
                <w:rFonts w:cs="Times New Roman"/>
                <w:sz w:val="24"/>
                <w:szCs w:val="24"/>
              </w:rPr>
            </w:pPr>
            <w:r>
              <w:rPr>
                <w:rFonts w:cs="Times New Roman"/>
                <w:sz w:val="24"/>
                <w:szCs w:val="24"/>
              </w:rPr>
              <w:t>4</w:t>
            </w:r>
          </w:p>
        </w:tc>
        <w:tc>
          <w:tcPr>
            <w:tcW w:w="1880" w:type="pct"/>
            <w:vAlign w:val="center"/>
          </w:tcPr>
          <w:p w14:paraId="11B45EA9">
            <w:pPr>
              <w:pStyle w:val="47"/>
              <w:spacing w:line="400" w:lineRule="exact"/>
              <w:jc w:val="center"/>
              <w:rPr>
                <w:rFonts w:cs="Times New Roman"/>
                <w:sz w:val="24"/>
                <w:szCs w:val="24"/>
              </w:rPr>
            </w:pPr>
            <w:r>
              <w:rPr>
                <w:rFonts w:cs="Times New Roman"/>
                <w:sz w:val="24"/>
                <w:szCs w:val="24"/>
              </w:rPr>
              <w:t>南京东郊国宾馆</w:t>
            </w:r>
          </w:p>
        </w:tc>
        <w:tc>
          <w:tcPr>
            <w:tcW w:w="1965" w:type="pct"/>
            <w:vAlign w:val="center"/>
          </w:tcPr>
          <w:p w14:paraId="4727560D">
            <w:pPr>
              <w:pStyle w:val="47"/>
              <w:spacing w:line="400" w:lineRule="exact"/>
              <w:jc w:val="center"/>
              <w:rPr>
                <w:rFonts w:cs="Times New Roman"/>
                <w:sz w:val="24"/>
                <w:szCs w:val="24"/>
              </w:rPr>
            </w:pPr>
            <w:r>
              <w:rPr>
                <w:rFonts w:cs="Times New Roman"/>
                <w:sz w:val="24"/>
                <w:szCs w:val="24"/>
              </w:rPr>
              <w:t>孝陵卫街道紫金山路5号</w:t>
            </w:r>
          </w:p>
        </w:tc>
        <w:tc>
          <w:tcPr>
            <w:tcW w:w="731" w:type="pct"/>
            <w:vAlign w:val="center"/>
          </w:tcPr>
          <w:p w14:paraId="3936F387">
            <w:pPr>
              <w:pStyle w:val="47"/>
              <w:spacing w:line="400" w:lineRule="exact"/>
              <w:jc w:val="center"/>
              <w:rPr>
                <w:rFonts w:cs="Times New Roman"/>
                <w:sz w:val="24"/>
                <w:szCs w:val="24"/>
              </w:rPr>
            </w:pPr>
            <w:r>
              <w:rPr>
                <w:rFonts w:cs="Times New Roman"/>
                <w:sz w:val="24"/>
                <w:szCs w:val="24"/>
              </w:rPr>
              <w:t>2.0</w:t>
            </w:r>
          </w:p>
        </w:tc>
      </w:tr>
      <w:tr w14:paraId="2C54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45F9400E">
            <w:pPr>
              <w:pStyle w:val="47"/>
              <w:spacing w:line="400" w:lineRule="exact"/>
              <w:jc w:val="center"/>
              <w:rPr>
                <w:rFonts w:cs="Times New Roman"/>
                <w:sz w:val="24"/>
                <w:szCs w:val="24"/>
              </w:rPr>
            </w:pPr>
            <w:r>
              <w:rPr>
                <w:rFonts w:cs="Times New Roman"/>
                <w:sz w:val="24"/>
                <w:szCs w:val="24"/>
              </w:rPr>
              <w:t>5</w:t>
            </w:r>
          </w:p>
        </w:tc>
        <w:tc>
          <w:tcPr>
            <w:tcW w:w="1880" w:type="pct"/>
            <w:vAlign w:val="center"/>
          </w:tcPr>
          <w:p w14:paraId="5A46F750">
            <w:pPr>
              <w:pStyle w:val="47"/>
              <w:spacing w:line="400" w:lineRule="exact"/>
              <w:jc w:val="center"/>
              <w:rPr>
                <w:rFonts w:cs="Times New Roman"/>
                <w:sz w:val="24"/>
                <w:szCs w:val="24"/>
              </w:rPr>
            </w:pPr>
            <w:r>
              <w:rPr>
                <w:rFonts w:cs="Times New Roman"/>
                <w:sz w:val="24"/>
                <w:szCs w:val="24"/>
              </w:rPr>
              <w:t>钟山疗养院餐厨机</w:t>
            </w:r>
          </w:p>
        </w:tc>
        <w:tc>
          <w:tcPr>
            <w:tcW w:w="1965" w:type="pct"/>
            <w:vAlign w:val="center"/>
          </w:tcPr>
          <w:p w14:paraId="48F77185">
            <w:pPr>
              <w:pStyle w:val="47"/>
              <w:spacing w:line="400" w:lineRule="exact"/>
              <w:jc w:val="center"/>
              <w:rPr>
                <w:rFonts w:cs="Times New Roman"/>
                <w:sz w:val="24"/>
                <w:szCs w:val="24"/>
              </w:rPr>
            </w:pPr>
            <w:r>
              <w:rPr>
                <w:rFonts w:cs="Times New Roman"/>
                <w:sz w:val="24"/>
                <w:szCs w:val="24"/>
              </w:rPr>
              <w:t>孝陵卫街道中山陵11号</w:t>
            </w:r>
          </w:p>
        </w:tc>
        <w:tc>
          <w:tcPr>
            <w:tcW w:w="731" w:type="pct"/>
            <w:vAlign w:val="center"/>
          </w:tcPr>
          <w:p w14:paraId="26ABA07B">
            <w:pPr>
              <w:pStyle w:val="47"/>
              <w:spacing w:line="400" w:lineRule="exact"/>
              <w:jc w:val="center"/>
              <w:rPr>
                <w:rFonts w:cs="Times New Roman"/>
                <w:sz w:val="24"/>
                <w:szCs w:val="24"/>
              </w:rPr>
            </w:pPr>
            <w:r>
              <w:rPr>
                <w:rFonts w:cs="Times New Roman"/>
                <w:sz w:val="24"/>
                <w:szCs w:val="24"/>
              </w:rPr>
              <w:t>0.2</w:t>
            </w:r>
          </w:p>
        </w:tc>
      </w:tr>
      <w:tr w14:paraId="6564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75FDBB0D">
            <w:pPr>
              <w:pStyle w:val="47"/>
              <w:spacing w:line="400" w:lineRule="exact"/>
              <w:jc w:val="center"/>
              <w:rPr>
                <w:rFonts w:cs="Times New Roman"/>
                <w:sz w:val="24"/>
                <w:szCs w:val="24"/>
              </w:rPr>
            </w:pPr>
            <w:r>
              <w:rPr>
                <w:rFonts w:cs="Times New Roman"/>
                <w:sz w:val="24"/>
                <w:szCs w:val="24"/>
              </w:rPr>
              <w:t>6</w:t>
            </w:r>
          </w:p>
        </w:tc>
        <w:tc>
          <w:tcPr>
            <w:tcW w:w="1880" w:type="pct"/>
            <w:vAlign w:val="center"/>
          </w:tcPr>
          <w:p w14:paraId="3EA6CE6F">
            <w:pPr>
              <w:pStyle w:val="47"/>
              <w:spacing w:line="400" w:lineRule="exact"/>
              <w:jc w:val="center"/>
              <w:rPr>
                <w:rFonts w:cs="Times New Roman"/>
                <w:sz w:val="24"/>
                <w:szCs w:val="24"/>
              </w:rPr>
            </w:pPr>
            <w:r>
              <w:rPr>
                <w:rFonts w:cs="Times New Roman"/>
                <w:sz w:val="24"/>
                <w:szCs w:val="24"/>
              </w:rPr>
              <w:t>中山植物园餐厨机</w:t>
            </w:r>
          </w:p>
        </w:tc>
        <w:tc>
          <w:tcPr>
            <w:tcW w:w="1965" w:type="pct"/>
            <w:vAlign w:val="center"/>
          </w:tcPr>
          <w:p w14:paraId="057D9017">
            <w:pPr>
              <w:pStyle w:val="47"/>
              <w:spacing w:line="400" w:lineRule="exact"/>
              <w:jc w:val="center"/>
              <w:rPr>
                <w:rFonts w:cs="Times New Roman"/>
                <w:sz w:val="24"/>
                <w:szCs w:val="24"/>
              </w:rPr>
            </w:pPr>
            <w:r>
              <w:rPr>
                <w:rFonts w:cs="Times New Roman"/>
                <w:sz w:val="24"/>
                <w:szCs w:val="24"/>
              </w:rPr>
              <w:t>孝陵卫街道前湖后村1号</w:t>
            </w:r>
          </w:p>
        </w:tc>
        <w:tc>
          <w:tcPr>
            <w:tcW w:w="731" w:type="pct"/>
            <w:vAlign w:val="center"/>
          </w:tcPr>
          <w:p w14:paraId="4937A918">
            <w:pPr>
              <w:pStyle w:val="47"/>
              <w:spacing w:line="400" w:lineRule="exact"/>
              <w:jc w:val="center"/>
              <w:rPr>
                <w:rFonts w:cs="Times New Roman"/>
                <w:sz w:val="24"/>
                <w:szCs w:val="24"/>
              </w:rPr>
            </w:pPr>
            <w:r>
              <w:rPr>
                <w:rFonts w:cs="Times New Roman"/>
                <w:sz w:val="24"/>
                <w:szCs w:val="24"/>
              </w:rPr>
              <w:t>0.5</w:t>
            </w:r>
          </w:p>
        </w:tc>
      </w:tr>
      <w:tr w14:paraId="0C14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03DE2960">
            <w:pPr>
              <w:pStyle w:val="47"/>
              <w:spacing w:line="400" w:lineRule="exact"/>
              <w:jc w:val="center"/>
              <w:rPr>
                <w:rFonts w:cs="Times New Roman"/>
                <w:sz w:val="24"/>
                <w:szCs w:val="24"/>
              </w:rPr>
            </w:pPr>
            <w:r>
              <w:rPr>
                <w:rFonts w:cs="Times New Roman"/>
                <w:sz w:val="24"/>
                <w:szCs w:val="24"/>
              </w:rPr>
              <w:t>7</w:t>
            </w:r>
          </w:p>
        </w:tc>
        <w:tc>
          <w:tcPr>
            <w:tcW w:w="1880" w:type="pct"/>
            <w:vAlign w:val="center"/>
          </w:tcPr>
          <w:p w14:paraId="42D8621E">
            <w:pPr>
              <w:pStyle w:val="47"/>
              <w:spacing w:line="400" w:lineRule="exact"/>
              <w:jc w:val="center"/>
              <w:rPr>
                <w:rFonts w:cs="Times New Roman"/>
                <w:sz w:val="24"/>
                <w:szCs w:val="24"/>
              </w:rPr>
            </w:pPr>
            <w:r>
              <w:rPr>
                <w:rFonts w:cs="Times New Roman"/>
                <w:sz w:val="24"/>
                <w:szCs w:val="24"/>
              </w:rPr>
              <w:t>南京海底世界餐厨机</w:t>
            </w:r>
          </w:p>
        </w:tc>
        <w:tc>
          <w:tcPr>
            <w:tcW w:w="1965" w:type="pct"/>
            <w:vAlign w:val="center"/>
          </w:tcPr>
          <w:p w14:paraId="20F4A027">
            <w:pPr>
              <w:pStyle w:val="47"/>
              <w:spacing w:line="400" w:lineRule="exact"/>
              <w:jc w:val="center"/>
              <w:rPr>
                <w:rFonts w:cs="Times New Roman"/>
                <w:sz w:val="24"/>
                <w:szCs w:val="24"/>
              </w:rPr>
            </w:pPr>
            <w:r>
              <w:rPr>
                <w:rFonts w:cs="Times New Roman"/>
                <w:sz w:val="24"/>
                <w:szCs w:val="24"/>
              </w:rPr>
              <w:t>孝陵卫街道四方城8号</w:t>
            </w:r>
          </w:p>
        </w:tc>
        <w:tc>
          <w:tcPr>
            <w:tcW w:w="731" w:type="pct"/>
            <w:vAlign w:val="center"/>
          </w:tcPr>
          <w:p w14:paraId="2553DB6A">
            <w:pPr>
              <w:pStyle w:val="47"/>
              <w:spacing w:line="400" w:lineRule="exact"/>
              <w:jc w:val="center"/>
              <w:rPr>
                <w:rFonts w:cs="Times New Roman"/>
                <w:sz w:val="24"/>
                <w:szCs w:val="24"/>
              </w:rPr>
            </w:pPr>
            <w:r>
              <w:rPr>
                <w:rFonts w:cs="Times New Roman"/>
                <w:sz w:val="24"/>
                <w:szCs w:val="24"/>
              </w:rPr>
              <w:t>0.5</w:t>
            </w:r>
          </w:p>
        </w:tc>
      </w:tr>
      <w:tr w14:paraId="0065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0A43F714">
            <w:pPr>
              <w:pStyle w:val="47"/>
              <w:spacing w:line="400" w:lineRule="exact"/>
              <w:jc w:val="center"/>
              <w:rPr>
                <w:rFonts w:cs="Times New Roman"/>
                <w:sz w:val="24"/>
                <w:szCs w:val="24"/>
              </w:rPr>
            </w:pPr>
            <w:r>
              <w:rPr>
                <w:rFonts w:cs="Times New Roman"/>
                <w:sz w:val="24"/>
                <w:szCs w:val="24"/>
              </w:rPr>
              <w:t>8</w:t>
            </w:r>
          </w:p>
        </w:tc>
        <w:tc>
          <w:tcPr>
            <w:tcW w:w="1880" w:type="pct"/>
            <w:vAlign w:val="center"/>
          </w:tcPr>
          <w:p w14:paraId="4D0F5B41">
            <w:pPr>
              <w:pStyle w:val="47"/>
              <w:spacing w:line="400" w:lineRule="exact"/>
              <w:jc w:val="center"/>
              <w:rPr>
                <w:rFonts w:cs="Times New Roman"/>
                <w:sz w:val="24"/>
                <w:szCs w:val="24"/>
              </w:rPr>
            </w:pPr>
            <w:r>
              <w:rPr>
                <w:rFonts w:cs="Times New Roman"/>
                <w:sz w:val="24"/>
                <w:szCs w:val="24"/>
              </w:rPr>
              <w:t>孝陵卫佳源广场餐厨机</w:t>
            </w:r>
          </w:p>
        </w:tc>
        <w:tc>
          <w:tcPr>
            <w:tcW w:w="1965" w:type="pct"/>
            <w:vAlign w:val="center"/>
          </w:tcPr>
          <w:p w14:paraId="58BF1FD0">
            <w:pPr>
              <w:pStyle w:val="47"/>
              <w:spacing w:line="400" w:lineRule="exact"/>
              <w:jc w:val="center"/>
              <w:rPr>
                <w:rFonts w:cs="Times New Roman"/>
                <w:sz w:val="24"/>
                <w:szCs w:val="24"/>
              </w:rPr>
            </w:pPr>
            <w:r>
              <w:rPr>
                <w:rFonts w:cs="Times New Roman"/>
                <w:sz w:val="24"/>
                <w:szCs w:val="24"/>
              </w:rPr>
              <w:t>孝陵卫街道中山陵11号</w:t>
            </w:r>
          </w:p>
        </w:tc>
        <w:tc>
          <w:tcPr>
            <w:tcW w:w="731" w:type="pct"/>
            <w:vAlign w:val="center"/>
          </w:tcPr>
          <w:p w14:paraId="2527BC18">
            <w:pPr>
              <w:pStyle w:val="47"/>
              <w:spacing w:line="400" w:lineRule="exact"/>
              <w:jc w:val="center"/>
              <w:rPr>
                <w:rFonts w:cs="Times New Roman"/>
                <w:sz w:val="24"/>
                <w:szCs w:val="24"/>
              </w:rPr>
            </w:pPr>
            <w:r>
              <w:rPr>
                <w:rFonts w:cs="Times New Roman"/>
                <w:sz w:val="24"/>
                <w:szCs w:val="24"/>
              </w:rPr>
              <w:t>1.5</w:t>
            </w:r>
          </w:p>
        </w:tc>
      </w:tr>
      <w:tr w14:paraId="7428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1E0D4608">
            <w:pPr>
              <w:pStyle w:val="47"/>
              <w:spacing w:line="400" w:lineRule="exact"/>
              <w:jc w:val="center"/>
              <w:rPr>
                <w:rFonts w:cs="Times New Roman"/>
                <w:sz w:val="24"/>
                <w:szCs w:val="24"/>
              </w:rPr>
            </w:pPr>
            <w:r>
              <w:rPr>
                <w:rFonts w:cs="Times New Roman"/>
                <w:sz w:val="24"/>
                <w:szCs w:val="24"/>
              </w:rPr>
              <w:t>9</w:t>
            </w:r>
          </w:p>
        </w:tc>
        <w:tc>
          <w:tcPr>
            <w:tcW w:w="1880" w:type="pct"/>
            <w:vAlign w:val="center"/>
          </w:tcPr>
          <w:p w14:paraId="7C41E576">
            <w:pPr>
              <w:widowControl/>
              <w:spacing w:line="400" w:lineRule="exact"/>
              <w:jc w:val="center"/>
              <w:rPr>
                <w:rFonts w:eastAsia="宋体" w:cs="Times New Roman"/>
                <w:kern w:val="0"/>
                <w:sz w:val="24"/>
                <w:szCs w:val="24"/>
              </w:rPr>
            </w:pPr>
            <w:r>
              <w:rPr>
                <w:rFonts w:cs="Times New Roman"/>
                <w:sz w:val="24"/>
                <w:szCs w:val="24"/>
              </w:rPr>
              <w:t>南京农业大学餐厨机</w:t>
            </w:r>
          </w:p>
        </w:tc>
        <w:tc>
          <w:tcPr>
            <w:tcW w:w="1965" w:type="pct"/>
            <w:vAlign w:val="center"/>
          </w:tcPr>
          <w:p w14:paraId="11E0B67E">
            <w:pPr>
              <w:pStyle w:val="47"/>
              <w:spacing w:line="400" w:lineRule="exact"/>
              <w:jc w:val="center"/>
              <w:rPr>
                <w:rFonts w:cs="Times New Roman"/>
                <w:sz w:val="24"/>
                <w:szCs w:val="24"/>
              </w:rPr>
            </w:pPr>
            <w:r>
              <w:rPr>
                <w:rFonts w:cs="Times New Roman"/>
                <w:sz w:val="24"/>
                <w:szCs w:val="24"/>
              </w:rPr>
              <w:t>孝陵卫街道卫岗1号</w:t>
            </w:r>
          </w:p>
        </w:tc>
        <w:tc>
          <w:tcPr>
            <w:tcW w:w="731" w:type="pct"/>
            <w:vAlign w:val="center"/>
          </w:tcPr>
          <w:p w14:paraId="524AAED8">
            <w:pPr>
              <w:pStyle w:val="47"/>
              <w:spacing w:line="400" w:lineRule="exact"/>
              <w:jc w:val="center"/>
              <w:rPr>
                <w:rFonts w:cs="Times New Roman"/>
                <w:sz w:val="24"/>
                <w:szCs w:val="24"/>
              </w:rPr>
            </w:pPr>
            <w:r>
              <w:rPr>
                <w:rFonts w:cs="Times New Roman"/>
                <w:sz w:val="24"/>
                <w:szCs w:val="24"/>
              </w:rPr>
              <w:t>5.0</w:t>
            </w:r>
          </w:p>
        </w:tc>
      </w:tr>
      <w:tr w14:paraId="198F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50F0127F">
            <w:pPr>
              <w:pStyle w:val="47"/>
              <w:spacing w:line="400" w:lineRule="exact"/>
              <w:jc w:val="center"/>
              <w:rPr>
                <w:rFonts w:cs="Times New Roman"/>
                <w:sz w:val="24"/>
                <w:szCs w:val="24"/>
              </w:rPr>
            </w:pPr>
            <w:r>
              <w:rPr>
                <w:rFonts w:cs="Times New Roman"/>
                <w:sz w:val="24"/>
                <w:szCs w:val="24"/>
              </w:rPr>
              <w:t>10</w:t>
            </w:r>
          </w:p>
        </w:tc>
        <w:tc>
          <w:tcPr>
            <w:tcW w:w="1880" w:type="pct"/>
            <w:vAlign w:val="center"/>
          </w:tcPr>
          <w:p w14:paraId="17AEAF79">
            <w:pPr>
              <w:widowControl/>
              <w:spacing w:line="400" w:lineRule="exact"/>
              <w:jc w:val="center"/>
              <w:rPr>
                <w:rFonts w:cs="Times New Roman"/>
                <w:sz w:val="24"/>
                <w:szCs w:val="24"/>
              </w:rPr>
            </w:pPr>
            <w:r>
              <w:rPr>
                <w:rFonts w:cs="Times New Roman"/>
                <w:sz w:val="24"/>
                <w:szCs w:val="24"/>
              </w:rPr>
              <w:t>南空餐厨处理机</w:t>
            </w:r>
          </w:p>
        </w:tc>
        <w:tc>
          <w:tcPr>
            <w:tcW w:w="1965" w:type="pct"/>
            <w:vAlign w:val="center"/>
          </w:tcPr>
          <w:p w14:paraId="538F9237">
            <w:pPr>
              <w:pStyle w:val="47"/>
              <w:spacing w:line="400" w:lineRule="exact"/>
              <w:jc w:val="center"/>
              <w:rPr>
                <w:rFonts w:cs="Times New Roman"/>
                <w:sz w:val="24"/>
                <w:szCs w:val="24"/>
              </w:rPr>
            </w:pPr>
            <w:r>
              <w:rPr>
                <w:rFonts w:cs="Times New Roman"/>
                <w:sz w:val="24"/>
                <w:szCs w:val="24"/>
              </w:rPr>
              <w:t>梅园新村街道北京东路57号</w:t>
            </w:r>
          </w:p>
        </w:tc>
        <w:tc>
          <w:tcPr>
            <w:tcW w:w="731" w:type="pct"/>
            <w:vAlign w:val="center"/>
          </w:tcPr>
          <w:p w14:paraId="143FA618">
            <w:pPr>
              <w:pStyle w:val="47"/>
              <w:spacing w:line="400" w:lineRule="exact"/>
              <w:jc w:val="center"/>
              <w:rPr>
                <w:rFonts w:cs="Times New Roman"/>
                <w:sz w:val="24"/>
                <w:szCs w:val="24"/>
              </w:rPr>
            </w:pPr>
            <w:r>
              <w:rPr>
                <w:rFonts w:cs="Times New Roman"/>
                <w:sz w:val="24"/>
                <w:szCs w:val="24"/>
              </w:rPr>
              <w:t>2.0</w:t>
            </w:r>
          </w:p>
        </w:tc>
      </w:tr>
      <w:tr w14:paraId="67EF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123D2939">
            <w:pPr>
              <w:pStyle w:val="47"/>
              <w:spacing w:line="400" w:lineRule="exact"/>
              <w:jc w:val="center"/>
              <w:rPr>
                <w:rFonts w:cs="Times New Roman"/>
                <w:sz w:val="24"/>
                <w:szCs w:val="24"/>
              </w:rPr>
            </w:pPr>
            <w:r>
              <w:rPr>
                <w:rFonts w:cs="Times New Roman"/>
                <w:sz w:val="24"/>
                <w:szCs w:val="24"/>
              </w:rPr>
              <w:t>11</w:t>
            </w:r>
          </w:p>
        </w:tc>
        <w:tc>
          <w:tcPr>
            <w:tcW w:w="1880" w:type="pct"/>
            <w:vAlign w:val="center"/>
          </w:tcPr>
          <w:p w14:paraId="408BA198">
            <w:pPr>
              <w:widowControl/>
              <w:spacing w:line="400" w:lineRule="exact"/>
              <w:jc w:val="center"/>
              <w:rPr>
                <w:rFonts w:cs="Times New Roman"/>
                <w:sz w:val="24"/>
                <w:szCs w:val="24"/>
              </w:rPr>
            </w:pPr>
            <w:r>
              <w:rPr>
                <w:rFonts w:cs="Times New Roman"/>
                <w:sz w:val="24"/>
                <w:szCs w:val="24"/>
              </w:rPr>
              <w:t>东部战区总医院餐厨机</w:t>
            </w:r>
          </w:p>
        </w:tc>
        <w:tc>
          <w:tcPr>
            <w:tcW w:w="1965" w:type="pct"/>
            <w:vAlign w:val="center"/>
          </w:tcPr>
          <w:p w14:paraId="73F23CAE">
            <w:pPr>
              <w:pStyle w:val="47"/>
              <w:spacing w:line="400" w:lineRule="exact"/>
              <w:jc w:val="center"/>
              <w:rPr>
                <w:rFonts w:cs="Times New Roman"/>
                <w:sz w:val="24"/>
                <w:szCs w:val="24"/>
              </w:rPr>
            </w:pPr>
            <w:r>
              <w:rPr>
                <w:rFonts w:cs="Times New Roman"/>
                <w:sz w:val="24"/>
                <w:szCs w:val="24"/>
              </w:rPr>
              <w:t>新街口街道中山东路305号</w:t>
            </w:r>
          </w:p>
        </w:tc>
        <w:tc>
          <w:tcPr>
            <w:tcW w:w="731" w:type="pct"/>
            <w:vAlign w:val="center"/>
          </w:tcPr>
          <w:p w14:paraId="25A3177A">
            <w:pPr>
              <w:pStyle w:val="47"/>
              <w:spacing w:line="400" w:lineRule="exact"/>
              <w:jc w:val="center"/>
              <w:rPr>
                <w:rFonts w:cs="Times New Roman"/>
                <w:sz w:val="24"/>
                <w:szCs w:val="24"/>
              </w:rPr>
            </w:pPr>
            <w:r>
              <w:rPr>
                <w:rFonts w:cs="Times New Roman"/>
                <w:sz w:val="24"/>
                <w:szCs w:val="24"/>
              </w:rPr>
              <w:t>1.0</w:t>
            </w:r>
          </w:p>
        </w:tc>
      </w:tr>
      <w:tr w14:paraId="1A3A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shd w:val="clear" w:color="auto" w:fill="auto"/>
            <w:noWrap/>
            <w:vAlign w:val="center"/>
          </w:tcPr>
          <w:p w14:paraId="0B4EA820">
            <w:pPr>
              <w:pStyle w:val="47"/>
              <w:spacing w:line="400" w:lineRule="exact"/>
              <w:jc w:val="center"/>
              <w:rPr>
                <w:rFonts w:cs="Times New Roman"/>
                <w:sz w:val="24"/>
                <w:szCs w:val="24"/>
              </w:rPr>
            </w:pPr>
            <w:r>
              <w:rPr>
                <w:rFonts w:cs="Times New Roman"/>
                <w:sz w:val="24"/>
                <w:szCs w:val="24"/>
              </w:rPr>
              <w:t>12</w:t>
            </w:r>
          </w:p>
        </w:tc>
        <w:tc>
          <w:tcPr>
            <w:tcW w:w="1880" w:type="pct"/>
            <w:vAlign w:val="center"/>
          </w:tcPr>
          <w:p w14:paraId="089F8504">
            <w:pPr>
              <w:widowControl/>
              <w:spacing w:line="300" w:lineRule="exact"/>
              <w:jc w:val="center"/>
              <w:rPr>
                <w:rFonts w:cs="Times New Roman"/>
                <w:sz w:val="24"/>
                <w:szCs w:val="24"/>
              </w:rPr>
            </w:pPr>
            <w:r>
              <w:rPr>
                <w:rFonts w:cs="Times New Roman"/>
                <w:sz w:val="24"/>
                <w:szCs w:val="24"/>
              </w:rPr>
              <w:t>余粮路10吨餐厨机</w:t>
            </w:r>
          </w:p>
        </w:tc>
        <w:tc>
          <w:tcPr>
            <w:tcW w:w="1965" w:type="pct"/>
            <w:vAlign w:val="center"/>
          </w:tcPr>
          <w:p w14:paraId="59F8C419">
            <w:pPr>
              <w:pStyle w:val="47"/>
              <w:spacing w:line="300" w:lineRule="exact"/>
              <w:jc w:val="center"/>
              <w:rPr>
                <w:rFonts w:cs="Times New Roman"/>
                <w:sz w:val="24"/>
                <w:szCs w:val="24"/>
              </w:rPr>
            </w:pPr>
            <w:r>
              <w:rPr>
                <w:rFonts w:cs="Times New Roman"/>
                <w:sz w:val="24"/>
                <w:szCs w:val="24"/>
              </w:rPr>
              <w:t>孝陵卫街道余粮路南京市科利华中学紫金分校对面</w:t>
            </w:r>
          </w:p>
        </w:tc>
        <w:tc>
          <w:tcPr>
            <w:tcW w:w="731" w:type="pct"/>
            <w:vAlign w:val="center"/>
          </w:tcPr>
          <w:p w14:paraId="6EAB7518">
            <w:pPr>
              <w:pStyle w:val="47"/>
              <w:spacing w:line="300" w:lineRule="exact"/>
              <w:jc w:val="center"/>
              <w:rPr>
                <w:rFonts w:cs="Times New Roman"/>
                <w:sz w:val="24"/>
                <w:szCs w:val="24"/>
              </w:rPr>
            </w:pPr>
            <w:r>
              <w:rPr>
                <w:rFonts w:cs="Times New Roman"/>
                <w:sz w:val="24"/>
                <w:szCs w:val="24"/>
              </w:rPr>
              <w:t>10.0</w:t>
            </w:r>
          </w:p>
        </w:tc>
      </w:tr>
      <w:tr w14:paraId="0058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9" w:type="pct"/>
            <w:gridSpan w:val="3"/>
            <w:shd w:val="clear" w:color="auto" w:fill="auto"/>
            <w:noWrap/>
            <w:vAlign w:val="center"/>
          </w:tcPr>
          <w:p w14:paraId="633727C3">
            <w:pPr>
              <w:pStyle w:val="47"/>
              <w:spacing w:line="400" w:lineRule="exact"/>
              <w:jc w:val="center"/>
              <w:rPr>
                <w:rFonts w:cs="Times New Roman"/>
                <w:b/>
                <w:bCs/>
                <w:sz w:val="24"/>
                <w:szCs w:val="24"/>
              </w:rPr>
            </w:pPr>
            <w:r>
              <w:rPr>
                <w:rFonts w:cs="Times New Roman"/>
                <w:b/>
                <w:bCs/>
                <w:sz w:val="24"/>
                <w:szCs w:val="24"/>
              </w:rPr>
              <w:t>合计</w:t>
            </w:r>
          </w:p>
        </w:tc>
        <w:tc>
          <w:tcPr>
            <w:tcW w:w="731" w:type="pct"/>
            <w:vAlign w:val="center"/>
          </w:tcPr>
          <w:p w14:paraId="7B4787D8">
            <w:pPr>
              <w:pStyle w:val="47"/>
              <w:spacing w:line="400" w:lineRule="exact"/>
              <w:jc w:val="center"/>
              <w:rPr>
                <w:rFonts w:cs="Times New Roman"/>
                <w:b/>
                <w:bCs/>
                <w:sz w:val="24"/>
                <w:szCs w:val="24"/>
              </w:rPr>
            </w:pPr>
            <w:r>
              <w:rPr>
                <w:rFonts w:cs="Times New Roman"/>
                <w:b/>
                <w:bCs/>
                <w:sz w:val="24"/>
                <w:szCs w:val="24"/>
              </w:rPr>
              <w:t>23.7</w:t>
            </w:r>
          </w:p>
        </w:tc>
      </w:tr>
    </w:tbl>
    <w:p w14:paraId="0A47624B">
      <w:pPr>
        <w:pStyle w:val="43"/>
        <w:numPr>
          <w:ilvl w:val="0"/>
          <w:numId w:val="12"/>
        </w:numPr>
        <w:spacing w:beforeLines="0" w:line="560" w:lineRule="exact"/>
        <w:rPr>
          <w:rFonts w:cs="Times New Roman"/>
          <w:szCs w:val="24"/>
        </w:rPr>
      </w:pPr>
      <w:r>
        <w:rPr>
          <w:rFonts w:cs="Times New Roman"/>
          <w:szCs w:val="24"/>
        </w:rPr>
        <w:t>玄武区生活垃圾处置去向</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392"/>
        <w:gridCol w:w="4180"/>
        <w:gridCol w:w="1631"/>
      </w:tblGrid>
      <w:tr w14:paraId="53E1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Align w:val="center"/>
          </w:tcPr>
          <w:p w14:paraId="2F23E21D">
            <w:pPr>
              <w:snapToGrid w:val="0"/>
              <w:spacing w:line="300" w:lineRule="exact"/>
              <w:jc w:val="center"/>
              <w:rPr>
                <w:rFonts w:cs="Times New Roman"/>
                <w:b/>
                <w:sz w:val="24"/>
                <w:szCs w:val="24"/>
              </w:rPr>
            </w:pPr>
            <w:r>
              <w:rPr>
                <w:rFonts w:cs="Times New Roman"/>
                <w:b/>
                <w:sz w:val="24"/>
                <w:szCs w:val="24"/>
              </w:rPr>
              <w:t>类型</w:t>
            </w:r>
          </w:p>
        </w:tc>
        <w:tc>
          <w:tcPr>
            <w:tcW w:w="768" w:type="pct"/>
            <w:vAlign w:val="center"/>
          </w:tcPr>
          <w:p w14:paraId="44662276">
            <w:pPr>
              <w:snapToGrid w:val="0"/>
              <w:spacing w:line="300" w:lineRule="exact"/>
              <w:jc w:val="center"/>
              <w:rPr>
                <w:rFonts w:cs="Times New Roman"/>
                <w:b/>
                <w:sz w:val="24"/>
                <w:szCs w:val="24"/>
              </w:rPr>
            </w:pPr>
            <w:r>
              <w:rPr>
                <w:rFonts w:cs="Times New Roman"/>
                <w:b/>
                <w:sz w:val="24"/>
                <w:szCs w:val="24"/>
              </w:rPr>
              <w:t>产生量</w:t>
            </w:r>
          </w:p>
          <w:p w14:paraId="398149E3">
            <w:pPr>
              <w:snapToGrid w:val="0"/>
              <w:spacing w:line="300" w:lineRule="exact"/>
              <w:jc w:val="center"/>
              <w:rPr>
                <w:rFonts w:cs="Times New Roman"/>
                <w:b/>
                <w:sz w:val="24"/>
                <w:szCs w:val="24"/>
              </w:rPr>
            </w:pPr>
            <w:r>
              <w:rPr>
                <w:rFonts w:cs="Times New Roman"/>
                <w:b/>
                <w:sz w:val="24"/>
                <w:szCs w:val="24"/>
              </w:rPr>
              <w:t>（吨/日）</w:t>
            </w:r>
          </w:p>
        </w:tc>
        <w:tc>
          <w:tcPr>
            <w:tcW w:w="2307" w:type="pct"/>
            <w:vAlign w:val="center"/>
          </w:tcPr>
          <w:p w14:paraId="69C7B017">
            <w:pPr>
              <w:snapToGrid w:val="0"/>
              <w:spacing w:line="300" w:lineRule="exact"/>
              <w:jc w:val="center"/>
              <w:rPr>
                <w:rFonts w:cs="Times New Roman"/>
                <w:b/>
                <w:sz w:val="24"/>
                <w:szCs w:val="24"/>
              </w:rPr>
            </w:pPr>
            <w:r>
              <w:rPr>
                <w:rFonts w:cs="Times New Roman"/>
                <w:b/>
                <w:sz w:val="24"/>
                <w:szCs w:val="24"/>
              </w:rPr>
              <w:t>处置去向</w:t>
            </w:r>
          </w:p>
        </w:tc>
        <w:tc>
          <w:tcPr>
            <w:tcW w:w="900" w:type="pct"/>
            <w:vAlign w:val="center"/>
          </w:tcPr>
          <w:p w14:paraId="05B1086F">
            <w:pPr>
              <w:snapToGrid w:val="0"/>
              <w:spacing w:line="300" w:lineRule="exact"/>
              <w:jc w:val="center"/>
              <w:rPr>
                <w:rFonts w:cs="Times New Roman"/>
                <w:b/>
                <w:sz w:val="24"/>
                <w:szCs w:val="24"/>
              </w:rPr>
            </w:pPr>
            <w:r>
              <w:rPr>
                <w:rFonts w:cs="Times New Roman"/>
                <w:b/>
                <w:sz w:val="24"/>
                <w:szCs w:val="24"/>
              </w:rPr>
              <w:t>处置能力</w:t>
            </w:r>
          </w:p>
          <w:p w14:paraId="0F154361">
            <w:pPr>
              <w:snapToGrid w:val="0"/>
              <w:spacing w:line="300" w:lineRule="exact"/>
              <w:jc w:val="center"/>
              <w:rPr>
                <w:rFonts w:cs="Times New Roman"/>
                <w:b/>
                <w:sz w:val="24"/>
                <w:szCs w:val="24"/>
              </w:rPr>
            </w:pPr>
            <w:r>
              <w:rPr>
                <w:rFonts w:cs="Times New Roman"/>
                <w:b/>
                <w:sz w:val="24"/>
                <w:szCs w:val="24"/>
              </w:rPr>
              <w:t>（吨/日）</w:t>
            </w:r>
          </w:p>
        </w:tc>
      </w:tr>
      <w:tr w14:paraId="14FA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Align w:val="center"/>
          </w:tcPr>
          <w:p w14:paraId="4C72A62C">
            <w:pPr>
              <w:snapToGrid w:val="0"/>
              <w:spacing w:line="400" w:lineRule="exact"/>
              <w:jc w:val="center"/>
              <w:rPr>
                <w:rFonts w:cs="Times New Roman"/>
                <w:sz w:val="24"/>
                <w:szCs w:val="24"/>
              </w:rPr>
            </w:pPr>
            <w:r>
              <w:rPr>
                <w:rFonts w:cs="Times New Roman"/>
                <w:bCs/>
                <w:sz w:val="24"/>
                <w:szCs w:val="24"/>
              </w:rPr>
              <w:t>其他垃圾</w:t>
            </w:r>
          </w:p>
        </w:tc>
        <w:tc>
          <w:tcPr>
            <w:tcW w:w="768" w:type="pct"/>
            <w:vAlign w:val="center"/>
          </w:tcPr>
          <w:p w14:paraId="11B8DDB4">
            <w:pPr>
              <w:snapToGrid w:val="0"/>
              <w:spacing w:line="400" w:lineRule="exact"/>
              <w:jc w:val="center"/>
              <w:rPr>
                <w:rFonts w:cs="Times New Roman"/>
                <w:sz w:val="24"/>
                <w:szCs w:val="24"/>
              </w:rPr>
            </w:pPr>
            <w:r>
              <w:rPr>
                <w:rFonts w:cs="Times New Roman"/>
                <w:bCs/>
                <w:sz w:val="24"/>
                <w:szCs w:val="24"/>
              </w:rPr>
              <w:t>470</w:t>
            </w:r>
          </w:p>
        </w:tc>
        <w:tc>
          <w:tcPr>
            <w:tcW w:w="2307" w:type="pct"/>
            <w:vAlign w:val="center"/>
          </w:tcPr>
          <w:p w14:paraId="6197025B">
            <w:pPr>
              <w:snapToGrid w:val="0"/>
              <w:spacing w:line="400" w:lineRule="exact"/>
              <w:jc w:val="center"/>
              <w:rPr>
                <w:rFonts w:cs="Times New Roman"/>
                <w:sz w:val="24"/>
                <w:szCs w:val="24"/>
              </w:rPr>
            </w:pPr>
            <w:r>
              <w:rPr>
                <w:rFonts w:cs="Times New Roman"/>
                <w:bCs/>
                <w:sz w:val="24"/>
                <w:szCs w:val="24"/>
              </w:rPr>
              <w:t>江南焚烧厂</w:t>
            </w:r>
          </w:p>
        </w:tc>
        <w:tc>
          <w:tcPr>
            <w:tcW w:w="900" w:type="pct"/>
            <w:vAlign w:val="center"/>
          </w:tcPr>
          <w:p w14:paraId="2BAD992D">
            <w:pPr>
              <w:snapToGrid w:val="0"/>
              <w:spacing w:line="400" w:lineRule="exact"/>
              <w:jc w:val="center"/>
              <w:rPr>
                <w:rFonts w:cs="Times New Roman"/>
                <w:sz w:val="24"/>
                <w:szCs w:val="24"/>
              </w:rPr>
            </w:pPr>
            <w:r>
              <w:rPr>
                <w:rFonts w:cs="Times New Roman"/>
                <w:bCs/>
                <w:sz w:val="24"/>
                <w:szCs w:val="24"/>
              </w:rPr>
              <w:t>江南：4010</w:t>
            </w:r>
          </w:p>
        </w:tc>
      </w:tr>
      <w:tr w14:paraId="75B7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Align w:val="center"/>
          </w:tcPr>
          <w:p w14:paraId="09B65DD3">
            <w:pPr>
              <w:snapToGrid w:val="0"/>
              <w:spacing w:line="400" w:lineRule="exact"/>
              <w:jc w:val="center"/>
              <w:rPr>
                <w:rFonts w:cs="Times New Roman"/>
                <w:sz w:val="24"/>
                <w:szCs w:val="24"/>
              </w:rPr>
            </w:pPr>
            <w:r>
              <w:rPr>
                <w:rFonts w:cs="Times New Roman"/>
                <w:bCs/>
                <w:sz w:val="24"/>
                <w:szCs w:val="24"/>
              </w:rPr>
              <w:t>餐厨垃圾</w:t>
            </w:r>
          </w:p>
        </w:tc>
        <w:tc>
          <w:tcPr>
            <w:tcW w:w="768" w:type="pct"/>
            <w:vAlign w:val="center"/>
          </w:tcPr>
          <w:p w14:paraId="27B86CF3">
            <w:pPr>
              <w:snapToGrid w:val="0"/>
              <w:spacing w:line="400" w:lineRule="exact"/>
              <w:jc w:val="center"/>
              <w:rPr>
                <w:rFonts w:cs="Times New Roman"/>
                <w:sz w:val="24"/>
                <w:szCs w:val="24"/>
              </w:rPr>
            </w:pPr>
            <w:r>
              <w:rPr>
                <w:rFonts w:cs="Times New Roman"/>
                <w:bCs/>
                <w:sz w:val="24"/>
                <w:szCs w:val="24"/>
              </w:rPr>
              <w:t>103</w:t>
            </w:r>
          </w:p>
        </w:tc>
        <w:tc>
          <w:tcPr>
            <w:tcW w:w="2307" w:type="pct"/>
            <w:vAlign w:val="center"/>
          </w:tcPr>
          <w:p w14:paraId="538C8B8A">
            <w:pPr>
              <w:snapToGrid w:val="0"/>
              <w:spacing w:line="300" w:lineRule="exact"/>
              <w:jc w:val="center"/>
              <w:rPr>
                <w:rFonts w:cs="Times New Roman"/>
                <w:sz w:val="24"/>
                <w:szCs w:val="24"/>
              </w:rPr>
            </w:pPr>
            <w:r>
              <w:rPr>
                <w:rFonts w:cs="Times New Roman"/>
                <w:bCs/>
                <w:sz w:val="24"/>
                <w:szCs w:val="24"/>
              </w:rPr>
              <w:t>江北餐厨处置中心、万客隆科技有限公司、区餐厨处置设施</w:t>
            </w:r>
          </w:p>
        </w:tc>
        <w:tc>
          <w:tcPr>
            <w:tcW w:w="900" w:type="pct"/>
            <w:vAlign w:val="center"/>
          </w:tcPr>
          <w:p w14:paraId="4D2313EA">
            <w:pPr>
              <w:pStyle w:val="47"/>
              <w:snapToGrid w:val="0"/>
              <w:spacing w:line="300" w:lineRule="exact"/>
              <w:jc w:val="center"/>
              <w:rPr>
                <w:rFonts w:cs="Times New Roman"/>
                <w:bCs/>
                <w:sz w:val="24"/>
                <w:szCs w:val="24"/>
              </w:rPr>
            </w:pPr>
            <w:r>
              <w:rPr>
                <w:rFonts w:cs="Times New Roman"/>
                <w:bCs/>
                <w:sz w:val="24"/>
                <w:szCs w:val="24"/>
              </w:rPr>
              <w:t>江北：400</w:t>
            </w:r>
          </w:p>
          <w:p w14:paraId="1DEB52DE">
            <w:pPr>
              <w:pStyle w:val="47"/>
              <w:snapToGrid w:val="0"/>
              <w:spacing w:line="300" w:lineRule="exact"/>
              <w:jc w:val="center"/>
              <w:rPr>
                <w:rFonts w:cs="Times New Roman"/>
                <w:bCs/>
                <w:sz w:val="24"/>
                <w:szCs w:val="24"/>
              </w:rPr>
            </w:pPr>
            <w:r>
              <w:rPr>
                <w:rFonts w:cs="Times New Roman"/>
                <w:bCs/>
                <w:sz w:val="24"/>
                <w:szCs w:val="24"/>
              </w:rPr>
              <w:t>万客隆：25</w:t>
            </w:r>
          </w:p>
          <w:p w14:paraId="5DFEE213">
            <w:pPr>
              <w:snapToGrid w:val="0"/>
              <w:spacing w:line="300" w:lineRule="exact"/>
              <w:jc w:val="center"/>
              <w:rPr>
                <w:rFonts w:cs="Times New Roman"/>
                <w:sz w:val="24"/>
                <w:szCs w:val="24"/>
              </w:rPr>
            </w:pPr>
            <w:r>
              <w:rPr>
                <w:rFonts w:cs="Times New Roman"/>
                <w:bCs/>
                <w:sz w:val="24"/>
                <w:szCs w:val="24"/>
              </w:rPr>
              <w:t>区属：23.7</w:t>
            </w:r>
          </w:p>
        </w:tc>
      </w:tr>
      <w:tr w14:paraId="1E17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Align w:val="center"/>
          </w:tcPr>
          <w:p w14:paraId="08CC5EFD">
            <w:pPr>
              <w:snapToGrid w:val="0"/>
              <w:spacing w:line="400" w:lineRule="exact"/>
              <w:jc w:val="center"/>
              <w:rPr>
                <w:rFonts w:cs="Times New Roman"/>
                <w:sz w:val="24"/>
                <w:szCs w:val="24"/>
              </w:rPr>
            </w:pPr>
            <w:r>
              <w:rPr>
                <w:rFonts w:cs="Times New Roman"/>
                <w:bCs/>
                <w:sz w:val="24"/>
                <w:szCs w:val="24"/>
              </w:rPr>
              <w:t>厨余垃圾</w:t>
            </w:r>
          </w:p>
        </w:tc>
        <w:tc>
          <w:tcPr>
            <w:tcW w:w="768" w:type="pct"/>
            <w:vAlign w:val="center"/>
          </w:tcPr>
          <w:p w14:paraId="2508D80A">
            <w:pPr>
              <w:snapToGrid w:val="0"/>
              <w:spacing w:line="400" w:lineRule="exact"/>
              <w:jc w:val="center"/>
              <w:rPr>
                <w:rFonts w:cs="Times New Roman"/>
                <w:sz w:val="24"/>
                <w:szCs w:val="24"/>
              </w:rPr>
            </w:pPr>
            <w:r>
              <w:rPr>
                <w:rFonts w:cs="Times New Roman"/>
                <w:bCs/>
                <w:sz w:val="24"/>
                <w:szCs w:val="24"/>
              </w:rPr>
              <w:t>74</w:t>
            </w:r>
          </w:p>
        </w:tc>
        <w:tc>
          <w:tcPr>
            <w:tcW w:w="2307" w:type="pct"/>
            <w:vAlign w:val="center"/>
          </w:tcPr>
          <w:p w14:paraId="258221EC">
            <w:pPr>
              <w:snapToGrid w:val="0"/>
              <w:spacing w:line="300" w:lineRule="exact"/>
              <w:jc w:val="center"/>
              <w:rPr>
                <w:rFonts w:cs="Times New Roman"/>
                <w:sz w:val="24"/>
                <w:szCs w:val="24"/>
              </w:rPr>
            </w:pPr>
            <w:r>
              <w:rPr>
                <w:rFonts w:cs="Times New Roman"/>
                <w:bCs/>
                <w:sz w:val="24"/>
                <w:szCs w:val="24"/>
              </w:rPr>
              <w:t>江南焚烧厂、城南转运站</w:t>
            </w:r>
          </w:p>
        </w:tc>
        <w:tc>
          <w:tcPr>
            <w:tcW w:w="900" w:type="pct"/>
            <w:vAlign w:val="center"/>
          </w:tcPr>
          <w:p w14:paraId="69F05714">
            <w:pPr>
              <w:pStyle w:val="47"/>
              <w:snapToGrid w:val="0"/>
              <w:spacing w:line="300" w:lineRule="exact"/>
              <w:jc w:val="center"/>
              <w:rPr>
                <w:rFonts w:cs="Times New Roman"/>
                <w:bCs/>
                <w:sz w:val="24"/>
                <w:szCs w:val="24"/>
              </w:rPr>
            </w:pPr>
            <w:r>
              <w:rPr>
                <w:rFonts w:cs="Times New Roman"/>
                <w:bCs/>
                <w:sz w:val="24"/>
                <w:szCs w:val="24"/>
              </w:rPr>
              <w:t>江南：500</w:t>
            </w:r>
          </w:p>
          <w:p w14:paraId="755431E0">
            <w:pPr>
              <w:snapToGrid w:val="0"/>
              <w:spacing w:line="300" w:lineRule="exact"/>
              <w:jc w:val="center"/>
              <w:rPr>
                <w:rFonts w:cs="Times New Roman"/>
                <w:sz w:val="24"/>
                <w:szCs w:val="24"/>
              </w:rPr>
            </w:pPr>
            <w:r>
              <w:rPr>
                <w:rStyle w:val="45"/>
                <w:rFonts w:cs="Times New Roman"/>
                <w:b w:val="0"/>
                <w:bCs/>
                <w:szCs w:val="24"/>
              </w:rPr>
              <w:t>城南：300</w:t>
            </w:r>
          </w:p>
        </w:tc>
      </w:tr>
      <w:tr w14:paraId="01A5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Align w:val="center"/>
          </w:tcPr>
          <w:p w14:paraId="327A0736">
            <w:pPr>
              <w:snapToGrid w:val="0"/>
              <w:spacing w:line="400" w:lineRule="exact"/>
              <w:jc w:val="center"/>
              <w:rPr>
                <w:rFonts w:cs="Times New Roman"/>
                <w:sz w:val="24"/>
                <w:szCs w:val="24"/>
              </w:rPr>
            </w:pPr>
            <w:r>
              <w:rPr>
                <w:rFonts w:cs="Times New Roman"/>
                <w:bCs/>
                <w:sz w:val="24"/>
                <w:szCs w:val="24"/>
              </w:rPr>
              <w:t>可回收物</w:t>
            </w:r>
          </w:p>
        </w:tc>
        <w:tc>
          <w:tcPr>
            <w:tcW w:w="768" w:type="pct"/>
            <w:vAlign w:val="center"/>
          </w:tcPr>
          <w:p w14:paraId="78CD10C7">
            <w:pPr>
              <w:snapToGrid w:val="0"/>
              <w:spacing w:line="400" w:lineRule="exact"/>
              <w:jc w:val="center"/>
              <w:rPr>
                <w:rFonts w:cs="Times New Roman"/>
                <w:sz w:val="24"/>
                <w:szCs w:val="24"/>
              </w:rPr>
            </w:pPr>
            <w:r>
              <w:rPr>
                <w:rFonts w:cs="Times New Roman"/>
                <w:bCs/>
                <w:sz w:val="24"/>
                <w:szCs w:val="24"/>
              </w:rPr>
              <w:t>97</w:t>
            </w:r>
          </w:p>
        </w:tc>
        <w:tc>
          <w:tcPr>
            <w:tcW w:w="2307" w:type="pct"/>
            <w:vAlign w:val="center"/>
          </w:tcPr>
          <w:p w14:paraId="72610F24">
            <w:pPr>
              <w:snapToGrid w:val="0"/>
              <w:spacing w:line="400" w:lineRule="exact"/>
              <w:jc w:val="center"/>
              <w:rPr>
                <w:rFonts w:cs="Times New Roman"/>
                <w:sz w:val="24"/>
                <w:szCs w:val="24"/>
              </w:rPr>
            </w:pPr>
            <w:r>
              <w:rPr>
                <w:rFonts w:cs="Times New Roman"/>
                <w:bCs/>
                <w:sz w:val="24"/>
                <w:szCs w:val="24"/>
              </w:rPr>
              <w:t>再生资源回收企业</w:t>
            </w:r>
          </w:p>
        </w:tc>
        <w:tc>
          <w:tcPr>
            <w:tcW w:w="900" w:type="pct"/>
            <w:vAlign w:val="center"/>
          </w:tcPr>
          <w:p w14:paraId="0A8F9ED9">
            <w:pPr>
              <w:snapToGrid w:val="0"/>
              <w:spacing w:line="400" w:lineRule="exact"/>
              <w:jc w:val="center"/>
              <w:rPr>
                <w:rFonts w:cs="Times New Roman"/>
                <w:sz w:val="24"/>
                <w:szCs w:val="24"/>
              </w:rPr>
            </w:pPr>
            <w:r>
              <w:rPr>
                <w:rFonts w:cs="Times New Roman"/>
                <w:sz w:val="24"/>
                <w:szCs w:val="24"/>
              </w:rPr>
              <w:t>-</w:t>
            </w:r>
          </w:p>
        </w:tc>
      </w:tr>
      <w:tr w14:paraId="09B3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Align w:val="center"/>
          </w:tcPr>
          <w:p w14:paraId="10F67E23">
            <w:pPr>
              <w:snapToGrid w:val="0"/>
              <w:spacing w:line="400" w:lineRule="exact"/>
              <w:jc w:val="center"/>
              <w:rPr>
                <w:rFonts w:cs="Times New Roman"/>
                <w:sz w:val="24"/>
                <w:szCs w:val="24"/>
              </w:rPr>
            </w:pPr>
            <w:r>
              <w:rPr>
                <w:rFonts w:cs="Times New Roman"/>
                <w:bCs/>
                <w:sz w:val="24"/>
                <w:szCs w:val="24"/>
              </w:rPr>
              <w:t>有害垃圾</w:t>
            </w:r>
          </w:p>
        </w:tc>
        <w:tc>
          <w:tcPr>
            <w:tcW w:w="768" w:type="pct"/>
            <w:vAlign w:val="center"/>
          </w:tcPr>
          <w:p w14:paraId="57A60365">
            <w:pPr>
              <w:snapToGrid w:val="0"/>
              <w:spacing w:line="400" w:lineRule="exact"/>
              <w:jc w:val="center"/>
              <w:rPr>
                <w:rFonts w:cs="Times New Roman"/>
                <w:sz w:val="24"/>
                <w:szCs w:val="24"/>
              </w:rPr>
            </w:pPr>
            <w:r>
              <w:rPr>
                <w:rFonts w:cs="Times New Roman"/>
                <w:bCs/>
                <w:sz w:val="24"/>
                <w:szCs w:val="24"/>
              </w:rPr>
              <w:t>2.24吨</w:t>
            </w:r>
          </w:p>
        </w:tc>
        <w:tc>
          <w:tcPr>
            <w:tcW w:w="2307" w:type="pct"/>
            <w:vAlign w:val="center"/>
          </w:tcPr>
          <w:p w14:paraId="1CB81F68">
            <w:pPr>
              <w:snapToGrid w:val="0"/>
              <w:spacing w:line="400" w:lineRule="exact"/>
              <w:jc w:val="center"/>
              <w:rPr>
                <w:rFonts w:cs="Times New Roman"/>
                <w:sz w:val="24"/>
                <w:szCs w:val="24"/>
              </w:rPr>
            </w:pPr>
            <w:r>
              <w:rPr>
                <w:rFonts w:cs="Times New Roman"/>
                <w:bCs/>
                <w:sz w:val="24"/>
                <w:szCs w:val="24"/>
              </w:rPr>
              <w:t>危废处置企业</w:t>
            </w:r>
          </w:p>
        </w:tc>
        <w:tc>
          <w:tcPr>
            <w:tcW w:w="900" w:type="pct"/>
            <w:vAlign w:val="center"/>
          </w:tcPr>
          <w:p w14:paraId="1396D859">
            <w:pPr>
              <w:snapToGrid w:val="0"/>
              <w:spacing w:line="400" w:lineRule="exact"/>
              <w:jc w:val="center"/>
              <w:rPr>
                <w:rFonts w:cs="Times New Roman"/>
                <w:sz w:val="24"/>
                <w:szCs w:val="24"/>
              </w:rPr>
            </w:pPr>
            <w:r>
              <w:rPr>
                <w:rFonts w:cs="Times New Roman"/>
                <w:sz w:val="24"/>
                <w:szCs w:val="24"/>
              </w:rPr>
              <w:t>-</w:t>
            </w:r>
          </w:p>
        </w:tc>
      </w:tr>
    </w:tbl>
    <w:p w14:paraId="45ECCE23">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（二）</w:t>
      </w:r>
      <w:r>
        <w:rPr>
          <w:rFonts w:ascii="方正楷体_GBK" w:eastAsia="方正楷体_GBK" w:cs="Times New Roman"/>
          <w:b/>
          <w:bCs/>
          <w:szCs w:val="28"/>
        </w:rPr>
        <w:t>管理现状</w:t>
      </w:r>
    </w:p>
    <w:p w14:paraId="3BC53145">
      <w:pPr>
        <w:ind w:firstLine="640" w:firstLineChars="200"/>
        <w:rPr>
          <w:rFonts w:cs="Times New Roman"/>
        </w:rPr>
      </w:pPr>
      <w:r>
        <w:rPr>
          <w:rFonts w:cs="Times New Roman"/>
        </w:rPr>
        <w:t>玄武区高度重视生活垃圾分类工作，多次组织相关部门、街道（园区）研究落实上级关于垃圾分类工作的指示精神和各项要求。</w:t>
      </w:r>
      <w:r>
        <w:rPr>
          <w:rFonts w:cs="Times New Roman"/>
          <w:b/>
          <w:bCs/>
        </w:rPr>
        <w:t>一是加强组织领导，健全工作机制。</w:t>
      </w:r>
      <w:r>
        <w:rPr>
          <w:rFonts w:cs="Times New Roman"/>
        </w:rPr>
        <w:t>制定下发了《玄武区全面推进生活垃圾强制分类工作方案》《玄武区垃圾分类工作管理考核办法》等相关文件，成立玄武区垃圾分类工作领导小组，健全完善区、部门、街道垃圾分类组织架构，成立工作专班。</w:t>
      </w:r>
      <w:r>
        <w:rPr>
          <w:rFonts w:cs="Times New Roman"/>
          <w:b/>
          <w:bCs/>
        </w:rPr>
        <w:t>二是加强宣传发动，营造浓厚氛围。</w:t>
      </w:r>
      <w:r>
        <w:rPr>
          <w:rFonts w:cs="Times New Roman"/>
        </w:rPr>
        <w:t>充分利用宣传展板、宣传册、电子显示屏、微信、微博</w:t>
      </w:r>
      <w:r>
        <w:rPr>
          <w:rFonts w:hint="eastAsia" w:cs="Times New Roman"/>
        </w:rPr>
        <w:t>、</w:t>
      </w:r>
      <w:r>
        <w:rPr>
          <w:rFonts w:cs="Times New Roman"/>
        </w:rPr>
        <w:t>入户宣传等方式，多渠道立体式开展宣传，普及垃圾分类知识，组织开展</w:t>
      </w:r>
      <w:r>
        <w:rPr>
          <w:rFonts w:hint="eastAsia" w:cs="Times New Roman"/>
        </w:rPr>
        <w:t>“</w:t>
      </w:r>
      <w:r>
        <w:rPr>
          <w:rFonts w:cs="Times New Roman"/>
        </w:rPr>
        <w:t>最美垃圾分类志愿者、指导员</w:t>
      </w:r>
      <w:r>
        <w:rPr>
          <w:rFonts w:hint="eastAsia" w:cs="Times New Roman"/>
        </w:rPr>
        <w:t>”</w:t>
      </w:r>
      <w:r>
        <w:rPr>
          <w:rFonts w:cs="Times New Roman"/>
        </w:rPr>
        <w:t>评选活动、</w:t>
      </w:r>
      <w:r>
        <w:rPr>
          <w:rFonts w:hint="eastAsia" w:cs="Times New Roman"/>
        </w:rPr>
        <w:t>“</w:t>
      </w:r>
      <w:r>
        <w:rPr>
          <w:rFonts w:cs="Times New Roman"/>
        </w:rPr>
        <w:t>垃圾分类新闻发布会</w:t>
      </w:r>
      <w:r>
        <w:rPr>
          <w:rFonts w:hint="eastAsia" w:cs="Times New Roman"/>
        </w:rPr>
        <w:t>”</w:t>
      </w:r>
      <w:r>
        <w:rPr>
          <w:rFonts w:cs="Times New Roman"/>
        </w:rPr>
        <w:t>，区、街道组织开展</w:t>
      </w:r>
      <w:r>
        <w:rPr>
          <w:rFonts w:hint="eastAsia" w:cs="Times New Roman"/>
        </w:rPr>
        <w:t>“</w:t>
      </w:r>
      <w:r>
        <w:rPr>
          <w:rFonts w:cs="Times New Roman"/>
        </w:rPr>
        <w:t>跟着垃圾去旅行</w:t>
      </w:r>
      <w:r>
        <w:rPr>
          <w:rFonts w:hint="eastAsia" w:cs="Times New Roman"/>
        </w:rPr>
        <w:t>”“</w:t>
      </w:r>
      <w:r>
        <w:rPr>
          <w:rFonts w:cs="Times New Roman"/>
        </w:rPr>
        <w:t>垃圾分类志愿者</w:t>
      </w:r>
      <w:r>
        <w:rPr>
          <w:rFonts w:hint="eastAsia" w:cs="Times New Roman"/>
        </w:rPr>
        <w:t>”</w:t>
      </w:r>
      <w:r>
        <w:rPr>
          <w:rFonts w:cs="Times New Roman"/>
        </w:rPr>
        <w:t>活动。</w:t>
      </w:r>
      <w:r>
        <w:rPr>
          <w:rFonts w:cs="Times New Roman"/>
          <w:b/>
          <w:bCs/>
        </w:rPr>
        <w:t>三是健全收运体系，开展分类收运。</w:t>
      </w:r>
      <w:r>
        <w:rPr>
          <w:rFonts w:cs="Times New Roman"/>
        </w:rPr>
        <w:t>按照</w:t>
      </w:r>
      <w:r>
        <w:rPr>
          <w:rFonts w:hint="eastAsia" w:cs="Times New Roman"/>
        </w:rPr>
        <w:t>“</w:t>
      </w:r>
      <w:r>
        <w:rPr>
          <w:rFonts w:cs="Times New Roman"/>
        </w:rPr>
        <w:t>不同车辆、不同要求、不同去向</w:t>
      </w:r>
      <w:r>
        <w:rPr>
          <w:rFonts w:hint="eastAsia" w:cs="Times New Roman"/>
        </w:rPr>
        <w:t>”</w:t>
      </w:r>
      <w:r>
        <w:rPr>
          <w:rFonts w:cs="Times New Roman"/>
        </w:rPr>
        <w:t>要求，开展分类收运。通过</w:t>
      </w:r>
      <w:r>
        <w:rPr>
          <w:rFonts w:hint="eastAsia" w:cs="Times New Roman"/>
        </w:rPr>
        <w:t>“</w:t>
      </w:r>
      <w:r>
        <w:rPr>
          <w:rFonts w:cs="Times New Roman"/>
        </w:rPr>
        <w:t>车车对接</w:t>
      </w:r>
      <w:r>
        <w:rPr>
          <w:rFonts w:hint="eastAsia" w:cs="Times New Roman"/>
        </w:rPr>
        <w:t>”</w:t>
      </w:r>
      <w:r>
        <w:rPr>
          <w:rFonts w:cs="Times New Roman"/>
        </w:rPr>
        <w:t>方式改进优化中转站其他垃圾中转模式，进一步减少中转站其他垃圾暂存时间和暂存量，减少其他垃圾暂存</w:t>
      </w:r>
      <w:r>
        <w:rPr>
          <w:rFonts w:hint="eastAsia" w:cs="Times New Roman"/>
        </w:rPr>
        <w:t>产生</w:t>
      </w:r>
      <w:r>
        <w:rPr>
          <w:rFonts w:cs="Times New Roman"/>
        </w:rPr>
        <w:t>的异味。</w:t>
      </w:r>
      <w:r>
        <w:rPr>
          <w:rFonts w:cs="Times New Roman"/>
          <w:b/>
          <w:bCs/>
        </w:rPr>
        <w:t>四是加强长效管理，推动质效提升。</w:t>
      </w:r>
      <w:r>
        <w:rPr>
          <w:rFonts w:cs="Times New Roman"/>
        </w:rPr>
        <w:t>在城市管理长效考核中设立垃圾分类专项考核项目，每周必查，综合排名，每月通报。区行政执法大队成立环卫专项执法中队，与</w:t>
      </w:r>
      <w:r>
        <w:rPr>
          <w:rFonts w:hint="eastAsia" w:cs="Times New Roman"/>
        </w:rPr>
        <w:t>区</w:t>
      </w:r>
      <w:r>
        <w:rPr>
          <w:rFonts w:cs="Times New Roman"/>
        </w:rPr>
        <w:t>城管局环卫科联合办公，对物业小区、社会单位开展常态化专项检查，建设区级垃圾分类信息平台，加强垃圾分类管理。</w:t>
      </w:r>
    </w:p>
    <w:p w14:paraId="43943C3D">
      <w:pPr>
        <w:spacing w:line="240" w:lineRule="auto"/>
        <w:jc w:val="center"/>
        <w:rPr>
          <w:rFonts w:cs="Times New Roman"/>
        </w:rPr>
      </w:pPr>
      <w:r>
        <w:rPr>
          <w:rFonts w:cs="Times New Roman"/>
        </w:rPr>
        <w:object>
          <v:shape id="_x0000_i1025" o:spt="75" type="#_x0000_t75" style="height:181.5pt;width:417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2C470642">
      <w:pPr>
        <w:pStyle w:val="36"/>
        <w:numPr>
          <w:ilvl w:val="0"/>
          <w:numId w:val="11"/>
        </w:numPr>
        <w:ind w:firstLineChars="0"/>
        <w:jc w:val="center"/>
        <w:rPr>
          <w:rFonts w:cs="Times New Roman"/>
          <w:b/>
          <w:bCs/>
          <w:sz w:val="24"/>
          <w:szCs w:val="24"/>
        </w:rPr>
      </w:pPr>
      <w:r>
        <w:rPr>
          <w:rStyle w:val="124"/>
          <w:rFonts w:cs="Times New Roman"/>
          <w:szCs w:val="24"/>
        </w:rPr>
        <w:t>玄武区</w:t>
      </w:r>
      <w:r>
        <w:rPr>
          <w:rFonts w:cs="Times New Roman"/>
          <w:b/>
          <w:bCs/>
          <w:sz w:val="24"/>
          <w:szCs w:val="24"/>
        </w:rPr>
        <w:t>生活垃圾流向图</w:t>
      </w:r>
    </w:p>
    <w:p w14:paraId="0BD52A17">
      <w:pPr>
        <w:pStyle w:val="4"/>
        <w:ind w:firstLine="640"/>
        <w:rPr>
          <w:rFonts w:ascii="方正黑体_GBK" w:cs="Times New Roman"/>
          <w:szCs w:val="28"/>
        </w:rPr>
      </w:pPr>
      <w:bookmarkStart w:id="70" w:name="_Toc129882920"/>
      <w:r>
        <w:rPr>
          <w:rFonts w:hint="eastAsia" w:ascii="方正黑体_GBK" w:cs="Times New Roman"/>
          <w:szCs w:val="28"/>
        </w:rPr>
        <w:t>三、建筑垃圾</w:t>
      </w:r>
      <w:bookmarkEnd w:id="70"/>
    </w:p>
    <w:p w14:paraId="733A3F3F">
      <w:pPr>
        <w:ind w:firstLine="643" w:firstLineChars="200"/>
        <w:rPr>
          <w:rFonts w:cs="Times New Roman"/>
        </w:rPr>
      </w:pPr>
      <w:r>
        <w:rPr>
          <w:rFonts w:cs="Times New Roman"/>
          <w:b/>
          <w:bCs/>
        </w:rPr>
        <w:t>拆除垃圾资源化利用管理工作有待加强。</w:t>
      </w:r>
      <w:r>
        <w:rPr>
          <w:rFonts w:cs="Times New Roman"/>
        </w:rPr>
        <w:t>玄武区拆除垃圾</w:t>
      </w:r>
      <w:r>
        <w:rPr>
          <w:rFonts w:hint="eastAsia" w:cs="Times New Roman"/>
        </w:rPr>
        <w:t>主要</w:t>
      </w:r>
      <w:r>
        <w:rPr>
          <w:rFonts w:cs="Times New Roman"/>
        </w:rPr>
        <w:t>由征收项目工地产生，2021年区内拆除垃圾产生量约为1.59万吨，另有部分拆除垃圾根据施工方要求进行就地覆盖。区内拆除垃圾由专业运输单位送往建筑垃圾资源化利用</w:t>
      </w:r>
      <w:r>
        <w:rPr>
          <w:rFonts w:hint="eastAsia" w:cs="Times New Roman"/>
          <w:lang w:eastAsia="zh-CN"/>
        </w:rPr>
        <w:t>有资质</w:t>
      </w:r>
      <w:r>
        <w:rPr>
          <w:rFonts w:cs="Times New Roman"/>
        </w:rPr>
        <w:t>单位进行利用处置，主要用于生产再生骨料、</w:t>
      </w:r>
      <w:bookmarkStart w:id="261" w:name="_GoBack"/>
      <w:bookmarkEnd w:id="261"/>
      <w:r>
        <w:rPr>
          <w:rFonts w:cs="Times New Roman"/>
        </w:rPr>
        <w:t>铺地材料等。</w:t>
      </w:r>
    </w:p>
    <w:p w14:paraId="53D768DC">
      <w:pPr>
        <w:ind w:firstLine="643" w:firstLineChars="200"/>
        <w:rPr>
          <w:rFonts w:cs="Times New Roman"/>
        </w:rPr>
      </w:pPr>
      <w:r>
        <w:rPr>
          <w:rFonts w:cs="Times New Roman"/>
          <w:b/>
          <w:bCs/>
        </w:rPr>
        <w:t>装修垃圾、工程渣土、工程泥浆管理有待进一步完善。</w:t>
      </w:r>
      <w:r>
        <w:rPr>
          <w:rFonts w:cs="Times New Roman"/>
        </w:rPr>
        <w:t>区内装修垃圾主要来源于精装修工程施工工地和小区居民</w:t>
      </w:r>
      <w:r>
        <w:rPr>
          <w:rFonts w:hint="eastAsia" w:cs="Times New Roman"/>
        </w:rPr>
        <w:t>家庭</w:t>
      </w:r>
      <w:r>
        <w:rPr>
          <w:rFonts w:cs="Times New Roman"/>
        </w:rPr>
        <w:t>装修，具有源头多、成分杂</w:t>
      </w:r>
      <w:r>
        <w:rPr>
          <w:rFonts w:hint="eastAsia" w:cs="Times New Roman"/>
        </w:rPr>
        <w:t>、</w:t>
      </w:r>
      <w:r>
        <w:rPr>
          <w:rFonts w:cs="Times New Roman"/>
        </w:rPr>
        <w:t>利用附加值低的特点；工程渣土主要依靠市内回填项目消纳，消纳方式主要为顶板回填、交通道路、环境治理、复垦复绿等；工程泥浆多采用现场干化技术，脱水后的泥饼可现场回填或作为渣土外运。</w:t>
      </w:r>
    </w:p>
    <w:p w14:paraId="20111E96">
      <w:pPr>
        <w:ind w:firstLine="643" w:firstLineChars="200"/>
        <w:rPr>
          <w:rFonts w:cs="Times New Roman"/>
        </w:rPr>
      </w:pPr>
      <w:r>
        <w:rPr>
          <w:rFonts w:cs="Times New Roman"/>
          <w:b/>
          <w:bCs/>
        </w:rPr>
        <w:t>建筑垃圾收运体系较为完善。</w:t>
      </w:r>
      <w:r>
        <w:rPr>
          <w:rFonts w:cs="Times New Roman"/>
        </w:rPr>
        <w:t>玄武区拆建垃圾采取拆迁和处置捆绑招标的方式进行全链条化处理，装修垃圾多为居民电话预约，收运人员上门拆除、打包装车、清扫现场，收运至属地街道</w:t>
      </w:r>
      <w:r>
        <w:rPr>
          <w:rFonts w:hint="eastAsia" w:cs="Times New Roman"/>
        </w:rPr>
        <w:t>建筑</w:t>
      </w:r>
      <w:r>
        <w:rPr>
          <w:rFonts w:cs="Times New Roman"/>
        </w:rPr>
        <w:t>垃圾暂存点，经分拣后运送至不同终端处理。建筑垃圾采用五小工程车辆进行运输，运输车辆安装有密闭装置、GPS行车记录仪及监控设备，运输前</w:t>
      </w:r>
      <w:r>
        <w:rPr>
          <w:rFonts w:hint="eastAsia" w:cs="Times New Roman"/>
        </w:rPr>
        <w:t>需</w:t>
      </w:r>
      <w:r>
        <w:rPr>
          <w:rFonts w:cs="Times New Roman"/>
        </w:rPr>
        <w:t>到城管和交管部门办理处置核准和准运证，并按照规定的时间</w:t>
      </w:r>
      <w:r>
        <w:rPr>
          <w:rFonts w:hint="eastAsia" w:cs="Times New Roman"/>
        </w:rPr>
        <w:t>、</w:t>
      </w:r>
      <w:r>
        <w:rPr>
          <w:rFonts w:cs="Times New Roman"/>
        </w:rPr>
        <w:t>路线进行运输，确保垃圾运送至指定场所。</w:t>
      </w:r>
    </w:p>
    <w:p w14:paraId="568D683F">
      <w:pPr>
        <w:spacing w:line="240" w:lineRule="auto"/>
        <w:jc w:val="center"/>
        <w:rPr>
          <w:rFonts w:cs="Times New Roman"/>
        </w:rPr>
      </w:pPr>
      <w:r>
        <w:rPr>
          <w:rFonts w:cs="Times New Roman"/>
        </w:rPr>
        <w:object>
          <v:shape id="_x0000_i1026" o:spt="75" type="#_x0000_t75" style="height:237pt;width:416.25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14:paraId="1F724809">
      <w:pPr>
        <w:pStyle w:val="122"/>
        <w:numPr>
          <w:ilvl w:val="0"/>
          <w:numId w:val="13"/>
        </w:numPr>
        <w:spacing w:afterLines="0" w:line="560" w:lineRule="exact"/>
        <w:rPr>
          <w:rFonts w:cs="Times New Roman"/>
        </w:rPr>
      </w:pPr>
      <w:r>
        <w:rPr>
          <w:rFonts w:cs="Times New Roman"/>
        </w:rPr>
        <w:t>玄武区建筑垃圾流向图</w:t>
      </w:r>
    </w:p>
    <w:p w14:paraId="71DBD950">
      <w:pPr>
        <w:pStyle w:val="4"/>
        <w:ind w:firstLine="640"/>
        <w:rPr>
          <w:rFonts w:ascii="方正黑体_GBK" w:cs="Times New Roman"/>
          <w:szCs w:val="28"/>
        </w:rPr>
      </w:pPr>
      <w:bookmarkStart w:id="71" w:name="_Toc129882921"/>
      <w:r>
        <w:rPr>
          <w:rFonts w:hint="eastAsia" w:ascii="方正黑体_GBK" w:cs="Times New Roman"/>
          <w:szCs w:val="28"/>
        </w:rPr>
        <w:t>四、危险废物</w:t>
      </w:r>
      <w:bookmarkEnd w:id="71"/>
    </w:p>
    <w:p w14:paraId="7A6298D1">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（一）</w:t>
      </w:r>
      <w:r>
        <w:rPr>
          <w:rFonts w:ascii="方正楷体_GBK" w:eastAsia="方正楷体_GBK" w:cs="Times New Roman"/>
          <w:b/>
          <w:bCs/>
          <w:szCs w:val="28"/>
        </w:rPr>
        <w:t>工业危险废物</w:t>
      </w:r>
    </w:p>
    <w:p w14:paraId="3D72EBE1">
      <w:pPr>
        <w:ind w:firstLine="643" w:firstLineChars="200"/>
        <w:rPr>
          <w:rFonts w:cs="Times New Roman"/>
        </w:rPr>
      </w:pPr>
      <w:r>
        <w:rPr>
          <w:rFonts w:cs="Times New Roman"/>
          <w:b/>
          <w:bCs/>
        </w:rPr>
        <w:t>产生量小，以HW49其他废物为主。</w:t>
      </w:r>
      <w:r>
        <w:rPr>
          <w:rFonts w:cs="Times New Roman"/>
        </w:rPr>
        <w:t>玄武区工业企业少，2021年工业源危险废物产生量为27.23吨，产生强度为0.0003吨/万元，共产生4种工业危险废物，其中，HW49其他废物产生量为19.44吨，占比约71%，HW08废矿物油与含矿物油废物产生量为5.68吨，占比约21%，另外HW16感光材料废物和HW12燃料、涂料废物产生量占比约8%。</w:t>
      </w:r>
    </w:p>
    <w:p w14:paraId="0B226D31">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（二）</w:t>
      </w:r>
      <w:r>
        <w:rPr>
          <w:rFonts w:ascii="方正楷体_GBK" w:eastAsia="方正楷体_GBK" w:cs="Times New Roman"/>
          <w:b/>
          <w:bCs/>
          <w:szCs w:val="28"/>
        </w:rPr>
        <w:t>社会源危险废物</w:t>
      </w:r>
    </w:p>
    <w:p w14:paraId="7A2D9CED">
      <w:pPr>
        <w:ind w:firstLine="643" w:firstLineChars="200"/>
        <w:rPr>
          <w:rFonts w:cs="Times New Roman"/>
        </w:rPr>
      </w:pPr>
      <w:r>
        <w:rPr>
          <w:rFonts w:cs="Times New Roman"/>
          <w:b/>
          <w:bCs/>
        </w:rPr>
        <w:t>主要产废类型为HW49其他废物和HW08废矿物油与含矿物油废物。</w:t>
      </w:r>
      <w:r>
        <w:rPr>
          <w:rFonts w:cs="Times New Roman"/>
        </w:rPr>
        <w:t>2021年玄武区社会源危险废物的总产生量1455.37吨。HW49其他废物产生量972.35吨，占比约67%，主要来源于教育行业，以高校为主；HW08废矿物油与含矿物油废物239.17吨，占比约16%，主要来源于居民服务、修理和其他服务业。HW03废药物、药品101.19吨，HW06废有机溶剂与含有机溶剂废物75.38吨，HW31含铅废物54.88吨，其他危险废物12.4吨。</w:t>
      </w:r>
    </w:p>
    <w:p w14:paraId="204F4BE9">
      <w:pPr>
        <w:ind w:firstLine="643" w:firstLineChars="200"/>
        <w:rPr>
          <w:rFonts w:cs="Times New Roman"/>
        </w:rPr>
      </w:pPr>
      <w:r>
        <w:rPr>
          <w:rFonts w:cs="Times New Roman"/>
          <w:b/>
          <w:bCs/>
        </w:rPr>
        <w:t>产废行业以教育、研发行业为主。</w:t>
      </w:r>
      <w:r>
        <w:rPr>
          <w:rFonts w:cs="Times New Roman"/>
        </w:rPr>
        <w:t>玄武区社会源危险废物主要来自教育、研发行业</w:t>
      </w:r>
      <w:r>
        <w:rPr>
          <w:rFonts w:hint="eastAsia" w:cs="Times New Roman"/>
        </w:rPr>
        <w:t>，</w:t>
      </w:r>
      <w:r>
        <w:rPr>
          <w:rFonts w:cs="Times New Roman"/>
        </w:rPr>
        <w:t>占比62%</w:t>
      </w:r>
      <w:r>
        <w:rPr>
          <w:rFonts w:hint="eastAsia" w:cs="Times New Roman"/>
        </w:rPr>
        <w:t>，</w:t>
      </w:r>
      <w:r>
        <w:rPr>
          <w:rFonts w:cs="Times New Roman"/>
        </w:rPr>
        <w:t>产废企业数量23家，以实验室危险废物为主；汽修、4S店行业社会源危险废物产生量占比27%，产废企业数量为34家，占总产废企业数量的57%，玄武区社会源危险废物呈现量少面广的特点。</w:t>
      </w:r>
    </w:p>
    <w:p w14:paraId="35E36DFF">
      <w:pPr>
        <w:pStyle w:val="38"/>
        <w:spacing w:afterLines="0"/>
        <w:rPr>
          <w:rFonts w:cs="Times New Roman"/>
        </w:rPr>
      </w:pPr>
      <w:r>
        <w:rPr>
          <w:rFonts w:cs="Times New Roman"/>
        </w:rPr>
        <w:drawing>
          <wp:inline distT="0" distB="0" distL="0" distR="0">
            <wp:extent cx="2694940" cy="1931670"/>
            <wp:effectExtent l="0" t="0" r="1016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94940" cy="1931670"/>
                    </a:xfrm>
                    <a:prstGeom prst="rect">
                      <a:avLst/>
                    </a:prstGeom>
                    <a:noFill/>
                  </pic:spPr>
                </pic:pic>
              </a:graphicData>
            </a:graphic>
          </wp:inline>
        </w:drawing>
      </w:r>
      <w:r>
        <w:rPr>
          <w:rFonts w:cs="Times New Roman"/>
        </w:rPr>
        <w:drawing>
          <wp:inline distT="0" distB="0" distL="0" distR="0">
            <wp:extent cx="2429510" cy="1931670"/>
            <wp:effectExtent l="0" t="0" r="889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29510" cy="1931670"/>
                    </a:xfrm>
                    <a:prstGeom prst="rect">
                      <a:avLst/>
                    </a:prstGeom>
                    <a:noFill/>
                  </pic:spPr>
                </pic:pic>
              </a:graphicData>
            </a:graphic>
          </wp:inline>
        </w:drawing>
      </w:r>
    </w:p>
    <w:p w14:paraId="30B763C1">
      <w:pPr>
        <w:pStyle w:val="122"/>
        <w:numPr>
          <w:ilvl w:val="0"/>
          <w:numId w:val="13"/>
        </w:numPr>
        <w:spacing w:afterLines="0" w:line="560" w:lineRule="exact"/>
        <w:rPr>
          <w:rFonts w:cs="Times New Roman"/>
        </w:rPr>
      </w:pPr>
      <w:r>
        <w:rPr>
          <w:rFonts w:cs="Times New Roman"/>
        </w:rPr>
        <w:t>2021年玄武区危险废物产生种类及行业分布情况</w:t>
      </w:r>
    </w:p>
    <w:p w14:paraId="2F168694">
      <w:pPr>
        <w:pStyle w:val="122"/>
        <w:spacing w:afterLines="0" w:line="560" w:lineRule="exact"/>
        <w:jc w:val="left"/>
        <w:rPr>
          <w:rFonts w:cs="Times New Roman"/>
        </w:rPr>
      </w:pPr>
    </w:p>
    <w:p w14:paraId="71852C93">
      <w:pPr>
        <w:pStyle w:val="122"/>
        <w:spacing w:afterLines="0" w:line="560" w:lineRule="exact"/>
        <w:jc w:val="left"/>
        <w:rPr>
          <w:rFonts w:cs="Times New Roman"/>
        </w:rPr>
      </w:pPr>
    </w:p>
    <w:p w14:paraId="2E862B76">
      <w:pPr>
        <w:pStyle w:val="43"/>
        <w:numPr>
          <w:ilvl w:val="0"/>
          <w:numId w:val="12"/>
        </w:numPr>
        <w:snapToGrid w:val="0"/>
        <w:spacing w:beforeLines="0" w:line="560" w:lineRule="exact"/>
        <w:rPr>
          <w:rFonts w:cs="Times New Roman"/>
          <w:szCs w:val="24"/>
        </w:rPr>
      </w:pPr>
      <w:r>
        <w:rPr>
          <w:rFonts w:cs="Times New Roman"/>
          <w:szCs w:val="24"/>
        </w:rPr>
        <w:t>2021年玄武区危险废物产废种类分布</w:t>
      </w:r>
    </w:p>
    <w:tbl>
      <w:tblPr>
        <w:tblStyle w:val="23"/>
        <w:tblpPr w:leftFromText="180" w:rightFromText="180" w:vertAnchor="text" w:horzAnchor="margin" w:tblpY="197"/>
        <w:tblW w:w="52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212"/>
        <w:gridCol w:w="1031"/>
        <w:gridCol w:w="1031"/>
        <w:gridCol w:w="4709"/>
      </w:tblGrid>
      <w:tr w14:paraId="439B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305" w:type="pct"/>
            <w:vAlign w:val="center"/>
          </w:tcPr>
          <w:p w14:paraId="29A923E8">
            <w:pPr>
              <w:pStyle w:val="47"/>
              <w:spacing w:line="400" w:lineRule="exact"/>
              <w:jc w:val="center"/>
              <w:rPr>
                <w:rFonts w:cs="Times New Roman"/>
                <w:b/>
                <w:bCs/>
                <w:sz w:val="24"/>
                <w:szCs w:val="24"/>
              </w:rPr>
            </w:pPr>
            <w:r>
              <w:rPr>
                <w:rFonts w:cs="Times New Roman"/>
                <w:b/>
                <w:bCs/>
                <w:sz w:val="24"/>
                <w:szCs w:val="24"/>
              </w:rPr>
              <w:t>序号</w:t>
            </w:r>
          </w:p>
        </w:tc>
        <w:tc>
          <w:tcPr>
            <w:tcW w:w="1155" w:type="pct"/>
            <w:vAlign w:val="center"/>
          </w:tcPr>
          <w:p w14:paraId="138D1FBB">
            <w:pPr>
              <w:pStyle w:val="47"/>
              <w:spacing w:line="400" w:lineRule="exact"/>
              <w:jc w:val="center"/>
              <w:rPr>
                <w:rFonts w:cs="Times New Roman"/>
                <w:b/>
                <w:bCs/>
                <w:sz w:val="24"/>
                <w:szCs w:val="24"/>
              </w:rPr>
            </w:pPr>
            <w:r>
              <w:rPr>
                <w:rFonts w:cs="Times New Roman"/>
                <w:b/>
                <w:bCs/>
                <w:sz w:val="24"/>
                <w:szCs w:val="24"/>
              </w:rPr>
              <w:t>危废种类</w:t>
            </w:r>
          </w:p>
        </w:tc>
        <w:tc>
          <w:tcPr>
            <w:tcW w:w="539" w:type="pct"/>
            <w:vAlign w:val="center"/>
          </w:tcPr>
          <w:p w14:paraId="0FA0F7CE">
            <w:pPr>
              <w:pStyle w:val="47"/>
              <w:spacing w:line="400" w:lineRule="exact"/>
              <w:jc w:val="center"/>
              <w:rPr>
                <w:rFonts w:cs="Times New Roman"/>
                <w:b/>
                <w:bCs/>
                <w:sz w:val="24"/>
                <w:szCs w:val="24"/>
              </w:rPr>
            </w:pPr>
            <w:r>
              <w:rPr>
                <w:rFonts w:cs="Times New Roman"/>
                <w:b/>
                <w:bCs/>
                <w:sz w:val="24"/>
                <w:szCs w:val="24"/>
              </w:rPr>
              <w:t>产生量（吨）</w:t>
            </w:r>
          </w:p>
        </w:tc>
        <w:tc>
          <w:tcPr>
            <w:tcW w:w="539" w:type="pct"/>
            <w:vAlign w:val="center"/>
          </w:tcPr>
          <w:p w14:paraId="44AF0031">
            <w:pPr>
              <w:pStyle w:val="47"/>
              <w:spacing w:line="400" w:lineRule="exact"/>
              <w:jc w:val="center"/>
              <w:rPr>
                <w:rFonts w:cs="Times New Roman"/>
                <w:b/>
                <w:bCs/>
                <w:sz w:val="24"/>
                <w:szCs w:val="24"/>
              </w:rPr>
            </w:pPr>
            <w:r>
              <w:rPr>
                <w:rFonts w:cs="Times New Roman"/>
                <w:b/>
                <w:bCs/>
                <w:sz w:val="24"/>
                <w:szCs w:val="24"/>
              </w:rPr>
              <w:t>占比</w:t>
            </w:r>
          </w:p>
        </w:tc>
        <w:tc>
          <w:tcPr>
            <w:tcW w:w="2462" w:type="pct"/>
            <w:vAlign w:val="center"/>
          </w:tcPr>
          <w:p w14:paraId="44CFA3D4">
            <w:pPr>
              <w:pStyle w:val="47"/>
              <w:spacing w:line="400" w:lineRule="exact"/>
              <w:jc w:val="center"/>
              <w:rPr>
                <w:rFonts w:cs="Times New Roman"/>
                <w:b/>
                <w:bCs/>
                <w:sz w:val="24"/>
                <w:szCs w:val="24"/>
              </w:rPr>
            </w:pPr>
            <w:r>
              <w:rPr>
                <w:rFonts w:cs="Times New Roman"/>
                <w:b/>
                <w:bCs/>
                <w:sz w:val="24"/>
                <w:szCs w:val="24"/>
              </w:rPr>
              <w:t>主要来源行业</w:t>
            </w:r>
          </w:p>
        </w:tc>
      </w:tr>
      <w:tr w14:paraId="0E89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5" w:type="pct"/>
            <w:vAlign w:val="center"/>
          </w:tcPr>
          <w:p w14:paraId="14618788">
            <w:pPr>
              <w:pStyle w:val="47"/>
              <w:spacing w:line="560" w:lineRule="exact"/>
              <w:jc w:val="center"/>
              <w:rPr>
                <w:rFonts w:cs="Times New Roman"/>
                <w:sz w:val="24"/>
                <w:szCs w:val="24"/>
              </w:rPr>
            </w:pPr>
            <w:r>
              <w:rPr>
                <w:rFonts w:cs="Times New Roman"/>
                <w:sz w:val="24"/>
                <w:szCs w:val="24"/>
              </w:rPr>
              <w:t>1</w:t>
            </w:r>
          </w:p>
        </w:tc>
        <w:tc>
          <w:tcPr>
            <w:tcW w:w="1155" w:type="pct"/>
            <w:vAlign w:val="center"/>
          </w:tcPr>
          <w:p w14:paraId="2B18C5DB">
            <w:pPr>
              <w:pStyle w:val="47"/>
              <w:spacing w:line="400" w:lineRule="exact"/>
              <w:jc w:val="center"/>
              <w:rPr>
                <w:rFonts w:cs="Times New Roman"/>
                <w:sz w:val="24"/>
                <w:szCs w:val="24"/>
              </w:rPr>
            </w:pPr>
            <w:r>
              <w:rPr>
                <w:rFonts w:cs="Times New Roman"/>
                <w:sz w:val="24"/>
                <w:szCs w:val="24"/>
              </w:rPr>
              <w:t>HW49其他废物</w:t>
            </w:r>
          </w:p>
        </w:tc>
        <w:tc>
          <w:tcPr>
            <w:tcW w:w="539" w:type="pct"/>
            <w:vAlign w:val="center"/>
          </w:tcPr>
          <w:p w14:paraId="243344ED">
            <w:pPr>
              <w:pStyle w:val="47"/>
              <w:spacing w:line="400" w:lineRule="exact"/>
              <w:jc w:val="center"/>
              <w:rPr>
                <w:rFonts w:cs="Times New Roman"/>
                <w:sz w:val="24"/>
                <w:szCs w:val="24"/>
              </w:rPr>
            </w:pPr>
            <w:r>
              <w:rPr>
                <w:rFonts w:eastAsia="微软雅黑" w:cs="Times New Roman"/>
                <w:sz w:val="24"/>
                <w:szCs w:val="24"/>
              </w:rPr>
              <w:t>972.35</w:t>
            </w:r>
          </w:p>
        </w:tc>
        <w:tc>
          <w:tcPr>
            <w:tcW w:w="539" w:type="pct"/>
            <w:vAlign w:val="center"/>
          </w:tcPr>
          <w:p w14:paraId="389FD859">
            <w:pPr>
              <w:pStyle w:val="47"/>
              <w:spacing w:line="400" w:lineRule="exact"/>
              <w:jc w:val="center"/>
              <w:rPr>
                <w:rFonts w:cs="Times New Roman"/>
                <w:sz w:val="24"/>
                <w:szCs w:val="24"/>
              </w:rPr>
            </w:pPr>
            <w:r>
              <w:rPr>
                <w:rFonts w:cs="Times New Roman"/>
                <w:sz w:val="24"/>
                <w:szCs w:val="24"/>
              </w:rPr>
              <w:t>66.81%</w:t>
            </w:r>
          </w:p>
        </w:tc>
        <w:tc>
          <w:tcPr>
            <w:tcW w:w="2462" w:type="pct"/>
            <w:vAlign w:val="center"/>
          </w:tcPr>
          <w:p w14:paraId="2D9740D6">
            <w:pPr>
              <w:pStyle w:val="47"/>
              <w:spacing w:line="400" w:lineRule="exact"/>
              <w:jc w:val="center"/>
              <w:rPr>
                <w:rFonts w:cs="Times New Roman"/>
                <w:sz w:val="24"/>
                <w:szCs w:val="24"/>
              </w:rPr>
            </w:pPr>
            <w:r>
              <w:rPr>
                <w:rFonts w:cs="Times New Roman"/>
                <w:sz w:val="24"/>
                <w:szCs w:val="24"/>
              </w:rPr>
              <w:t>教育（56.63%）</w:t>
            </w:r>
          </w:p>
          <w:p w14:paraId="4DF96C1D">
            <w:pPr>
              <w:pStyle w:val="47"/>
              <w:spacing w:line="400" w:lineRule="exact"/>
              <w:jc w:val="center"/>
              <w:rPr>
                <w:rFonts w:cs="Times New Roman"/>
                <w:sz w:val="24"/>
                <w:szCs w:val="24"/>
              </w:rPr>
            </w:pPr>
            <w:r>
              <w:rPr>
                <w:rFonts w:cs="Times New Roman"/>
                <w:sz w:val="24"/>
                <w:szCs w:val="24"/>
              </w:rPr>
              <w:t>信息传输、软件和信息技术服务业（15.93%）</w:t>
            </w:r>
          </w:p>
          <w:p w14:paraId="67EE9E2C">
            <w:pPr>
              <w:pStyle w:val="47"/>
              <w:spacing w:line="400" w:lineRule="exact"/>
              <w:jc w:val="center"/>
              <w:rPr>
                <w:rFonts w:cs="Times New Roman"/>
                <w:sz w:val="24"/>
                <w:szCs w:val="24"/>
              </w:rPr>
            </w:pPr>
            <w:r>
              <w:rPr>
                <w:rFonts w:cs="Times New Roman"/>
                <w:sz w:val="24"/>
                <w:szCs w:val="24"/>
              </w:rPr>
              <w:t>科学研究和技术服务业（13.83%）</w:t>
            </w:r>
          </w:p>
        </w:tc>
      </w:tr>
      <w:tr w14:paraId="40C5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5" w:type="pct"/>
            <w:vAlign w:val="center"/>
          </w:tcPr>
          <w:p w14:paraId="38630130">
            <w:pPr>
              <w:pStyle w:val="47"/>
              <w:spacing w:line="560" w:lineRule="exact"/>
              <w:jc w:val="center"/>
              <w:rPr>
                <w:rFonts w:cs="Times New Roman"/>
                <w:sz w:val="24"/>
                <w:szCs w:val="24"/>
              </w:rPr>
            </w:pPr>
            <w:r>
              <w:rPr>
                <w:rFonts w:cs="Times New Roman"/>
                <w:sz w:val="24"/>
                <w:szCs w:val="24"/>
              </w:rPr>
              <w:t>2</w:t>
            </w:r>
          </w:p>
        </w:tc>
        <w:tc>
          <w:tcPr>
            <w:tcW w:w="1155" w:type="pct"/>
            <w:vAlign w:val="center"/>
          </w:tcPr>
          <w:p w14:paraId="6919EDDD">
            <w:pPr>
              <w:pStyle w:val="47"/>
              <w:spacing w:line="400" w:lineRule="exact"/>
              <w:jc w:val="center"/>
              <w:rPr>
                <w:rFonts w:cs="Times New Roman"/>
                <w:sz w:val="24"/>
                <w:szCs w:val="24"/>
              </w:rPr>
            </w:pPr>
            <w:r>
              <w:rPr>
                <w:rFonts w:cs="Times New Roman"/>
                <w:sz w:val="24"/>
                <w:szCs w:val="24"/>
              </w:rPr>
              <w:t>HW08废矿物油与含矿物油废物</w:t>
            </w:r>
          </w:p>
        </w:tc>
        <w:tc>
          <w:tcPr>
            <w:tcW w:w="539" w:type="pct"/>
            <w:vAlign w:val="center"/>
          </w:tcPr>
          <w:p w14:paraId="5E1138EA">
            <w:pPr>
              <w:pStyle w:val="47"/>
              <w:spacing w:line="400" w:lineRule="exact"/>
              <w:jc w:val="center"/>
              <w:rPr>
                <w:rFonts w:cs="Times New Roman"/>
                <w:sz w:val="24"/>
                <w:szCs w:val="24"/>
              </w:rPr>
            </w:pPr>
            <w:r>
              <w:rPr>
                <w:rFonts w:eastAsia="微软雅黑" w:cs="Times New Roman"/>
                <w:sz w:val="24"/>
                <w:szCs w:val="24"/>
              </w:rPr>
              <w:t>239.17</w:t>
            </w:r>
          </w:p>
        </w:tc>
        <w:tc>
          <w:tcPr>
            <w:tcW w:w="539" w:type="pct"/>
            <w:vAlign w:val="center"/>
          </w:tcPr>
          <w:p w14:paraId="1C560FED">
            <w:pPr>
              <w:pStyle w:val="47"/>
              <w:spacing w:line="400" w:lineRule="exact"/>
              <w:jc w:val="center"/>
              <w:rPr>
                <w:rFonts w:cs="Times New Roman"/>
                <w:sz w:val="24"/>
                <w:szCs w:val="24"/>
              </w:rPr>
            </w:pPr>
            <w:r>
              <w:rPr>
                <w:rFonts w:cs="Times New Roman"/>
                <w:sz w:val="24"/>
                <w:szCs w:val="24"/>
              </w:rPr>
              <w:t>16.43%</w:t>
            </w:r>
          </w:p>
        </w:tc>
        <w:tc>
          <w:tcPr>
            <w:tcW w:w="2462" w:type="pct"/>
            <w:vAlign w:val="center"/>
          </w:tcPr>
          <w:p w14:paraId="71F39176">
            <w:pPr>
              <w:pStyle w:val="47"/>
              <w:spacing w:line="400" w:lineRule="exact"/>
              <w:jc w:val="center"/>
              <w:rPr>
                <w:rFonts w:cs="Times New Roman"/>
                <w:sz w:val="24"/>
                <w:szCs w:val="24"/>
              </w:rPr>
            </w:pPr>
            <w:r>
              <w:rPr>
                <w:rFonts w:cs="Times New Roman"/>
                <w:sz w:val="24"/>
                <w:szCs w:val="24"/>
              </w:rPr>
              <w:t>居民服务、修理和其他服务业（47.16%）</w:t>
            </w:r>
          </w:p>
          <w:p w14:paraId="0346771E">
            <w:pPr>
              <w:pStyle w:val="47"/>
              <w:spacing w:line="400" w:lineRule="exact"/>
              <w:jc w:val="center"/>
              <w:rPr>
                <w:rFonts w:cs="Times New Roman"/>
                <w:sz w:val="24"/>
                <w:szCs w:val="24"/>
              </w:rPr>
            </w:pPr>
            <w:r>
              <w:rPr>
                <w:rFonts w:cs="Times New Roman"/>
                <w:sz w:val="24"/>
                <w:szCs w:val="24"/>
              </w:rPr>
              <w:t>交通运输、仓储和邮政业（34.72%）</w:t>
            </w:r>
          </w:p>
        </w:tc>
      </w:tr>
      <w:tr w14:paraId="5C0C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5" w:type="pct"/>
            <w:vAlign w:val="center"/>
          </w:tcPr>
          <w:p w14:paraId="66CE8EF6">
            <w:pPr>
              <w:pStyle w:val="47"/>
              <w:spacing w:line="560" w:lineRule="exact"/>
              <w:jc w:val="center"/>
              <w:rPr>
                <w:rFonts w:cs="Times New Roman"/>
                <w:sz w:val="24"/>
                <w:szCs w:val="24"/>
              </w:rPr>
            </w:pPr>
            <w:r>
              <w:rPr>
                <w:rFonts w:cs="Times New Roman"/>
                <w:sz w:val="24"/>
                <w:szCs w:val="24"/>
              </w:rPr>
              <w:t>3</w:t>
            </w:r>
          </w:p>
        </w:tc>
        <w:tc>
          <w:tcPr>
            <w:tcW w:w="1155" w:type="pct"/>
            <w:vAlign w:val="center"/>
          </w:tcPr>
          <w:p w14:paraId="7657A8A5">
            <w:pPr>
              <w:pStyle w:val="47"/>
              <w:spacing w:line="400" w:lineRule="exact"/>
              <w:jc w:val="center"/>
              <w:rPr>
                <w:rFonts w:cs="Times New Roman"/>
                <w:sz w:val="24"/>
                <w:szCs w:val="24"/>
              </w:rPr>
            </w:pPr>
            <w:r>
              <w:rPr>
                <w:rFonts w:cs="Times New Roman"/>
                <w:sz w:val="24"/>
                <w:szCs w:val="24"/>
              </w:rPr>
              <w:t>HW03废药物、</w:t>
            </w:r>
          </w:p>
          <w:p w14:paraId="043D5847">
            <w:pPr>
              <w:pStyle w:val="47"/>
              <w:spacing w:line="400" w:lineRule="exact"/>
              <w:jc w:val="center"/>
              <w:rPr>
                <w:rFonts w:cs="Times New Roman"/>
                <w:sz w:val="24"/>
                <w:szCs w:val="24"/>
              </w:rPr>
            </w:pPr>
            <w:r>
              <w:rPr>
                <w:rFonts w:cs="Times New Roman"/>
                <w:sz w:val="24"/>
                <w:szCs w:val="24"/>
              </w:rPr>
              <w:t>药品</w:t>
            </w:r>
          </w:p>
        </w:tc>
        <w:tc>
          <w:tcPr>
            <w:tcW w:w="539" w:type="pct"/>
            <w:vAlign w:val="center"/>
          </w:tcPr>
          <w:p w14:paraId="63A1719C">
            <w:pPr>
              <w:pStyle w:val="47"/>
              <w:spacing w:line="400" w:lineRule="exact"/>
              <w:jc w:val="center"/>
              <w:rPr>
                <w:rFonts w:cs="Times New Roman"/>
                <w:sz w:val="24"/>
                <w:szCs w:val="24"/>
              </w:rPr>
            </w:pPr>
            <w:r>
              <w:rPr>
                <w:rFonts w:eastAsia="微软雅黑" w:cs="Times New Roman"/>
                <w:sz w:val="24"/>
                <w:szCs w:val="24"/>
              </w:rPr>
              <w:t>101.19</w:t>
            </w:r>
          </w:p>
        </w:tc>
        <w:tc>
          <w:tcPr>
            <w:tcW w:w="539" w:type="pct"/>
            <w:vAlign w:val="center"/>
          </w:tcPr>
          <w:p w14:paraId="3EBF62F1">
            <w:pPr>
              <w:pStyle w:val="47"/>
              <w:spacing w:line="400" w:lineRule="exact"/>
              <w:jc w:val="center"/>
              <w:rPr>
                <w:rFonts w:cs="Times New Roman"/>
                <w:sz w:val="24"/>
                <w:szCs w:val="24"/>
              </w:rPr>
            </w:pPr>
            <w:r>
              <w:rPr>
                <w:rFonts w:cs="Times New Roman"/>
                <w:sz w:val="24"/>
                <w:szCs w:val="24"/>
              </w:rPr>
              <w:t>6.95%</w:t>
            </w:r>
          </w:p>
        </w:tc>
        <w:tc>
          <w:tcPr>
            <w:tcW w:w="2462" w:type="pct"/>
            <w:vAlign w:val="center"/>
          </w:tcPr>
          <w:p w14:paraId="03574266">
            <w:pPr>
              <w:pStyle w:val="47"/>
              <w:spacing w:line="400" w:lineRule="exact"/>
              <w:jc w:val="center"/>
              <w:rPr>
                <w:rFonts w:cs="Times New Roman"/>
                <w:sz w:val="24"/>
                <w:szCs w:val="24"/>
              </w:rPr>
            </w:pPr>
            <w:r>
              <w:rPr>
                <w:rFonts w:cs="Times New Roman"/>
                <w:sz w:val="24"/>
                <w:szCs w:val="24"/>
              </w:rPr>
              <w:t>批发和零售业（99.72%）</w:t>
            </w:r>
          </w:p>
        </w:tc>
      </w:tr>
      <w:tr w14:paraId="15C8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5" w:type="pct"/>
            <w:vAlign w:val="center"/>
          </w:tcPr>
          <w:p w14:paraId="65C10AF8">
            <w:pPr>
              <w:pStyle w:val="47"/>
              <w:spacing w:line="560" w:lineRule="exact"/>
              <w:jc w:val="center"/>
              <w:rPr>
                <w:rFonts w:cs="Times New Roman"/>
                <w:sz w:val="24"/>
                <w:szCs w:val="24"/>
              </w:rPr>
            </w:pPr>
            <w:r>
              <w:rPr>
                <w:rFonts w:cs="Times New Roman"/>
                <w:sz w:val="24"/>
                <w:szCs w:val="24"/>
              </w:rPr>
              <w:t>4</w:t>
            </w:r>
          </w:p>
        </w:tc>
        <w:tc>
          <w:tcPr>
            <w:tcW w:w="1155" w:type="pct"/>
            <w:vAlign w:val="center"/>
          </w:tcPr>
          <w:p w14:paraId="6509356F">
            <w:pPr>
              <w:pStyle w:val="47"/>
              <w:spacing w:line="400" w:lineRule="exact"/>
              <w:jc w:val="center"/>
              <w:rPr>
                <w:rFonts w:cs="Times New Roman"/>
                <w:sz w:val="24"/>
                <w:szCs w:val="24"/>
              </w:rPr>
            </w:pPr>
            <w:r>
              <w:rPr>
                <w:rFonts w:cs="Times New Roman"/>
                <w:sz w:val="24"/>
                <w:szCs w:val="24"/>
              </w:rPr>
              <w:t>HW06废有机溶剂与含有机溶剂废物</w:t>
            </w:r>
          </w:p>
        </w:tc>
        <w:tc>
          <w:tcPr>
            <w:tcW w:w="539" w:type="pct"/>
            <w:vAlign w:val="center"/>
          </w:tcPr>
          <w:p w14:paraId="4C883D59">
            <w:pPr>
              <w:pStyle w:val="47"/>
              <w:spacing w:line="400" w:lineRule="exact"/>
              <w:jc w:val="center"/>
              <w:rPr>
                <w:rFonts w:cs="Times New Roman"/>
                <w:sz w:val="24"/>
                <w:szCs w:val="24"/>
              </w:rPr>
            </w:pPr>
            <w:r>
              <w:rPr>
                <w:rFonts w:eastAsia="微软雅黑" w:cs="Times New Roman"/>
                <w:sz w:val="24"/>
                <w:szCs w:val="24"/>
              </w:rPr>
              <w:t>75.38</w:t>
            </w:r>
          </w:p>
        </w:tc>
        <w:tc>
          <w:tcPr>
            <w:tcW w:w="539" w:type="pct"/>
            <w:vAlign w:val="center"/>
          </w:tcPr>
          <w:p w14:paraId="72A84D04">
            <w:pPr>
              <w:pStyle w:val="47"/>
              <w:spacing w:line="400" w:lineRule="exact"/>
              <w:jc w:val="center"/>
              <w:rPr>
                <w:rFonts w:cs="Times New Roman"/>
                <w:sz w:val="24"/>
                <w:szCs w:val="24"/>
              </w:rPr>
            </w:pPr>
            <w:r>
              <w:rPr>
                <w:rFonts w:cs="Times New Roman"/>
                <w:sz w:val="24"/>
                <w:szCs w:val="24"/>
              </w:rPr>
              <w:t>5.18%</w:t>
            </w:r>
          </w:p>
        </w:tc>
        <w:tc>
          <w:tcPr>
            <w:tcW w:w="2462" w:type="pct"/>
            <w:vAlign w:val="center"/>
          </w:tcPr>
          <w:p w14:paraId="1108E878">
            <w:pPr>
              <w:pStyle w:val="47"/>
              <w:spacing w:line="400" w:lineRule="exact"/>
              <w:jc w:val="center"/>
              <w:rPr>
                <w:rFonts w:cs="Times New Roman"/>
                <w:sz w:val="24"/>
                <w:szCs w:val="24"/>
              </w:rPr>
            </w:pPr>
            <w:r>
              <w:rPr>
                <w:rFonts w:cs="Times New Roman"/>
                <w:sz w:val="24"/>
                <w:szCs w:val="24"/>
              </w:rPr>
              <w:t>批发和零售业（94.31%）</w:t>
            </w:r>
          </w:p>
        </w:tc>
      </w:tr>
      <w:tr w14:paraId="5B7B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5" w:type="pct"/>
            <w:vAlign w:val="center"/>
          </w:tcPr>
          <w:p w14:paraId="2099E172">
            <w:pPr>
              <w:pStyle w:val="47"/>
              <w:spacing w:line="560" w:lineRule="exact"/>
              <w:jc w:val="center"/>
              <w:rPr>
                <w:rFonts w:cs="Times New Roman"/>
                <w:sz w:val="24"/>
                <w:szCs w:val="24"/>
              </w:rPr>
            </w:pPr>
            <w:r>
              <w:rPr>
                <w:rFonts w:cs="Times New Roman"/>
                <w:sz w:val="24"/>
                <w:szCs w:val="24"/>
              </w:rPr>
              <w:t>5</w:t>
            </w:r>
          </w:p>
        </w:tc>
        <w:tc>
          <w:tcPr>
            <w:tcW w:w="1155" w:type="pct"/>
            <w:vAlign w:val="center"/>
          </w:tcPr>
          <w:p w14:paraId="2AC96EAE">
            <w:pPr>
              <w:pStyle w:val="47"/>
              <w:spacing w:line="400" w:lineRule="exact"/>
              <w:jc w:val="center"/>
              <w:rPr>
                <w:rFonts w:cs="Times New Roman"/>
                <w:sz w:val="24"/>
                <w:szCs w:val="24"/>
              </w:rPr>
            </w:pPr>
            <w:r>
              <w:rPr>
                <w:rFonts w:cs="Times New Roman"/>
                <w:sz w:val="24"/>
                <w:szCs w:val="24"/>
              </w:rPr>
              <w:t>HW31含铅废物</w:t>
            </w:r>
          </w:p>
        </w:tc>
        <w:tc>
          <w:tcPr>
            <w:tcW w:w="539" w:type="pct"/>
            <w:vAlign w:val="center"/>
          </w:tcPr>
          <w:p w14:paraId="740438CF">
            <w:pPr>
              <w:pStyle w:val="47"/>
              <w:spacing w:line="400" w:lineRule="exact"/>
              <w:jc w:val="center"/>
              <w:rPr>
                <w:rFonts w:cs="Times New Roman"/>
                <w:sz w:val="24"/>
                <w:szCs w:val="24"/>
              </w:rPr>
            </w:pPr>
            <w:r>
              <w:rPr>
                <w:rFonts w:eastAsia="微软雅黑" w:cs="Times New Roman"/>
                <w:sz w:val="24"/>
                <w:szCs w:val="24"/>
              </w:rPr>
              <w:t>54.88</w:t>
            </w:r>
          </w:p>
        </w:tc>
        <w:tc>
          <w:tcPr>
            <w:tcW w:w="539" w:type="pct"/>
            <w:vAlign w:val="center"/>
          </w:tcPr>
          <w:p w14:paraId="70E4410E">
            <w:pPr>
              <w:pStyle w:val="47"/>
              <w:spacing w:line="400" w:lineRule="exact"/>
              <w:jc w:val="center"/>
              <w:rPr>
                <w:rFonts w:cs="Times New Roman"/>
                <w:sz w:val="24"/>
                <w:szCs w:val="24"/>
              </w:rPr>
            </w:pPr>
            <w:r>
              <w:rPr>
                <w:rFonts w:cs="Times New Roman"/>
                <w:sz w:val="24"/>
                <w:szCs w:val="24"/>
              </w:rPr>
              <w:t>3.77%</w:t>
            </w:r>
          </w:p>
        </w:tc>
        <w:tc>
          <w:tcPr>
            <w:tcW w:w="2462" w:type="pct"/>
            <w:vAlign w:val="center"/>
          </w:tcPr>
          <w:p w14:paraId="2B8B9898">
            <w:pPr>
              <w:pStyle w:val="47"/>
              <w:spacing w:line="400" w:lineRule="exact"/>
              <w:jc w:val="center"/>
              <w:rPr>
                <w:rFonts w:cs="Times New Roman"/>
                <w:sz w:val="24"/>
                <w:szCs w:val="24"/>
              </w:rPr>
            </w:pPr>
            <w:r>
              <w:rPr>
                <w:rFonts w:cs="Times New Roman"/>
                <w:sz w:val="24"/>
                <w:szCs w:val="24"/>
              </w:rPr>
              <w:t>交通运输、仓储和邮政业（82.28%）</w:t>
            </w:r>
          </w:p>
        </w:tc>
      </w:tr>
      <w:tr w14:paraId="004B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5" w:type="pct"/>
            <w:vAlign w:val="center"/>
          </w:tcPr>
          <w:p w14:paraId="242D569D">
            <w:pPr>
              <w:pStyle w:val="47"/>
              <w:spacing w:line="560" w:lineRule="exact"/>
              <w:jc w:val="center"/>
              <w:rPr>
                <w:rFonts w:cs="Times New Roman"/>
                <w:sz w:val="24"/>
                <w:szCs w:val="24"/>
              </w:rPr>
            </w:pPr>
            <w:r>
              <w:rPr>
                <w:rFonts w:cs="Times New Roman"/>
                <w:sz w:val="24"/>
                <w:szCs w:val="24"/>
              </w:rPr>
              <w:t>6</w:t>
            </w:r>
          </w:p>
        </w:tc>
        <w:tc>
          <w:tcPr>
            <w:tcW w:w="1155" w:type="pct"/>
            <w:vAlign w:val="center"/>
          </w:tcPr>
          <w:p w14:paraId="229FE580">
            <w:pPr>
              <w:pStyle w:val="47"/>
              <w:spacing w:line="400" w:lineRule="exact"/>
              <w:jc w:val="center"/>
              <w:rPr>
                <w:rFonts w:cs="Times New Roman"/>
                <w:sz w:val="24"/>
                <w:szCs w:val="24"/>
              </w:rPr>
            </w:pPr>
            <w:r>
              <w:rPr>
                <w:rFonts w:cs="Times New Roman"/>
                <w:sz w:val="24"/>
                <w:szCs w:val="24"/>
              </w:rPr>
              <w:t>其他</w:t>
            </w:r>
          </w:p>
        </w:tc>
        <w:tc>
          <w:tcPr>
            <w:tcW w:w="539" w:type="pct"/>
            <w:vAlign w:val="center"/>
          </w:tcPr>
          <w:p w14:paraId="61E23000">
            <w:pPr>
              <w:pStyle w:val="47"/>
              <w:spacing w:line="400" w:lineRule="exact"/>
              <w:jc w:val="center"/>
              <w:rPr>
                <w:rFonts w:cs="Times New Roman"/>
                <w:sz w:val="24"/>
                <w:szCs w:val="24"/>
              </w:rPr>
            </w:pPr>
            <w:r>
              <w:rPr>
                <w:rFonts w:eastAsia="微软雅黑" w:cs="Times New Roman"/>
                <w:sz w:val="24"/>
                <w:szCs w:val="24"/>
              </w:rPr>
              <w:t>12.40</w:t>
            </w:r>
          </w:p>
        </w:tc>
        <w:tc>
          <w:tcPr>
            <w:tcW w:w="539" w:type="pct"/>
            <w:vAlign w:val="center"/>
          </w:tcPr>
          <w:p w14:paraId="595571BE">
            <w:pPr>
              <w:pStyle w:val="47"/>
              <w:spacing w:line="400" w:lineRule="exact"/>
              <w:jc w:val="center"/>
              <w:rPr>
                <w:rFonts w:cs="Times New Roman"/>
                <w:sz w:val="24"/>
                <w:szCs w:val="24"/>
              </w:rPr>
            </w:pPr>
            <w:r>
              <w:rPr>
                <w:rFonts w:cs="Times New Roman"/>
                <w:sz w:val="24"/>
                <w:szCs w:val="24"/>
              </w:rPr>
              <w:t>0.85%</w:t>
            </w:r>
          </w:p>
        </w:tc>
        <w:tc>
          <w:tcPr>
            <w:tcW w:w="2462" w:type="pct"/>
            <w:vAlign w:val="center"/>
          </w:tcPr>
          <w:p w14:paraId="623C1B75">
            <w:pPr>
              <w:pStyle w:val="47"/>
              <w:spacing w:line="400" w:lineRule="exact"/>
              <w:jc w:val="center"/>
              <w:rPr>
                <w:rFonts w:cs="Times New Roman"/>
                <w:sz w:val="24"/>
                <w:szCs w:val="24"/>
              </w:rPr>
            </w:pPr>
            <w:r>
              <w:rPr>
                <w:rFonts w:cs="Times New Roman"/>
                <w:sz w:val="24"/>
                <w:szCs w:val="24"/>
              </w:rPr>
              <w:t>科学研究和技术服务业（71.59%）</w:t>
            </w:r>
          </w:p>
        </w:tc>
      </w:tr>
      <w:tr w14:paraId="514B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461" w:type="pct"/>
            <w:gridSpan w:val="2"/>
            <w:vAlign w:val="center"/>
          </w:tcPr>
          <w:p w14:paraId="72254284">
            <w:pPr>
              <w:pStyle w:val="47"/>
              <w:spacing w:line="400" w:lineRule="exact"/>
              <w:jc w:val="center"/>
              <w:rPr>
                <w:rFonts w:cs="Times New Roman"/>
                <w:b/>
                <w:bCs/>
                <w:sz w:val="24"/>
                <w:szCs w:val="24"/>
              </w:rPr>
            </w:pPr>
            <w:r>
              <w:rPr>
                <w:rFonts w:cs="Times New Roman"/>
                <w:b/>
                <w:bCs/>
                <w:sz w:val="24"/>
                <w:szCs w:val="24"/>
              </w:rPr>
              <w:t>合计</w:t>
            </w:r>
          </w:p>
        </w:tc>
        <w:tc>
          <w:tcPr>
            <w:tcW w:w="539" w:type="pct"/>
            <w:vAlign w:val="center"/>
          </w:tcPr>
          <w:p w14:paraId="5B7B5118">
            <w:pPr>
              <w:pStyle w:val="47"/>
              <w:spacing w:line="400" w:lineRule="exact"/>
              <w:jc w:val="center"/>
              <w:rPr>
                <w:rFonts w:cs="Times New Roman"/>
                <w:b/>
                <w:bCs/>
                <w:sz w:val="24"/>
                <w:szCs w:val="24"/>
              </w:rPr>
            </w:pPr>
            <w:r>
              <w:rPr>
                <w:rFonts w:cs="Times New Roman"/>
                <w:b/>
                <w:bCs/>
                <w:sz w:val="24"/>
                <w:szCs w:val="24"/>
              </w:rPr>
              <w:t>1455.37</w:t>
            </w:r>
          </w:p>
        </w:tc>
        <w:tc>
          <w:tcPr>
            <w:tcW w:w="539" w:type="pct"/>
            <w:vAlign w:val="center"/>
          </w:tcPr>
          <w:p w14:paraId="097BDE75">
            <w:pPr>
              <w:pStyle w:val="47"/>
              <w:spacing w:line="400" w:lineRule="exact"/>
              <w:jc w:val="center"/>
              <w:rPr>
                <w:rFonts w:cs="Times New Roman"/>
                <w:b/>
                <w:bCs/>
                <w:sz w:val="24"/>
                <w:szCs w:val="24"/>
              </w:rPr>
            </w:pPr>
            <w:r>
              <w:rPr>
                <w:rFonts w:cs="Times New Roman"/>
                <w:b/>
                <w:bCs/>
                <w:sz w:val="24"/>
                <w:szCs w:val="24"/>
              </w:rPr>
              <w:t>100%</w:t>
            </w:r>
          </w:p>
        </w:tc>
        <w:tc>
          <w:tcPr>
            <w:tcW w:w="2462" w:type="pct"/>
            <w:vAlign w:val="center"/>
          </w:tcPr>
          <w:p w14:paraId="3689569A">
            <w:pPr>
              <w:pStyle w:val="47"/>
              <w:spacing w:line="400" w:lineRule="exact"/>
              <w:jc w:val="center"/>
              <w:rPr>
                <w:rFonts w:cs="Times New Roman"/>
                <w:b/>
                <w:bCs/>
                <w:sz w:val="24"/>
                <w:szCs w:val="24"/>
              </w:rPr>
            </w:pPr>
            <w:r>
              <w:rPr>
                <w:rFonts w:cs="Times New Roman"/>
                <w:b/>
                <w:bCs/>
                <w:sz w:val="24"/>
                <w:szCs w:val="24"/>
              </w:rPr>
              <w:t>/</w:t>
            </w:r>
          </w:p>
        </w:tc>
      </w:tr>
    </w:tbl>
    <w:p w14:paraId="35BDDD45">
      <w:pPr>
        <w:spacing w:line="460" w:lineRule="exact"/>
        <w:ind w:firstLine="643" w:firstLineChars="200"/>
        <w:rPr>
          <w:rFonts w:cs="Times New Roman"/>
        </w:rPr>
      </w:pPr>
      <w:r>
        <w:rPr>
          <w:rFonts w:cs="Times New Roman"/>
          <w:b/>
          <w:bCs/>
        </w:rPr>
        <w:t>集中利用处置市内外互补，社会源收集占比较大，危废贮存率较高。</w:t>
      </w:r>
      <w:r>
        <w:rPr>
          <w:rFonts w:cs="Times New Roman"/>
        </w:rPr>
        <w:t>2021年玄武区危险废物市内利用处置量占总量的19%，市外利用处置占比18%；危险废物收集量695.58吨，主要以HW49和HW08为主，收集后委外处置；危险废物贮存量221.2吨，占比约为15%。</w:t>
      </w:r>
      <w:r>
        <w:rPr>
          <w:rFonts w:cs="Times New Roman"/>
          <w:szCs w:val="28"/>
        </w:rPr>
        <w:t>从危废种类来看，HW49市内收集和贮存量</w:t>
      </w:r>
      <w:r>
        <w:rPr>
          <w:rFonts w:hint="eastAsia" w:cs="Times New Roman"/>
          <w:szCs w:val="28"/>
        </w:rPr>
        <w:t>均</w:t>
      </w:r>
      <w:r>
        <w:rPr>
          <w:rFonts w:cs="Times New Roman"/>
          <w:szCs w:val="28"/>
        </w:rPr>
        <w:t>较大，HW08和HW31以市内收集为主，HW03以市内处置为主，HW06以市外利用为主。</w:t>
      </w:r>
      <w:r>
        <w:rPr>
          <w:rFonts w:cs="Times New Roman"/>
        </w:rPr>
        <w:t>玄武区2021年危险废物综合利用量56.15吨，综合利用率4.49%；HW06综合利用率较高，为70.38%。</w:t>
      </w:r>
    </w:p>
    <w:p w14:paraId="745B7BF4">
      <w:pPr>
        <w:spacing w:line="240" w:lineRule="auto"/>
        <w:jc w:val="center"/>
        <w:rPr>
          <w:rFonts w:cs="Times New Roman"/>
          <w:b/>
          <w:bCs/>
          <w:sz w:val="24"/>
          <w:szCs w:val="21"/>
        </w:rPr>
      </w:pPr>
      <w:r>
        <w:rPr>
          <w:rFonts w:cs="Times New Roman"/>
        </w:rPr>
        <w:drawing>
          <wp:inline distT="0" distB="0" distL="0" distR="0">
            <wp:extent cx="3962400" cy="2238375"/>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153E49">
      <w:pPr>
        <w:pStyle w:val="122"/>
        <w:numPr>
          <w:ilvl w:val="0"/>
          <w:numId w:val="13"/>
        </w:numPr>
        <w:spacing w:afterLines="0" w:line="460" w:lineRule="exact"/>
        <w:ind w:left="1259"/>
        <w:rPr>
          <w:rFonts w:cs="Times New Roman"/>
        </w:rPr>
      </w:pPr>
      <w:r>
        <w:rPr>
          <w:rFonts w:cs="Times New Roman"/>
        </w:rPr>
        <w:t>2021年玄武区危险废物利用处置情况</w:t>
      </w:r>
    </w:p>
    <w:p w14:paraId="0798CCD1">
      <w:pPr>
        <w:spacing w:line="240" w:lineRule="auto"/>
        <w:jc w:val="center"/>
        <w:rPr>
          <w:rFonts w:cs="Times New Roman"/>
        </w:rPr>
      </w:pPr>
      <w:r>
        <w:rPr>
          <w:rFonts w:cs="Times New Roman"/>
        </w:rPr>
        <w:drawing>
          <wp:inline distT="0" distB="0" distL="0" distR="0">
            <wp:extent cx="4781550" cy="2514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67685" cy="2560218"/>
                    </a:xfrm>
                    <a:prstGeom prst="rect">
                      <a:avLst/>
                    </a:prstGeom>
                    <a:noFill/>
                  </pic:spPr>
                </pic:pic>
              </a:graphicData>
            </a:graphic>
          </wp:inline>
        </w:drawing>
      </w:r>
    </w:p>
    <w:p w14:paraId="2631B6DA">
      <w:pPr>
        <w:pStyle w:val="122"/>
        <w:numPr>
          <w:ilvl w:val="0"/>
          <w:numId w:val="13"/>
        </w:numPr>
        <w:spacing w:afterLines="0" w:line="560" w:lineRule="exact"/>
        <w:ind w:left="420"/>
        <w:rPr>
          <w:rFonts w:cs="Times New Roman"/>
        </w:rPr>
      </w:pPr>
      <w:r>
        <w:rPr>
          <w:rFonts w:cs="Times New Roman"/>
        </w:rPr>
        <w:t>2021年玄武区各类危险废物利用处置情况</w:t>
      </w:r>
    </w:p>
    <w:p w14:paraId="0399CDFF">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（三）</w:t>
      </w:r>
      <w:r>
        <w:rPr>
          <w:rFonts w:ascii="方正楷体_GBK" w:eastAsia="方正楷体_GBK" w:cs="Times New Roman"/>
          <w:b/>
          <w:bCs/>
          <w:szCs w:val="28"/>
        </w:rPr>
        <w:t>医疗废物</w:t>
      </w:r>
    </w:p>
    <w:p w14:paraId="1E631B64">
      <w:pPr>
        <w:ind w:firstLine="643" w:firstLineChars="200"/>
        <w:rPr>
          <w:rFonts w:cs="Times New Roman"/>
        </w:rPr>
      </w:pPr>
      <w:r>
        <w:rPr>
          <w:rFonts w:cs="Times New Roman"/>
          <w:b/>
          <w:bCs/>
        </w:rPr>
        <w:t>受疫情影响，新冠医疗废物占比较大。</w:t>
      </w:r>
      <w:r>
        <w:rPr>
          <w:rFonts w:cs="Times New Roman"/>
        </w:rPr>
        <w:t>玄武区共有各级各类医疗机构232家，其中区卫健系统所属社区卫生服务中心10家、卫生服务站2家、妇幼保健所1家、口腔专科医院1家，其余各类社会办医疗机构及学校医院共218家。2021年玄武区医疗机构累计产生医疗废物2318.63吨，其中新冠医疗废物647.54吨，占比约28%。</w:t>
      </w:r>
    </w:p>
    <w:p w14:paraId="49BA7104">
      <w:pPr>
        <w:ind w:firstLine="643" w:firstLineChars="200"/>
        <w:rPr>
          <w:rFonts w:cs="Times New Roman"/>
        </w:rPr>
      </w:pPr>
      <w:r>
        <w:rPr>
          <w:rFonts w:hint="eastAsia" w:cs="Times New Roman"/>
          <w:b/>
          <w:bCs/>
        </w:rPr>
        <w:t>“</w:t>
      </w:r>
      <w:r>
        <w:rPr>
          <w:rFonts w:cs="Times New Roman"/>
          <w:b/>
          <w:bCs/>
        </w:rPr>
        <w:t>平战结合</w:t>
      </w:r>
      <w:r>
        <w:rPr>
          <w:rFonts w:hint="eastAsia" w:cs="Times New Roman"/>
          <w:b/>
          <w:bCs/>
        </w:rPr>
        <w:t>”</w:t>
      </w:r>
      <w:r>
        <w:rPr>
          <w:rFonts w:cs="Times New Roman"/>
          <w:b/>
          <w:bCs/>
        </w:rPr>
        <w:t>收运体系初步建立。</w:t>
      </w:r>
      <w:r>
        <w:rPr>
          <w:rFonts w:cs="Times New Roman"/>
        </w:rPr>
        <w:t>玄武区各级医疗机构产生的医疗废物按照感染性、损伤性、化学性、药物性、病理性医疗废物等五类进行分类收集，收集后暂存在医疗机构内，由</w:t>
      </w:r>
      <w:r>
        <w:rPr>
          <w:rFonts w:hint="eastAsia" w:cs="Times New Roman"/>
          <w:lang w:eastAsia="zh-CN"/>
        </w:rPr>
        <w:t>有资质的处置单位</w:t>
      </w:r>
      <w:r>
        <w:rPr>
          <w:rFonts w:cs="Times New Roman"/>
        </w:rPr>
        <w:t>上门收取并集中统一处置。疫情期间，成立医疗废物和高危生活垃圾处置协调组，加强涉疫医疗废物转移审批，重点协调区环境集团增加运力，合理调度车辆、规划转运路线，突破转运能力</w:t>
      </w:r>
      <w:r>
        <w:rPr>
          <w:rFonts w:hint="eastAsia" w:cs="Times New Roman"/>
        </w:rPr>
        <w:t>“</w:t>
      </w:r>
      <w:r>
        <w:rPr>
          <w:rFonts w:cs="Times New Roman"/>
        </w:rPr>
        <w:t>瓶颈</w:t>
      </w:r>
      <w:r>
        <w:rPr>
          <w:rFonts w:hint="eastAsia" w:cs="Times New Roman"/>
        </w:rPr>
        <w:t>”</w:t>
      </w:r>
      <w:r>
        <w:rPr>
          <w:rFonts w:cs="Times New Roman"/>
        </w:rPr>
        <w:t>，保证各点医疗废物日产日清。</w:t>
      </w:r>
    </w:p>
    <w:p w14:paraId="45316597">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（四）</w:t>
      </w:r>
      <w:r>
        <w:rPr>
          <w:rFonts w:ascii="方正楷体_GBK" w:eastAsia="方正楷体_GBK" w:cs="Times New Roman"/>
          <w:b/>
          <w:bCs/>
          <w:szCs w:val="28"/>
        </w:rPr>
        <w:t>管理现状</w:t>
      </w:r>
    </w:p>
    <w:p w14:paraId="3004B73F">
      <w:pPr>
        <w:ind w:firstLine="640" w:firstLineChars="200"/>
        <w:rPr>
          <w:rFonts w:cs="Times New Roman"/>
        </w:rPr>
      </w:pPr>
      <w:r>
        <w:rPr>
          <w:rFonts w:cs="Times New Roman"/>
        </w:rPr>
        <w:t>玄武区高度重视危险废物管理工作，深入打好污染防治攻坚战，以管理促进危险废物减量化、资源化、无害化。</w:t>
      </w:r>
      <w:r>
        <w:rPr>
          <w:rFonts w:cs="Times New Roman"/>
          <w:b/>
          <w:bCs/>
        </w:rPr>
        <w:t>一是强化顶层设计引领。</w:t>
      </w:r>
      <w:r>
        <w:rPr>
          <w:rFonts w:cs="Times New Roman"/>
        </w:rPr>
        <w:t>制定《玄武区危废固废专项整治实施方案》《玄武生态环境局危险废物等安全专项整治三年行动具体实施方案</w:t>
      </w:r>
      <w:r>
        <w:rPr>
          <w:rFonts w:hint="eastAsia" w:cs="Times New Roman"/>
        </w:rPr>
        <w:t>》《</w:t>
      </w:r>
      <w:r>
        <w:rPr>
          <w:rFonts w:cs="Times New Roman"/>
        </w:rPr>
        <w:t>玄武生态环境局关于做好安全生产专项整治工作实施方案》《玄武生态环境局废弃危险化学品安全综合治理实施方案》。</w:t>
      </w:r>
      <w:r>
        <w:rPr>
          <w:rFonts w:cs="Times New Roman"/>
          <w:b/>
          <w:bCs/>
        </w:rPr>
        <w:t>二是加强危险废物常态化监管。</w:t>
      </w:r>
      <w:r>
        <w:rPr>
          <w:rFonts w:cs="Times New Roman"/>
        </w:rPr>
        <w:t>要求企业做好危险废物转移申请工作，严格执行危险废物转移联单制度，充分利用江苏省危险废物全生命周期监控系统做好危险废物信息化管理，做好危险废物贮存场所规范化建设。</w:t>
      </w:r>
      <w:r>
        <w:rPr>
          <w:rFonts w:cs="Times New Roman"/>
          <w:b/>
          <w:bCs/>
        </w:rPr>
        <w:t>三是强化专项执法行动。</w:t>
      </w:r>
      <w:r>
        <w:rPr>
          <w:rFonts w:cs="Times New Roman"/>
        </w:rPr>
        <w:t>对辖区内产废单位进行大排查杜绝安全隐患，召开街道及产废企业动员会，做好宣传动员，要求企业自查，发现问题及时整改上报。</w:t>
      </w:r>
    </w:p>
    <w:p w14:paraId="35F23481">
      <w:pPr>
        <w:spacing w:line="240" w:lineRule="auto"/>
        <w:jc w:val="center"/>
        <w:rPr>
          <w:rFonts w:cs="Times New Roman"/>
        </w:rPr>
      </w:pPr>
      <w:r>
        <w:rPr>
          <w:rFonts w:cs="Times New Roman"/>
        </w:rPr>
        <w:object>
          <v:shape id="_x0000_i1027" o:spt="75" type="#_x0000_t75" style="height:339pt;width:432pt;" o:ole="t" filled="f" o:preferrelative="t" stroked="f" coordsize="21600,21600">
            <v:path/>
            <v:fill on="f" focussize="0,0"/>
            <v:stroke on="f" joinstyle="miter"/>
            <v:imagedata r:id="rId22" o:title=""/>
            <o:lock v:ext="edit" aspectratio="t"/>
            <w10:wrap type="none"/>
            <w10:anchorlock/>
          </v:shape>
          <o:OLEObject Type="Embed" ProgID="Visio.Drawing.15" ShapeID="_x0000_i1027" DrawAspect="Content" ObjectID="_1468075727" r:id="rId21">
            <o:LockedField>false</o:LockedField>
          </o:OLEObject>
        </w:object>
      </w:r>
    </w:p>
    <w:p w14:paraId="127D1022">
      <w:pPr>
        <w:pStyle w:val="122"/>
        <w:numPr>
          <w:ilvl w:val="0"/>
          <w:numId w:val="13"/>
        </w:numPr>
        <w:spacing w:afterLines="0" w:line="560" w:lineRule="exact"/>
        <w:ind w:left="420"/>
        <w:rPr>
          <w:rFonts w:cs="Times New Roman"/>
        </w:rPr>
      </w:pPr>
      <w:r>
        <w:rPr>
          <w:rFonts w:cs="Times New Roman"/>
        </w:rPr>
        <w:t>玄武区危险废物流向图</w:t>
      </w:r>
    </w:p>
    <w:p w14:paraId="47F8484F">
      <w:pPr>
        <w:pStyle w:val="4"/>
        <w:ind w:firstLine="640"/>
        <w:rPr>
          <w:rFonts w:ascii="方正黑体_GBK" w:cs="Times New Roman"/>
          <w:szCs w:val="28"/>
        </w:rPr>
      </w:pPr>
      <w:bookmarkStart w:id="72" w:name="_Toc129882922"/>
      <w:r>
        <w:rPr>
          <w:rFonts w:hint="eastAsia" w:ascii="方正黑体_GBK" w:cs="Times New Roman"/>
          <w:szCs w:val="28"/>
        </w:rPr>
        <w:t>五、再生资源</w:t>
      </w:r>
      <w:bookmarkEnd w:id="72"/>
    </w:p>
    <w:p w14:paraId="7CE1771B">
      <w:pPr>
        <w:ind w:firstLine="643" w:firstLineChars="200"/>
        <w:rPr>
          <w:rFonts w:cs="Times New Roman"/>
          <w:szCs w:val="28"/>
        </w:rPr>
      </w:pPr>
      <w:r>
        <w:rPr>
          <w:rFonts w:cs="Times New Roman"/>
          <w:b/>
          <w:bCs/>
          <w:szCs w:val="28"/>
        </w:rPr>
        <w:t>废塑料回收体系发展迅速。</w:t>
      </w:r>
      <w:r>
        <w:rPr>
          <w:rFonts w:cs="Times New Roman"/>
          <w:szCs w:val="28"/>
        </w:rPr>
        <w:t>随着国家禁止洋垃圾进口政策</w:t>
      </w:r>
      <w:r>
        <w:rPr>
          <w:rFonts w:hint="eastAsia" w:cs="Times New Roman"/>
          <w:szCs w:val="28"/>
        </w:rPr>
        <w:t>的</w:t>
      </w:r>
      <w:r>
        <w:rPr>
          <w:rFonts w:cs="Times New Roman"/>
          <w:szCs w:val="28"/>
        </w:rPr>
        <w:t>逐步到位，促使行业和企业将工作重点转向国内废塑料资源，废塑料回收体系建设进展较快，相关企业和业户回收积极性不断提高。玄武区扎实推进生活垃圾分类工作，鼓励全区各地建立完善可回收物分类投放回收体系，提高塑料废弃物等可回收物分类收集和处理力度，禁止随意堆放、倾倒造成塑料垃圾污染。</w:t>
      </w:r>
    </w:p>
    <w:p w14:paraId="3E4E8EE5">
      <w:pPr>
        <w:ind w:firstLine="643" w:firstLineChars="200"/>
        <w:rPr>
          <w:rFonts w:cs="Times New Roman"/>
        </w:rPr>
      </w:pPr>
      <w:r>
        <w:rPr>
          <w:rFonts w:cs="Times New Roman"/>
          <w:b/>
          <w:bCs/>
        </w:rPr>
        <w:t>再生资源回收体系不断完善。</w:t>
      </w:r>
      <w:r>
        <w:rPr>
          <w:rFonts w:cs="Times New Roman"/>
        </w:rPr>
        <w:t>向市民发放《玄武区再生资源回收指引手册》等材料，指导再生资源回收利用；加强监督检查，指导再生资源（废品）回收经营者分类摆放、现场管理、依规备案等</w:t>
      </w:r>
      <w:r>
        <w:rPr>
          <w:rFonts w:hint="eastAsia" w:cs="Times New Roman"/>
        </w:rPr>
        <w:t>工作</w:t>
      </w:r>
      <w:r>
        <w:rPr>
          <w:rFonts w:cs="Times New Roman"/>
        </w:rPr>
        <w:t>，建立健全动态管理台账；形成以社区回收站点为基础、分拣加工中心为依托、点面结合的再生资源回收网络体系，逐步提高再生资源回收、分解、集散、加工能力；持续推进商务领域塑料污染治理工作，积极建立商务领域一次性塑料制品使用、回收报告体系。</w:t>
      </w:r>
    </w:p>
    <w:p w14:paraId="59EE25E4">
      <w:pPr>
        <w:pStyle w:val="4"/>
        <w:ind w:firstLine="640"/>
        <w:rPr>
          <w:rFonts w:ascii="方正黑体_GBK" w:cs="Times New Roman"/>
          <w:szCs w:val="28"/>
        </w:rPr>
      </w:pPr>
      <w:bookmarkStart w:id="73" w:name="_Toc129882923"/>
      <w:r>
        <w:rPr>
          <w:rFonts w:hint="eastAsia" w:ascii="方正黑体_GBK" w:cs="Times New Roman"/>
          <w:szCs w:val="28"/>
        </w:rPr>
        <w:t>六、园林绿化废弃物</w:t>
      </w:r>
      <w:bookmarkEnd w:id="73"/>
    </w:p>
    <w:p w14:paraId="0546F626">
      <w:pPr>
        <w:ind w:firstLine="643" w:firstLineChars="200"/>
        <w:rPr>
          <w:rFonts w:cs="Times New Roman"/>
        </w:rPr>
      </w:pPr>
      <w:r>
        <w:rPr>
          <w:rFonts w:cs="Times New Roman"/>
          <w:b/>
          <w:bCs/>
        </w:rPr>
        <w:t>利用处置能力满足需求。</w:t>
      </w:r>
      <w:r>
        <w:rPr>
          <w:rFonts w:cs="Times New Roman"/>
        </w:rPr>
        <w:t>截至2021年，玄武区现有4处绿化废弃物处置场，分别位于红山森林动物园、顾家营、紫金山、玄武湖景区，年处理能力约2.7万吨</w:t>
      </w:r>
      <w:r>
        <w:rPr>
          <w:rFonts w:hint="eastAsia" w:cs="Times New Roman"/>
        </w:rPr>
        <w:t>。</w:t>
      </w:r>
      <w:r>
        <w:rPr>
          <w:rFonts w:cs="Times New Roman"/>
        </w:rPr>
        <w:t>截</w:t>
      </w:r>
      <w:r>
        <w:rPr>
          <w:rFonts w:hint="eastAsia" w:cs="Times New Roman"/>
        </w:rPr>
        <w:t>至</w:t>
      </w:r>
      <w:r>
        <w:rPr>
          <w:rFonts w:cs="Times New Roman"/>
        </w:rPr>
        <w:t>目前共处理</w:t>
      </w:r>
      <w:r>
        <w:rPr>
          <w:rFonts w:hint="eastAsia" w:cs="Times New Roman"/>
        </w:rPr>
        <w:t>园林绿化废弃物</w:t>
      </w:r>
      <w:r>
        <w:rPr>
          <w:rFonts w:cs="Times New Roman"/>
        </w:rPr>
        <w:t>5496.74吨，其中</w:t>
      </w:r>
      <w:r>
        <w:rPr>
          <w:rFonts w:hint="eastAsia" w:cs="Times New Roman"/>
        </w:rPr>
        <w:t>用于</w:t>
      </w:r>
      <w:r>
        <w:rPr>
          <w:rFonts w:cs="Times New Roman"/>
        </w:rPr>
        <w:t>加工成土壤改良剂、覆盖物、培育菌类等1715.18吨，</w:t>
      </w:r>
      <w:r>
        <w:rPr>
          <w:rFonts w:hint="eastAsia" w:cs="Times New Roman"/>
        </w:rPr>
        <w:t>用于</w:t>
      </w:r>
      <w:r>
        <w:rPr>
          <w:rFonts w:cs="Times New Roman"/>
        </w:rPr>
        <w:t>生物质发电等3781.56吨，资源化利用率为31.2%。</w:t>
      </w:r>
    </w:p>
    <w:p w14:paraId="5FD47A1D">
      <w:pPr>
        <w:pStyle w:val="43"/>
        <w:numPr>
          <w:ilvl w:val="0"/>
          <w:numId w:val="12"/>
        </w:numPr>
        <w:snapToGrid w:val="0"/>
        <w:spacing w:beforeLines="0" w:line="560" w:lineRule="exact"/>
        <w:rPr>
          <w:rFonts w:cs="Times New Roman"/>
          <w:szCs w:val="24"/>
        </w:rPr>
      </w:pPr>
      <w:r>
        <w:rPr>
          <w:rFonts w:cs="Times New Roman"/>
          <w:szCs w:val="24"/>
        </w:rPr>
        <w:t>玄武区绿化废弃物处置设施情况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6302"/>
      </w:tblGrid>
      <w:tr w14:paraId="1E97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blHeader/>
        </w:trPr>
        <w:tc>
          <w:tcPr>
            <w:tcW w:w="1522" w:type="pct"/>
            <w:vAlign w:val="center"/>
          </w:tcPr>
          <w:p w14:paraId="1B2D71BE">
            <w:pPr>
              <w:snapToGrid w:val="0"/>
              <w:spacing w:line="400" w:lineRule="exact"/>
              <w:jc w:val="center"/>
              <w:rPr>
                <w:rFonts w:cs="Times New Roman"/>
                <w:b/>
                <w:bCs/>
                <w:sz w:val="24"/>
                <w:szCs w:val="24"/>
              </w:rPr>
            </w:pPr>
            <w:r>
              <w:rPr>
                <w:rFonts w:cs="Times New Roman"/>
                <w:b/>
                <w:bCs/>
                <w:sz w:val="24"/>
                <w:szCs w:val="24"/>
              </w:rPr>
              <w:t>处置设施</w:t>
            </w:r>
          </w:p>
        </w:tc>
        <w:tc>
          <w:tcPr>
            <w:tcW w:w="3478" w:type="pct"/>
            <w:vAlign w:val="center"/>
          </w:tcPr>
          <w:p w14:paraId="2008AC3F">
            <w:pPr>
              <w:snapToGrid w:val="0"/>
              <w:spacing w:line="400" w:lineRule="exact"/>
              <w:jc w:val="center"/>
              <w:rPr>
                <w:rFonts w:cs="Times New Roman"/>
                <w:b/>
                <w:bCs/>
                <w:sz w:val="24"/>
                <w:szCs w:val="24"/>
              </w:rPr>
            </w:pPr>
            <w:r>
              <w:rPr>
                <w:rFonts w:cs="Times New Roman"/>
                <w:b/>
                <w:bCs/>
                <w:sz w:val="24"/>
                <w:szCs w:val="24"/>
              </w:rPr>
              <w:t>处理能力及工艺</w:t>
            </w:r>
          </w:p>
        </w:tc>
      </w:tr>
      <w:tr w14:paraId="6823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 w:type="pct"/>
            <w:vAlign w:val="center"/>
          </w:tcPr>
          <w:p w14:paraId="300F2BB6">
            <w:pPr>
              <w:snapToGrid w:val="0"/>
              <w:spacing w:line="400" w:lineRule="exact"/>
              <w:jc w:val="center"/>
              <w:rPr>
                <w:rFonts w:cs="Times New Roman"/>
                <w:sz w:val="24"/>
                <w:szCs w:val="24"/>
              </w:rPr>
            </w:pPr>
            <w:r>
              <w:rPr>
                <w:rFonts w:cs="Times New Roman"/>
                <w:sz w:val="24"/>
                <w:szCs w:val="24"/>
              </w:rPr>
              <w:t>红山森林动物园场站</w:t>
            </w:r>
          </w:p>
        </w:tc>
        <w:tc>
          <w:tcPr>
            <w:tcW w:w="3478" w:type="pct"/>
            <w:vAlign w:val="center"/>
          </w:tcPr>
          <w:p w14:paraId="73B79627">
            <w:pPr>
              <w:snapToGrid w:val="0"/>
              <w:spacing w:line="360" w:lineRule="exact"/>
              <w:rPr>
                <w:rFonts w:cs="Times New Roman"/>
                <w:sz w:val="24"/>
                <w:szCs w:val="24"/>
              </w:rPr>
            </w:pPr>
            <w:r>
              <w:rPr>
                <w:rFonts w:cs="Times New Roman"/>
                <w:sz w:val="24"/>
                <w:szCs w:val="24"/>
              </w:rPr>
              <w:t>采用密闭式好氧发酵工艺，年处理能力为500吨动植物废弃物，其中园林废弃物动物粪便按照3:1比例进行混合发酵形成有机肥，以生产满足植物营养需求的有机肥</w:t>
            </w:r>
          </w:p>
        </w:tc>
      </w:tr>
      <w:tr w14:paraId="3548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 w:type="pct"/>
            <w:vAlign w:val="center"/>
          </w:tcPr>
          <w:p w14:paraId="04406F7E">
            <w:pPr>
              <w:snapToGrid w:val="0"/>
              <w:spacing w:line="400" w:lineRule="exact"/>
              <w:jc w:val="center"/>
              <w:rPr>
                <w:rFonts w:cs="Times New Roman"/>
                <w:sz w:val="24"/>
                <w:szCs w:val="24"/>
              </w:rPr>
            </w:pPr>
            <w:r>
              <w:rPr>
                <w:rFonts w:cs="Times New Roman"/>
                <w:sz w:val="24"/>
                <w:szCs w:val="24"/>
              </w:rPr>
              <w:t>孝陵卫街道顾家营场站</w:t>
            </w:r>
          </w:p>
        </w:tc>
        <w:tc>
          <w:tcPr>
            <w:tcW w:w="3478" w:type="pct"/>
            <w:vAlign w:val="center"/>
          </w:tcPr>
          <w:p w14:paraId="367E944E">
            <w:pPr>
              <w:snapToGrid w:val="0"/>
              <w:spacing w:line="400" w:lineRule="exact"/>
              <w:rPr>
                <w:rFonts w:cs="Times New Roman"/>
                <w:sz w:val="24"/>
                <w:szCs w:val="24"/>
              </w:rPr>
            </w:pPr>
            <w:r>
              <w:rPr>
                <w:rFonts w:cs="Times New Roman"/>
                <w:sz w:val="24"/>
                <w:szCs w:val="24"/>
              </w:rPr>
              <w:t>现有园林绿化废弃物处置设备（树枝粉碎机）一台，年处理能力400吨</w:t>
            </w:r>
          </w:p>
        </w:tc>
      </w:tr>
      <w:tr w14:paraId="7312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 w:type="pct"/>
            <w:vAlign w:val="center"/>
          </w:tcPr>
          <w:p w14:paraId="3CBEC8A9">
            <w:pPr>
              <w:snapToGrid w:val="0"/>
              <w:spacing w:line="400" w:lineRule="exact"/>
              <w:jc w:val="center"/>
              <w:rPr>
                <w:rFonts w:cs="Times New Roman"/>
                <w:sz w:val="24"/>
                <w:szCs w:val="24"/>
              </w:rPr>
            </w:pPr>
            <w:r>
              <w:rPr>
                <w:rFonts w:cs="Times New Roman"/>
                <w:sz w:val="24"/>
                <w:szCs w:val="24"/>
              </w:rPr>
              <w:t>紫金山园林森林管理处木料场</w:t>
            </w:r>
          </w:p>
        </w:tc>
        <w:tc>
          <w:tcPr>
            <w:tcW w:w="3478" w:type="pct"/>
            <w:vAlign w:val="center"/>
          </w:tcPr>
          <w:p w14:paraId="5579EA14">
            <w:pPr>
              <w:snapToGrid w:val="0"/>
              <w:spacing w:line="360" w:lineRule="exact"/>
              <w:rPr>
                <w:rFonts w:cs="Times New Roman"/>
                <w:sz w:val="24"/>
                <w:szCs w:val="24"/>
              </w:rPr>
            </w:pPr>
            <w:r>
              <w:rPr>
                <w:rFonts w:cs="Times New Roman"/>
                <w:sz w:val="24"/>
                <w:szCs w:val="24"/>
              </w:rPr>
              <w:t>现有粉碎处理设备一台，每天可处理园林废弃物约40吨，年粉碎量1.5万吨，粉碎后主要销售至电厂和粉碎后还林</w:t>
            </w:r>
          </w:p>
        </w:tc>
      </w:tr>
      <w:tr w14:paraId="332B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 w:type="pct"/>
            <w:vAlign w:val="center"/>
          </w:tcPr>
          <w:p w14:paraId="4DE9B228">
            <w:pPr>
              <w:snapToGrid w:val="0"/>
              <w:spacing w:line="400" w:lineRule="exact"/>
              <w:jc w:val="center"/>
              <w:rPr>
                <w:rFonts w:cs="Times New Roman"/>
                <w:sz w:val="24"/>
                <w:szCs w:val="24"/>
              </w:rPr>
            </w:pPr>
            <w:r>
              <w:rPr>
                <w:rFonts w:cs="Times New Roman"/>
                <w:sz w:val="24"/>
                <w:szCs w:val="24"/>
              </w:rPr>
              <w:t>玄武湖景区场站</w:t>
            </w:r>
          </w:p>
        </w:tc>
        <w:tc>
          <w:tcPr>
            <w:tcW w:w="3478" w:type="pct"/>
            <w:vAlign w:val="center"/>
          </w:tcPr>
          <w:p w14:paraId="1A98B1A8">
            <w:pPr>
              <w:snapToGrid w:val="0"/>
              <w:spacing w:line="360" w:lineRule="exact"/>
              <w:rPr>
                <w:rFonts w:cs="Times New Roman"/>
                <w:sz w:val="24"/>
                <w:szCs w:val="24"/>
              </w:rPr>
            </w:pPr>
            <w:r>
              <w:rPr>
                <w:rFonts w:cs="Times New Roman"/>
                <w:sz w:val="24"/>
                <w:szCs w:val="24"/>
              </w:rPr>
              <w:t>配置粉碎处理设备一台，每天可处理园林废弃物约20吨，年粉碎量约0.7万吨，粉碎后主要销售至相关工厂，作为再生板制作原料、颗粒燃料制作原料或营养土</w:t>
            </w:r>
          </w:p>
        </w:tc>
      </w:tr>
    </w:tbl>
    <w:p w14:paraId="53D04110">
      <w:pPr>
        <w:ind w:firstLine="643" w:firstLineChars="200"/>
        <w:rPr>
          <w:rFonts w:cs="Times New Roman"/>
        </w:rPr>
      </w:pPr>
      <w:r>
        <w:rPr>
          <w:rFonts w:cs="Times New Roman"/>
          <w:b/>
          <w:bCs/>
        </w:rPr>
        <w:t>收运处体系较为健全</w:t>
      </w:r>
      <w:r>
        <w:rPr>
          <w:rFonts w:cs="Times New Roman"/>
        </w:rPr>
        <w:t>。对全区现有绿化废弃物处理设施点进行摸底，掌握现有设施规模、运行、管理情况，将区域绿化废弃物处置点</w:t>
      </w:r>
      <w:r>
        <w:rPr>
          <w:rFonts w:hint="eastAsia" w:cs="Times New Roman"/>
        </w:rPr>
        <w:t>设置</w:t>
      </w:r>
      <w:r>
        <w:rPr>
          <w:rFonts w:cs="Times New Roman"/>
        </w:rPr>
        <w:t>情况</w:t>
      </w:r>
      <w:r>
        <w:rPr>
          <w:rFonts w:hint="eastAsia" w:cs="Times New Roman"/>
        </w:rPr>
        <w:t>对外公布</w:t>
      </w:r>
      <w:r>
        <w:rPr>
          <w:rFonts w:cs="Times New Roman"/>
        </w:rPr>
        <w:t>，实现资源共享共用。同步完善联系人沟通机制，成立玄武区绿化废弃物处理</w:t>
      </w:r>
      <w:r>
        <w:rPr>
          <w:rFonts w:hint="eastAsia" w:cs="Times New Roman"/>
        </w:rPr>
        <w:t>工作</w:t>
      </w:r>
      <w:r>
        <w:rPr>
          <w:rFonts w:cs="Times New Roman"/>
        </w:rPr>
        <w:t>群，定期交流信息，协调</w:t>
      </w:r>
      <w:r>
        <w:rPr>
          <w:rFonts w:hint="eastAsia" w:cs="Times New Roman"/>
        </w:rPr>
        <w:t>解决</w:t>
      </w:r>
      <w:r>
        <w:rPr>
          <w:rFonts w:cs="Times New Roman"/>
        </w:rPr>
        <w:t>相关问题。区财政</w:t>
      </w:r>
      <w:r>
        <w:rPr>
          <w:rFonts w:hint="eastAsia" w:cs="Times New Roman"/>
        </w:rPr>
        <w:t>拨付部分经费用于</w:t>
      </w:r>
      <w:r>
        <w:rPr>
          <w:rFonts w:cs="Times New Roman"/>
        </w:rPr>
        <w:t>顾家营场站</w:t>
      </w:r>
      <w:r>
        <w:rPr>
          <w:rFonts w:hint="eastAsia" w:cs="Times New Roman"/>
        </w:rPr>
        <w:t>、</w:t>
      </w:r>
      <w:r>
        <w:rPr>
          <w:rFonts w:cs="Times New Roman"/>
        </w:rPr>
        <w:t>环境集团绿化废弃物处置</w:t>
      </w:r>
      <w:r>
        <w:rPr>
          <w:rFonts w:hint="eastAsia" w:cs="Times New Roman"/>
        </w:rPr>
        <w:t>工作。</w:t>
      </w:r>
    </w:p>
    <w:p w14:paraId="48586B4A">
      <w:pPr>
        <w:pStyle w:val="3"/>
        <w:spacing w:before="0" w:after="0"/>
        <w:rPr>
          <w:rFonts w:ascii="方正黑体_GBK" w:cs="Times New Roman"/>
          <w:szCs w:val="28"/>
        </w:rPr>
      </w:pPr>
      <w:bookmarkStart w:id="74" w:name="_Toc140150510"/>
      <w:bookmarkStart w:id="75" w:name="_Toc129882924"/>
    </w:p>
    <w:p w14:paraId="505D0C70">
      <w:pPr>
        <w:pStyle w:val="3"/>
        <w:spacing w:before="0" w:after="0"/>
        <w:rPr>
          <w:rFonts w:ascii="方正黑体_GBK" w:cs="Times New Roman"/>
          <w:szCs w:val="28"/>
        </w:rPr>
      </w:pPr>
      <w:r>
        <w:rPr>
          <w:rFonts w:hint="eastAsia" w:ascii="方正黑体_GBK" w:cs="Times New Roman"/>
          <w:szCs w:val="28"/>
        </w:rPr>
        <w:t>第三节 固体废物管理工作基础</w:t>
      </w:r>
      <w:bookmarkEnd w:id="74"/>
      <w:bookmarkEnd w:id="75"/>
    </w:p>
    <w:p w14:paraId="4CCCD94A">
      <w:pPr>
        <w:ind w:firstLine="640" w:firstLineChars="200"/>
        <w:rPr>
          <w:rFonts w:hint="eastAsia" w:cs="Times New Roman"/>
        </w:rPr>
      </w:pPr>
      <w:r>
        <w:rPr>
          <w:rFonts w:cs="Times New Roman"/>
        </w:rPr>
        <w:t>近年来，玄武区坚持以改善区域环境质量为核心，牢固树立</w:t>
      </w:r>
      <w:r>
        <w:rPr>
          <w:rFonts w:hint="eastAsia" w:cs="Times New Roman"/>
        </w:rPr>
        <w:t>“</w:t>
      </w:r>
      <w:r>
        <w:rPr>
          <w:rFonts w:cs="Times New Roman"/>
        </w:rPr>
        <w:t>绿水青山就是金山银山</w:t>
      </w:r>
      <w:r>
        <w:rPr>
          <w:rFonts w:hint="eastAsia" w:cs="Times New Roman"/>
        </w:rPr>
        <w:t>”</w:t>
      </w:r>
      <w:r>
        <w:rPr>
          <w:rFonts w:cs="Times New Roman"/>
        </w:rPr>
        <w:t>的发展理念，深入打好污染防治攻坚战，认真履行固体废物污染环境防治职责。严格做好危险废物申报、转移申请、执行转移联单制度、建设规范化贮存场所、开展污染环境应急演练等措施，确保区内危险废物（包括医疗危险废物）的统一收集、分类存储、并交由有资质单位集中处置</w:t>
      </w:r>
      <w:r>
        <w:rPr>
          <w:rFonts w:hint="eastAsia" w:cs="Times New Roman"/>
        </w:rPr>
        <w:t>。</w:t>
      </w:r>
      <w:r>
        <w:rPr>
          <w:rFonts w:cs="Times New Roman"/>
        </w:rPr>
        <w:t>全区推行</w:t>
      </w:r>
      <w:r>
        <w:rPr>
          <w:rFonts w:hint="eastAsia" w:cs="Times New Roman"/>
        </w:rPr>
        <w:t>“</w:t>
      </w:r>
      <w:r>
        <w:rPr>
          <w:rFonts w:cs="Times New Roman"/>
        </w:rPr>
        <w:t>绿色施工</w:t>
      </w:r>
      <w:r>
        <w:rPr>
          <w:rFonts w:hint="eastAsia" w:cs="Times New Roman"/>
        </w:rPr>
        <w:t>”，</w:t>
      </w:r>
      <w:r>
        <w:rPr>
          <w:rFonts w:cs="Times New Roman"/>
        </w:rPr>
        <w:t>提高装配式建筑在新建筑中的比例</w:t>
      </w:r>
      <w:r>
        <w:rPr>
          <w:rFonts w:hint="eastAsia" w:cs="Times New Roman"/>
        </w:rPr>
        <w:t>。</w:t>
      </w:r>
      <w:r>
        <w:rPr>
          <w:rFonts w:cs="Times New Roman"/>
        </w:rPr>
        <w:t>强化</w:t>
      </w:r>
      <w:r>
        <w:rPr>
          <w:rFonts w:hint="eastAsia" w:cs="Times New Roman"/>
        </w:rPr>
        <w:t>“</w:t>
      </w:r>
      <w:r>
        <w:rPr>
          <w:rFonts w:cs="Times New Roman"/>
        </w:rPr>
        <w:t>垃圾分类</w:t>
      </w:r>
      <w:r>
        <w:rPr>
          <w:rFonts w:hint="eastAsia" w:cs="Times New Roman"/>
        </w:rPr>
        <w:t>”</w:t>
      </w:r>
      <w:r>
        <w:rPr>
          <w:rFonts w:cs="Times New Roman"/>
        </w:rPr>
        <w:t>宣传，</w:t>
      </w:r>
      <w:r>
        <w:rPr>
          <w:rFonts w:cs="Times New Roman"/>
          <w:szCs w:val="28"/>
        </w:rPr>
        <w:t>持续推进居民小区生活垃圾分类和单位生活垃圾强制分类工作，进一步完善生活垃圾</w:t>
      </w:r>
      <w:r>
        <w:rPr>
          <w:rFonts w:hint="eastAsia" w:ascii="方正仿宋_GBK" w:cs="Times New Roman"/>
          <w:szCs w:val="28"/>
        </w:rPr>
        <w:t>转运体系。多措并举</w:t>
      </w:r>
      <w:r>
        <w:rPr>
          <w:rFonts w:cs="Times New Roman"/>
        </w:rPr>
        <w:t>扎实推进生态文明建设，各项环境保护工作取得较好进展，区域环境质量稳中有升，有效促进了生活垃圾、建筑垃圾、危险废物等细分领域固体废物管理水平的提升，为玄武区</w:t>
      </w:r>
      <w:r>
        <w:rPr>
          <w:rFonts w:hint="eastAsia" w:cs="Times New Roman"/>
        </w:rPr>
        <w:t>“</w:t>
      </w:r>
      <w:r>
        <w:rPr>
          <w:rFonts w:cs="Times New Roman"/>
        </w:rPr>
        <w:t>无废城市</w:t>
      </w:r>
      <w:r>
        <w:rPr>
          <w:rFonts w:hint="eastAsia" w:cs="Times New Roman"/>
        </w:rPr>
        <w:t>”</w:t>
      </w:r>
      <w:r>
        <w:rPr>
          <w:rFonts w:cs="Times New Roman"/>
        </w:rPr>
        <w:t>建设夯实了基础。</w:t>
      </w:r>
      <w:bookmarkStart w:id="76" w:name="_Toc129882925"/>
      <w:bookmarkStart w:id="77" w:name="_Toc140150511"/>
    </w:p>
    <w:p w14:paraId="39703005">
      <w:pPr>
        <w:pStyle w:val="3"/>
        <w:spacing w:before="0" w:after="0"/>
        <w:rPr>
          <w:rFonts w:ascii="方正黑体_GBK" w:cs="Times New Roman"/>
          <w:szCs w:val="28"/>
        </w:rPr>
      </w:pPr>
      <w:r>
        <w:rPr>
          <w:rFonts w:hint="eastAsia" w:ascii="方正黑体_GBK" w:cs="Times New Roman"/>
          <w:szCs w:val="28"/>
        </w:rPr>
        <w:t>第四节 固体废物管理存在主要问题</w:t>
      </w:r>
      <w:bookmarkEnd w:id="76"/>
      <w:bookmarkEnd w:id="77"/>
    </w:p>
    <w:p w14:paraId="37A4D53A">
      <w:pPr>
        <w:pStyle w:val="4"/>
        <w:ind w:firstLine="640"/>
        <w:rPr>
          <w:rFonts w:ascii="方正黑体_GBK" w:cs="Times New Roman"/>
          <w:szCs w:val="28"/>
        </w:rPr>
      </w:pPr>
      <w:bookmarkStart w:id="78" w:name="_Toc129882926"/>
      <w:r>
        <w:rPr>
          <w:rFonts w:hint="eastAsia" w:ascii="方正黑体_GBK" w:cs="Times New Roman"/>
          <w:szCs w:val="28"/>
        </w:rPr>
        <w:t>一、源头减量仍需持续推进</w:t>
      </w:r>
      <w:bookmarkEnd w:id="78"/>
    </w:p>
    <w:p w14:paraId="45F4114A">
      <w:pPr>
        <w:ind w:firstLine="643" w:firstLineChars="200"/>
        <w:rPr>
          <w:rFonts w:cs="Times New Roman"/>
          <w:szCs w:val="28"/>
        </w:rPr>
      </w:pPr>
      <w:r>
        <w:rPr>
          <w:rFonts w:cs="Times New Roman"/>
          <w:b/>
          <w:bCs/>
          <w:szCs w:val="28"/>
        </w:rPr>
        <w:t>人均生活垃圾产生强度较高。</w:t>
      </w:r>
      <w:r>
        <w:rPr>
          <w:rFonts w:cs="Times New Roman"/>
          <w:szCs w:val="28"/>
        </w:rPr>
        <w:t>玄武区餐饮服务业发达，餐厨、厨余垃圾产生量大。2021年人均生活垃圾产生量1.37kg/人•日，高于南京市平均水平</w:t>
      </w:r>
      <w:r>
        <w:rPr>
          <w:rFonts w:hint="eastAsia" w:cs="Times New Roman"/>
          <w:szCs w:val="28"/>
        </w:rPr>
        <w:t>。</w:t>
      </w:r>
      <w:r>
        <w:rPr>
          <w:rFonts w:cs="Times New Roman"/>
          <w:szCs w:val="28"/>
        </w:rPr>
        <w:t>居民环保节约意识有待提升，生活垃圾产生强度有待进一步降低。</w:t>
      </w:r>
    </w:p>
    <w:p w14:paraId="1F17FA31">
      <w:pPr>
        <w:pStyle w:val="4"/>
        <w:ind w:firstLine="640"/>
        <w:rPr>
          <w:rFonts w:ascii="方正黑体_GBK" w:cs="Times New Roman"/>
          <w:szCs w:val="28"/>
        </w:rPr>
      </w:pPr>
      <w:bookmarkStart w:id="79" w:name="_Toc129882927"/>
      <w:r>
        <w:rPr>
          <w:rFonts w:hint="eastAsia" w:ascii="方正黑体_GBK" w:cs="Times New Roman"/>
          <w:szCs w:val="28"/>
        </w:rPr>
        <w:t>二、分类收运体系有待完善</w:t>
      </w:r>
      <w:bookmarkEnd w:id="79"/>
    </w:p>
    <w:p w14:paraId="3F1C7841">
      <w:pPr>
        <w:ind w:firstLine="643" w:firstLineChars="200"/>
        <w:rPr>
          <w:rFonts w:cs="Times New Roman"/>
          <w:szCs w:val="28"/>
        </w:rPr>
      </w:pPr>
      <w:bookmarkStart w:id="80" w:name="_Hlk112675447"/>
      <w:r>
        <w:rPr>
          <w:rFonts w:cs="Times New Roman"/>
          <w:b/>
          <w:bCs/>
          <w:szCs w:val="28"/>
        </w:rPr>
        <w:t>生活垃圾分类收运有待完善。</w:t>
      </w:r>
      <w:r>
        <w:rPr>
          <w:rFonts w:cs="Times New Roman"/>
        </w:rPr>
        <w:t>生活垃圾转运存在不足，大多中转站露天作业，对周边环境影响较大，受群众投诉较多</w:t>
      </w:r>
      <w:r>
        <w:rPr>
          <w:rFonts w:hint="eastAsia" w:cs="Times New Roman"/>
          <w:szCs w:val="28"/>
        </w:rPr>
        <w:t>。</w:t>
      </w:r>
      <w:r>
        <w:rPr>
          <w:rFonts w:cs="Times New Roman"/>
          <w:szCs w:val="28"/>
        </w:rPr>
        <w:t>有害垃圾回收量仅2.24吨，回收体系有待健全</w:t>
      </w:r>
      <w:r>
        <w:rPr>
          <w:rFonts w:hint="eastAsia" w:cs="Times New Roman"/>
          <w:szCs w:val="28"/>
        </w:rPr>
        <w:t>。</w:t>
      </w:r>
      <w:r>
        <w:rPr>
          <w:rFonts w:cs="Times New Roman"/>
          <w:szCs w:val="28"/>
        </w:rPr>
        <w:t>低价值可回收物</w:t>
      </w:r>
      <w:r>
        <w:rPr>
          <w:rFonts w:cs="Times New Roman"/>
        </w:rPr>
        <w:t>回收成本高、价值低，收运体系尚未完善，行业发展亟需政策扶持</w:t>
      </w:r>
      <w:r>
        <w:rPr>
          <w:rFonts w:cs="Times New Roman"/>
          <w:szCs w:val="28"/>
        </w:rPr>
        <w:t>。</w:t>
      </w:r>
    </w:p>
    <w:p w14:paraId="45589323">
      <w:pPr>
        <w:ind w:firstLine="643" w:firstLineChars="200"/>
        <w:rPr>
          <w:rFonts w:cs="Times New Roman"/>
          <w:szCs w:val="28"/>
        </w:rPr>
      </w:pPr>
      <w:r>
        <w:rPr>
          <w:rFonts w:cs="Times New Roman"/>
          <w:b/>
          <w:bCs/>
          <w:szCs w:val="28"/>
        </w:rPr>
        <w:t>小量危险废物集中收集体系有待提升</w:t>
      </w:r>
      <w:r>
        <w:rPr>
          <w:rFonts w:cs="Times New Roman"/>
          <w:szCs w:val="28"/>
        </w:rPr>
        <w:t>。玄武区危险废物主要来自教育、研发</w:t>
      </w:r>
      <w:r>
        <w:rPr>
          <w:rFonts w:hint="eastAsia" w:cs="Times New Roman"/>
          <w:szCs w:val="28"/>
        </w:rPr>
        <w:t>、</w:t>
      </w:r>
      <w:r>
        <w:rPr>
          <w:rFonts w:cs="Times New Roman"/>
          <w:szCs w:val="28"/>
        </w:rPr>
        <w:t>汽修</w:t>
      </w:r>
      <w:r>
        <w:rPr>
          <w:rFonts w:hint="eastAsia" w:cs="Times New Roman"/>
          <w:szCs w:val="28"/>
        </w:rPr>
        <w:t>等行业，存在</w:t>
      </w:r>
      <w:r>
        <w:rPr>
          <w:rFonts w:cs="Times New Roman"/>
          <w:szCs w:val="28"/>
        </w:rPr>
        <w:t>量小面广的特点，危险废物分类分级管理体系有待健全</w:t>
      </w:r>
      <w:r>
        <w:rPr>
          <w:rFonts w:hint="eastAsia" w:cs="Times New Roman"/>
          <w:szCs w:val="28"/>
        </w:rPr>
        <w:t>。</w:t>
      </w:r>
      <w:r>
        <w:rPr>
          <w:rFonts w:cs="Times New Roman"/>
          <w:szCs w:val="28"/>
        </w:rPr>
        <w:t>针对小量危险废物产生企业的集中收集</w:t>
      </w:r>
      <w:r>
        <w:rPr>
          <w:rFonts w:hint="eastAsia" w:cs="Times New Roman"/>
          <w:szCs w:val="28"/>
        </w:rPr>
        <w:t>工作</w:t>
      </w:r>
      <w:r>
        <w:rPr>
          <w:rFonts w:cs="Times New Roman"/>
          <w:szCs w:val="28"/>
        </w:rPr>
        <w:t>有待提升，收集体系仍待进一步完善。</w:t>
      </w:r>
    </w:p>
    <w:p w14:paraId="21F227AF">
      <w:pPr>
        <w:ind w:firstLine="643" w:firstLineChars="200"/>
        <w:rPr>
          <w:rFonts w:cs="Times New Roman"/>
          <w:szCs w:val="28"/>
        </w:rPr>
      </w:pPr>
      <w:r>
        <w:rPr>
          <w:rFonts w:hint="eastAsia" w:cs="Times New Roman"/>
          <w:b/>
          <w:bCs/>
          <w:szCs w:val="28"/>
        </w:rPr>
        <w:t>“</w:t>
      </w:r>
      <w:r>
        <w:rPr>
          <w:rFonts w:cs="Times New Roman"/>
          <w:b/>
          <w:bCs/>
          <w:szCs w:val="28"/>
        </w:rPr>
        <w:t>平战结合</w:t>
      </w:r>
      <w:r>
        <w:rPr>
          <w:rFonts w:hint="eastAsia" w:cs="Times New Roman"/>
          <w:b/>
          <w:bCs/>
          <w:szCs w:val="28"/>
        </w:rPr>
        <w:t>”</w:t>
      </w:r>
      <w:r>
        <w:rPr>
          <w:rFonts w:cs="Times New Roman"/>
          <w:b/>
          <w:bCs/>
          <w:szCs w:val="28"/>
        </w:rPr>
        <w:t>医疗收运体系有待完善</w:t>
      </w:r>
      <w:r>
        <w:rPr>
          <w:rFonts w:cs="Times New Roman"/>
          <w:szCs w:val="28"/>
        </w:rPr>
        <w:t>。</w:t>
      </w:r>
      <w:r>
        <w:rPr>
          <w:rFonts w:hint="eastAsia" w:cs="Times New Roman"/>
          <w:szCs w:val="28"/>
        </w:rPr>
        <w:t>玄武区</w:t>
      </w:r>
      <w:r>
        <w:rPr>
          <w:rFonts w:cs="Times New Roman"/>
        </w:rPr>
        <w:t>小型医疗机构</w:t>
      </w:r>
      <w:r>
        <w:rPr>
          <w:rFonts w:hint="eastAsia" w:cs="Times New Roman"/>
        </w:rPr>
        <w:t>、</w:t>
      </w:r>
      <w:r>
        <w:rPr>
          <w:rFonts w:cs="Times New Roman"/>
        </w:rPr>
        <w:t>社区卫生服务站</w:t>
      </w:r>
      <w:r>
        <w:rPr>
          <w:rFonts w:hint="eastAsia" w:cs="Times New Roman"/>
        </w:rPr>
        <w:t>等相对较多，但</w:t>
      </w:r>
      <w:r>
        <w:rPr>
          <w:rFonts w:cs="Times New Roman"/>
        </w:rPr>
        <w:t>医疗废物集中处置公司收运能力有限，</w:t>
      </w:r>
      <w:r>
        <w:rPr>
          <w:rFonts w:hint="eastAsia" w:cs="Times New Roman"/>
        </w:rPr>
        <w:t>还存在部分</w:t>
      </w:r>
      <w:r>
        <w:rPr>
          <w:rFonts w:cs="Times New Roman"/>
        </w:rPr>
        <w:t>医疗废物贮存超时、超量、转运不及时现象。</w:t>
      </w:r>
    </w:p>
    <w:p w14:paraId="76B3ACAA">
      <w:pPr>
        <w:ind w:firstLine="643" w:firstLineChars="200"/>
        <w:rPr>
          <w:rFonts w:cs="Times New Roman"/>
        </w:rPr>
      </w:pPr>
      <w:r>
        <w:rPr>
          <w:rFonts w:cs="Times New Roman"/>
          <w:b/>
          <w:bCs/>
          <w:szCs w:val="28"/>
        </w:rPr>
        <w:t>再生资源回收体系有待完善</w:t>
      </w:r>
      <w:r>
        <w:rPr>
          <w:rFonts w:cs="Times New Roman"/>
          <w:szCs w:val="28"/>
        </w:rPr>
        <w:t>。</w:t>
      </w:r>
      <w:r>
        <w:rPr>
          <w:rFonts w:cs="Times New Roman"/>
        </w:rPr>
        <w:t>再生资源回收行业市场准入门槛较低，组织化程度</w:t>
      </w:r>
      <w:r>
        <w:rPr>
          <w:rFonts w:hint="eastAsia" w:cs="Times New Roman"/>
        </w:rPr>
        <w:t>较</w:t>
      </w:r>
      <w:r>
        <w:rPr>
          <w:rFonts w:cs="Times New Roman"/>
        </w:rPr>
        <w:t>低，技术装备水平和管理水平</w:t>
      </w:r>
      <w:r>
        <w:rPr>
          <w:rFonts w:hint="eastAsia" w:cs="Times New Roman"/>
        </w:rPr>
        <w:t>相对</w:t>
      </w:r>
      <w:r>
        <w:rPr>
          <w:rFonts w:cs="Times New Roman"/>
        </w:rPr>
        <w:t>落后。回收企业多为小微企业，</w:t>
      </w:r>
      <w:r>
        <w:rPr>
          <w:rFonts w:hint="eastAsia" w:cs="Times New Roman"/>
        </w:rPr>
        <w:t>因</w:t>
      </w:r>
      <w:r>
        <w:rPr>
          <w:rFonts w:cs="Times New Roman"/>
        </w:rPr>
        <w:t>缺乏知名度，缺少抵押物，</w:t>
      </w:r>
      <w:r>
        <w:rPr>
          <w:rFonts w:hint="eastAsia" w:cs="Times New Roman"/>
        </w:rPr>
        <w:t>存在</w:t>
      </w:r>
      <w:r>
        <w:rPr>
          <w:rFonts w:cs="Times New Roman"/>
        </w:rPr>
        <w:t>融资难</w:t>
      </w:r>
      <w:r>
        <w:rPr>
          <w:rFonts w:hint="eastAsia" w:cs="Times New Roman"/>
        </w:rPr>
        <w:t>、</w:t>
      </w:r>
      <w:r>
        <w:rPr>
          <w:rFonts w:cs="Times New Roman"/>
        </w:rPr>
        <w:t>信贷难</w:t>
      </w:r>
      <w:r>
        <w:rPr>
          <w:rFonts w:hint="eastAsia" w:cs="Times New Roman"/>
        </w:rPr>
        <w:t>的问题</w:t>
      </w:r>
      <w:r>
        <w:rPr>
          <w:rFonts w:cs="Times New Roman"/>
        </w:rPr>
        <w:t>，</w:t>
      </w:r>
      <w:r>
        <w:rPr>
          <w:rFonts w:hint="eastAsia" w:cs="Times New Roman"/>
        </w:rPr>
        <w:t>从而导致</w:t>
      </w:r>
      <w:r>
        <w:rPr>
          <w:rFonts w:cs="Times New Roman"/>
        </w:rPr>
        <w:t>在技术、人才投入等方面</w:t>
      </w:r>
      <w:r>
        <w:rPr>
          <w:rFonts w:hint="eastAsia" w:cs="Times New Roman"/>
        </w:rPr>
        <w:t>不足</w:t>
      </w:r>
      <w:r>
        <w:rPr>
          <w:rFonts w:cs="Times New Roman"/>
        </w:rPr>
        <w:t>，产业链延伸</w:t>
      </w:r>
      <w:r>
        <w:rPr>
          <w:rFonts w:hint="eastAsia" w:cs="Times New Roman"/>
        </w:rPr>
        <w:t>困难。因</w:t>
      </w:r>
      <w:r>
        <w:rPr>
          <w:rFonts w:cs="Times New Roman"/>
        </w:rPr>
        <w:t>再生产品技术含量低</w:t>
      </w:r>
      <w:r>
        <w:rPr>
          <w:rFonts w:hint="eastAsia" w:cs="Times New Roman"/>
        </w:rPr>
        <w:t>、</w:t>
      </w:r>
      <w:r>
        <w:rPr>
          <w:rFonts w:cs="Times New Roman"/>
        </w:rPr>
        <w:t>创新性差</w:t>
      </w:r>
      <w:r>
        <w:rPr>
          <w:rFonts w:hint="eastAsia" w:cs="Times New Roman"/>
        </w:rPr>
        <w:t>、</w:t>
      </w:r>
      <w:r>
        <w:rPr>
          <w:rFonts w:cs="Times New Roman"/>
        </w:rPr>
        <w:t>竞争力弱</w:t>
      </w:r>
      <w:r>
        <w:rPr>
          <w:rFonts w:hint="eastAsia" w:cs="Times New Roman"/>
        </w:rPr>
        <w:t>、</w:t>
      </w:r>
      <w:r>
        <w:rPr>
          <w:rFonts w:cs="Times New Roman"/>
        </w:rPr>
        <w:t>企业利润薄，行业</w:t>
      </w:r>
      <w:r>
        <w:rPr>
          <w:rFonts w:hint="eastAsia" w:cs="Times New Roman"/>
        </w:rPr>
        <w:t>“</w:t>
      </w:r>
      <w:r>
        <w:rPr>
          <w:rFonts w:cs="Times New Roman"/>
        </w:rPr>
        <w:t>低小散</w:t>
      </w:r>
      <w:r>
        <w:rPr>
          <w:rFonts w:hint="eastAsia" w:cs="Times New Roman"/>
        </w:rPr>
        <w:t>”</w:t>
      </w:r>
      <w:r>
        <w:rPr>
          <w:rFonts w:cs="Times New Roman"/>
        </w:rPr>
        <w:t>格局</w:t>
      </w:r>
      <w:r>
        <w:rPr>
          <w:rFonts w:hint="eastAsia" w:cs="Times New Roman"/>
        </w:rPr>
        <w:t>有待改变</w:t>
      </w:r>
      <w:r>
        <w:rPr>
          <w:rFonts w:cs="Times New Roman"/>
        </w:rPr>
        <w:t>。</w:t>
      </w:r>
      <w:bookmarkEnd w:id="80"/>
    </w:p>
    <w:p w14:paraId="452EB076">
      <w:pPr>
        <w:pStyle w:val="4"/>
        <w:ind w:firstLine="640"/>
        <w:rPr>
          <w:rFonts w:ascii="方正黑体_GBK" w:cs="Times New Roman"/>
          <w:szCs w:val="28"/>
        </w:rPr>
      </w:pPr>
      <w:bookmarkStart w:id="81" w:name="_Toc129882928"/>
      <w:r>
        <w:rPr>
          <w:rFonts w:hint="eastAsia" w:ascii="方正黑体_GBK" w:cs="Times New Roman"/>
          <w:szCs w:val="28"/>
        </w:rPr>
        <w:t>三、“无废细胞”抓手有待发挥</w:t>
      </w:r>
      <w:bookmarkEnd w:id="81"/>
    </w:p>
    <w:p w14:paraId="29506B77">
      <w:pPr>
        <w:ind w:firstLine="640" w:firstLineChars="200"/>
        <w:rPr>
          <w:rFonts w:cs="Times New Roman"/>
        </w:rPr>
      </w:pPr>
      <w:r>
        <w:rPr>
          <w:rFonts w:hint="eastAsia" w:cs="Times New Roman"/>
        </w:rPr>
        <w:t>“</w:t>
      </w:r>
      <w:r>
        <w:rPr>
          <w:rFonts w:cs="Times New Roman"/>
        </w:rPr>
        <w:t>无废细胞</w:t>
      </w:r>
      <w:r>
        <w:rPr>
          <w:rFonts w:hint="eastAsia" w:cs="Times New Roman"/>
        </w:rPr>
        <w:t>”</w:t>
      </w:r>
      <w:r>
        <w:rPr>
          <w:rFonts w:cs="Times New Roman"/>
        </w:rPr>
        <w:t>是</w:t>
      </w:r>
      <w:r>
        <w:rPr>
          <w:rFonts w:hint="eastAsia" w:cs="Times New Roman"/>
        </w:rPr>
        <w:t>“</w:t>
      </w:r>
      <w:r>
        <w:rPr>
          <w:rFonts w:cs="Times New Roman"/>
        </w:rPr>
        <w:t>无废城市</w:t>
      </w:r>
      <w:r>
        <w:rPr>
          <w:rFonts w:hint="eastAsia" w:cs="Times New Roman"/>
        </w:rPr>
        <w:t>”</w:t>
      </w:r>
      <w:r>
        <w:rPr>
          <w:rFonts w:cs="Times New Roman"/>
        </w:rPr>
        <w:t>建设的关键载体，也是日常社会生活中</w:t>
      </w:r>
      <w:r>
        <w:rPr>
          <w:rFonts w:hint="eastAsia" w:cs="Times New Roman"/>
        </w:rPr>
        <w:t>“</w:t>
      </w:r>
      <w:r>
        <w:rPr>
          <w:rFonts w:cs="Times New Roman"/>
        </w:rPr>
        <w:t>无废</w:t>
      </w:r>
      <w:r>
        <w:rPr>
          <w:rFonts w:hint="eastAsia" w:cs="Times New Roman"/>
        </w:rPr>
        <w:t>”</w:t>
      </w:r>
      <w:r>
        <w:rPr>
          <w:rFonts w:cs="Times New Roman"/>
        </w:rPr>
        <w:t>理念的基本组成单元。以</w:t>
      </w:r>
      <w:r>
        <w:rPr>
          <w:rFonts w:hint="eastAsia" w:cs="Times New Roman"/>
        </w:rPr>
        <w:t>“</w:t>
      </w:r>
      <w:r>
        <w:rPr>
          <w:rFonts w:cs="Times New Roman"/>
        </w:rPr>
        <w:t>无废细胞</w:t>
      </w:r>
      <w:r>
        <w:rPr>
          <w:rFonts w:hint="eastAsia" w:cs="Times New Roman"/>
        </w:rPr>
        <w:t>”</w:t>
      </w:r>
      <w:r>
        <w:rPr>
          <w:rFonts w:cs="Times New Roman"/>
        </w:rPr>
        <w:t>为抓手开展</w:t>
      </w:r>
      <w:r>
        <w:rPr>
          <w:rFonts w:hint="eastAsia" w:cs="Times New Roman"/>
        </w:rPr>
        <w:t>“</w:t>
      </w:r>
      <w:r>
        <w:rPr>
          <w:rFonts w:cs="Times New Roman"/>
        </w:rPr>
        <w:t>无废城市</w:t>
      </w:r>
      <w:r>
        <w:rPr>
          <w:rFonts w:hint="eastAsia" w:cs="Times New Roman"/>
        </w:rPr>
        <w:t>”</w:t>
      </w:r>
      <w:r>
        <w:rPr>
          <w:rFonts w:cs="Times New Roman"/>
        </w:rPr>
        <w:t>建设，能有效加强固体废物分类处置，促进固体废物减量化、资源化、无害化和再利用，为在区域层面系统开展</w:t>
      </w:r>
      <w:r>
        <w:rPr>
          <w:rFonts w:hint="eastAsia" w:cs="Times New Roman"/>
        </w:rPr>
        <w:t>“</w:t>
      </w:r>
      <w:r>
        <w:rPr>
          <w:rFonts w:cs="Times New Roman"/>
        </w:rPr>
        <w:t>无废城市</w:t>
      </w:r>
      <w:r>
        <w:rPr>
          <w:rFonts w:hint="eastAsia" w:cs="Times New Roman"/>
        </w:rPr>
        <w:t>”</w:t>
      </w:r>
      <w:r>
        <w:rPr>
          <w:rFonts w:cs="Times New Roman"/>
        </w:rPr>
        <w:t>建设试点，推进资源全面节约和循环利用奠定扎实的基础。</w:t>
      </w:r>
    </w:p>
    <w:p w14:paraId="2C92E43B">
      <w:pPr>
        <w:pStyle w:val="4"/>
        <w:ind w:firstLine="640"/>
        <w:rPr>
          <w:rFonts w:ascii="方正黑体_GBK" w:cs="Times New Roman"/>
          <w:szCs w:val="28"/>
        </w:rPr>
      </w:pPr>
      <w:bookmarkStart w:id="82" w:name="_Toc129882929"/>
      <w:r>
        <w:rPr>
          <w:rFonts w:hint="eastAsia" w:ascii="方正黑体_GBK" w:cs="Times New Roman"/>
          <w:szCs w:val="28"/>
        </w:rPr>
        <w:t>四、绿色“无废”理念有待宣传</w:t>
      </w:r>
      <w:bookmarkEnd w:id="82"/>
    </w:p>
    <w:p w14:paraId="0C8B3546">
      <w:pPr>
        <w:ind w:firstLine="640" w:firstLineChars="200"/>
        <w:rPr>
          <w:rFonts w:cs="Times New Roman"/>
          <w:b/>
          <w:bCs/>
          <w:szCs w:val="28"/>
          <w:highlight w:val="lightGray"/>
        </w:rPr>
      </w:pPr>
      <w:r>
        <w:rPr>
          <w:rFonts w:cs="Times New Roman"/>
          <w:szCs w:val="28"/>
        </w:rPr>
        <w:t>固废分类意识还未有效形成，对固废的分类和处理知识普及不够，社会参与度不高</w:t>
      </w:r>
      <w:r>
        <w:rPr>
          <w:rFonts w:hint="eastAsia" w:cs="Times New Roman"/>
          <w:szCs w:val="28"/>
        </w:rPr>
        <w:t>。</w:t>
      </w:r>
      <w:r>
        <w:rPr>
          <w:rFonts w:cs="Times New Roman"/>
          <w:szCs w:val="28"/>
        </w:rPr>
        <w:t>本地民间环保组织尚处于发育之中，社会影响力不强</w:t>
      </w:r>
      <w:r>
        <w:rPr>
          <w:rFonts w:hint="eastAsia" w:cs="Times New Roman"/>
          <w:szCs w:val="28"/>
        </w:rPr>
        <w:t>。</w:t>
      </w:r>
      <w:r>
        <w:rPr>
          <w:rFonts w:cs="Times New Roman"/>
          <w:szCs w:val="28"/>
        </w:rPr>
        <w:t>行业协会之间信息交流不够，无法形成回收和利用企业之间的合作机制</w:t>
      </w:r>
      <w:r>
        <w:rPr>
          <w:rFonts w:hint="eastAsia" w:cs="Times New Roman"/>
          <w:szCs w:val="28"/>
        </w:rPr>
        <w:t>。</w:t>
      </w:r>
      <w:r>
        <w:rPr>
          <w:rFonts w:cs="Times New Roman"/>
          <w:szCs w:val="28"/>
        </w:rPr>
        <w:t>公众的自我组织潜能需要</w:t>
      </w:r>
      <w:r>
        <w:rPr>
          <w:rFonts w:hint="eastAsia" w:cs="Times New Roman"/>
          <w:szCs w:val="28"/>
        </w:rPr>
        <w:t>进一步</w:t>
      </w:r>
      <w:r>
        <w:rPr>
          <w:rFonts w:cs="Times New Roman"/>
          <w:szCs w:val="28"/>
        </w:rPr>
        <w:t>挖掘，</w:t>
      </w:r>
      <w:r>
        <w:rPr>
          <w:rFonts w:hint="eastAsia" w:cs="Times New Roman"/>
          <w:szCs w:val="28"/>
        </w:rPr>
        <w:t>还需</w:t>
      </w:r>
      <w:r>
        <w:rPr>
          <w:rFonts w:cs="Times New Roman"/>
          <w:szCs w:val="28"/>
        </w:rPr>
        <w:t>建立有效的沟通渠道，形成积极互动的社会氛围。</w:t>
      </w:r>
    </w:p>
    <w:p w14:paraId="19A2FDEC">
      <w:pPr>
        <w:pStyle w:val="4"/>
        <w:spacing w:line="540" w:lineRule="exact"/>
        <w:ind w:firstLine="640"/>
        <w:rPr>
          <w:rFonts w:ascii="方正黑体_GBK" w:cs="Times New Roman"/>
          <w:szCs w:val="28"/>
        </w:rPr>
      </w:pPr>
      <w:bookmarkStart w:id="83" w:name="_Toc129882930"/>
      <w:r>
        <w:rPr>
          <w:rFonts w:hint="eastAsia" w:ascii="方正黑体_GBK" w:cs="Times New Roman"/>
          <w:szCs w:val="28"/>
        </w:rPr>
        <w:t>五、系统保障能力有待强化</w:t>
      </w:r>
      <w:bookmarkEnd w:id="83"/>
    </w:p>
    <w:p w14:paraId="1BFB97E8">
      <w:pPr>
        <w:spacing w:line="540" w:lineRule="exact"/>
        <w:ind w:firstLine="643" w:firstLineChars="200"/>
        <w:rPr>
          <w:rFonts w:cs="Times New Roman"/>
          <w:szCs w:val="28"/>
        </w:rPr>
      </w:pPr>
      <w:r>
        <w:rPr>
          <w:rFonts w:cs="Times New Roman"/>
          <w:b/>
          <w:bCs/>
          <w:szCs w:val="28"/>
        </w:rPr>
        <w:t>制度体系有待完善。</w:t>
      </w:r>
      <w:r>
        <w:rPr>
          <w:rFonts w:cs="Times New Roman"/>
          <w:szCs w:val="28"/>
        </w:rPr>
        <w:t>固废管理涉及生态环境局、城管局、建设局、房产局等多个部门，当前</w:t>
      </w:r>
      <w:r>
        <w:rPr>
          <w:rFonts w:hint="eastAsia" w:cs="Times New Roman"/>
          <w:szCs w:val="28"/>
        </w:rPr>
        <w:t>还</w:t>
      </w:r>
      <w:r>
        <w:rPr>
          <w:rFonts w:cs="Times New Roman"/>
          <w:szCs w:val="28"/>
        </w:rPr>
        <w:t>存在部门间交流沟通不足、权责分工尚不明晰等问题，多部门协同处置机制不顺畅，统一协调机制尚未建立</w:t>
      </w:r>
      <w:r>
        <w:rPr>
          <w:rFonts w:hint="eastAsia" w:cs="Times New Roman"/>
          <w:szCs w:val="28"/>
        </w:rPr>
        <w:t>。</w:t>
      </w:r>
      <w:r>
        <w:rPr>
          <w:rFonts w:cs="Times New Roman"/>
          <w:szCs w:val="28"/>
        </w:rPr>
        <w:t>拆建垃圾、装修垃圾、工程渣土、工程泥浆尚未建立完善的数据统计方式，缺乏系统化、精细化的申报统计制度</w:t>
      </w:r>
      <w:r>
        <w:rPr>
          <w:rFonts w:hint="eastAsia" w:cs="Times New Roman"/>
          <w:szCs w:val="28"/>
        </w:rPr>
        <w:t>。</w:t>
      </w:r>
      <w:r>
        <w:rPr>
          <w:rFonts w:cs="Times New Roman"/>
          <w:szCs w:val="28"/>
        </w:rPr>
        <w:t>各类固废管理平台分散，集成式统计系统有待建立。</w:t>
      </w:r>
    </w:p>
    <w:p w14:paraId="3587F9E7">
      <w:pPr>
        <w:spacing w:line="540" w:lineRule="exact"/>
        <w:ind w:firstLine="643" w:firstLineChars="200"/>
        <w:rPr>
          <w:rFonts w:cs="Times New Roman"/>
          <w:szCs w:val="28"/>
        </w:rPr>
      </w:pPr>
      <w:r>
        <w:rPr>
          <w:rFonts w:cs="Times New Roman"/>
          <w:b/>
          <w:bCs/>
          <w:szCs w:val="28"/>
        </w:rPr>
        <w:t>市场化机制尚不成熟。</w:t>
      </w:r>
      <w:r>
        <w:rPr>
          <w:rFonts w:cs="Times New Roman"/>
          <w:szCs w:val="28"/>
        </w:rPr>
        <w:t>现有</w:t>
      </w:r>
      <w:r>
        <w:rPr>
          <w:rFonts w:hint="eastAsia" w:cs="Times New Roman"/>
          <w:szCs w:val="28"/>
        </w:rPr>
        <w:t>“</w:t>
      </w:r>
      <w:r>
        <w:rPr>
          <w:rFonts w:cs="Times New Roman"/>
          <w:szCs w:val="28"/>
        </w:rPr>
        <w:t>环保贷</w:t>
      </w:r>
      <w:r>
        <w:rPr>
          <w:rFonts w:hint="eastAsia" w:cs="Times New Roman"/>
          <w:szCs w:val="28"/>
        </w:rPr>
        <w:t>”</w:t>
      </w:r>
      <w:r>
        <w:rPr>
          <w:rFonts w:cs="Times New Roman"/>
          <w:szCs w:val="28"/>
        </w:rPr>
        <w:t>政策融资额度较低，无法完全满足市场所需</w:t>
      </w:r>
      <w:r>
        <w:rPr>
          <w:rFonts w:hint="eastAsia" w:cs="Times New Roman"/>
          <w:szCs w:val="28"/>
        </w:rPr>
        <w:t>。</w:t>
      </w:r>
      <w:r>
        <w:rPr>
          <w:rFonts w:cs="Times New Roman"/>
          <w:szCs w:val="28"/>
        </w:rPr>
        <w:t>企业融资成本较高，融资渠道单一</w:t>
      </w:r>
      <w:r>
        <w:rPr>
          <w:rFonts w:hint="eastAsia" w:cs="Times New Roman"/>
          <w:szCs w:val="28"/>
        </w:rPr>
        <w:t>。</w:t>
      </w:r>
      <w:r>
        <w:rPr>
          <w:rFonts w:cs="Times New Roman"/>
          <w:szCs w:val="28"/>
        </w:rPr>
        <w:t>财税支持政策不足，固废处置利用设施的市场化机制还不够成熟，资源化利用尚未形成产业化规模</w:t>
      </w:r>
      <w:r>
        <w:rPr>
          <w:rFonts w:hint="eastAsia" w:cs="Times New Roman"/>
          <w:szCs w:val="28"/>
        </w:rPr>
        <w:t>。</w:t>
      </w:r>
      <w:r>
        <w:rPr>
          <w:rFonts w:cs="Times New Roman"/>
          <w:szCs w:val="28"/>
        </w:rPr>
        <w:t>装修垃圾资源化缺乏配套的财税政策与激励机制，市场参与度不高，低价值可回收物、建筑垃圾再生产品附加值普遍较低，缺少扶持政策。</w:t>
      </w:r>
    </w:p>
    <w:p w14:paraId="77B980D8">
      <w:pPr>
        <w:spacing w:line="540" w:lineRule="exact"/>
        <w:ind w:firstLine="643" w:firstLineChars="200"/>
        <w:rPr>
          <w:rFonts w:hint="eastAsia" w:cs="Times New Roman"/>
          <w:szCs w:val="28"/>
        </w:rPr>
      </w:pPr>
      <w:r>
        <w:rPr>
          <w:rFonts w:cs="Times New Roman"/>
          <w:b/>
          <w:bCs/>
          <w:szCs w:val="28"/>
        </w:rPr>
        <w:t>监管体系有待进一步优化</w:t>
      </w:r>
      <w:r>
        <w:rPr>
          <w:rFonts w:cs="Times New Roman"/>
          <w:szCs w:val="28"/>
        </w:rPr>
        <w:t>。玄武区</w:t>
      </w:r>
      <w:r>
        <w:rPr>
          <w:rFonts w:hint="eastAsia" w:cs="Times New Roman"/>
          <w:szCs w:val="28"/>
        </w:rPr>
        <w:t>已</w:t>
      </w:r>
      <w:r>
        <w:rPr>
          <w:rFonts w:cs="Times New Roman"/>
          <w:szCs w:val="28"/>
        </w:rPr>
        <w:t>建立危险废物、生活垃圾、医疗废物等信息化系统，但仍有部分固废缺乏信息化监管能力，部分信息化平台信息不全面，有效的、可追溯的统计数据有待进一步完善，且各系统之间无法互通互联，集成的信息化管理平台暂未建立，固体废物整体信息化管理水平有待提高。2021年，玄武区危险废物贮存率较高，容易引起环境安全风险，需进一步加强危险废物监管工作，持续推进</w:t>
      </w:r>
      <w:r>
        <w:rPr>
          <w:rFonts w:hint="eastAsia" w:cs="Times New Roman"/>
          <w:szCs w:val="28"/>
        </w:rPr>
        <w:t>“</w:t>
      </w:r>
      <w:r>
        <w:rPr>
          <w:rFonts w:cs="Times New Roman"/>
          <w:szCs w:val="28"/>
        </w:rPr>
        <w:t>减存量、控风险</w:t>
      </w:r>
      <w:r>
        <w:rPr>
          <w:rFonts w:hint="eastAsia" w:cs="Times New Roman"/>
          <w:szCs w:val="28"/>
        </w:rPr>
        <w:t>”</w:t>
      </w:r>
      <w:r>
        <w:rPr>
          <w:rFonts w:cs="Times New Roman"/>
          <w:szCs w:val="28"/>
        </w:rPr>
        <w:t>行动，推进危废无害化处置。</w:t>
      </w:r>
      <w:bookmarkStart w:id="84" w:name="_Toc129882931"/>
      <w:bookmarkStart w:id="85" w:name="_Toc140150512"/>
    </w:p>
    <w:p w14:paraId="46C75BF4">
      <w:pPr>
        <w:pStyle w:val="3"/>
        <w:spacing w:before="0" w:after="0"/>
        <w:rPr>
          <w:rFonts w:ascii="方正黑体_GBK" w:cs="Times New Roman"/>
          <w:szCs w:val="28"/>
        </w:rPr>
      </w:pPr>
    </w:p>
    <w:p w14:paraId="5B89B469">
      <w:pPr>
        <w:pStyle w:val="3"/>
        <w:spacing w:before="0" w:after="0"/>
        <w:rPr>
          <w:rFonts w:ascii="方正黑体_GBK" w:cs="Times New Roman"/>
          <w:szCs w:val="28"/>
        </w:rPr>
      </w:pPr>
      <w:r>
        <w:rPr>
          <w:rFonts w:hint="eastAsia" w:ascii="方正黑体_GBK" w:cs="Times New Roman"/>
          <w:szCs w:val="28"/>
        </w:rPr>
        <w:t>第五节 “无废城市”建设的机遇与挑战</w:t>
      </w:r>
      <w:bookmarkEnd w:id="84"/>
      <w:bookmarkEnd w:id="85"/>
      <w:bookmarkStart w:id="86" w:name="_Hlk114087082"/>
    </w:p>
    <w:p w14:paraId="00C3A1E9">
      <w:pPr>
        <w:ind w:firstLine="643" w:firstLineChars="200"/>
        <w:rPr>
          <w:rFonts w:cs="Times New Roman"/>
          <w:szCs w:val="28"/>
        </w:rPr>
      </w:pPr>
      <w:r>
        <w:rPr>
          <w:rFonts w:cs="Times New Roman"/>
          <w:b/>
          <w:bCs/>
          <w:szCs w:val="28"/>
        </w:rPr>
        <w:t>重大机遇。</w:t>
      </w:r>
      <w:r>
        <w:rPr>
          <w:rFonts w:cs="Times New Roman"/>
          <w:szCs w:val="28"/>
        </w:rPr>
        <w:t>在国家战略</w:t>
      </w:r>
      <w:r>
        <w:rPr>
          <w:rFonts w:hint="eastAsia" w:cs="Times New Roman"/>
          <w:szCs w:val="28"/>
        </w:rPr>
        <w:t>层面</w:t>
      </w:r>
      <w:r>
        <w:rPr>
          <w:rFonts w:cs="Times New Roman"/>
          <w:szCs w:val="28"/>
        </w:rPr>
        <w:t>，</w:t>
      </w:r>
      <w:r>
        <w:rPr>
          <w:rFonts w:hint="eastAsia" w:cs="Times New Roman"/>
          <w:szCs w:val="28"/>
        </w:rPr>
        <w:t>随着</w:t>
      </w:r>
      <w:r>
        <w:rPr>
          <w:rFonts w:cs="Times New Roman"/>
          <w:szCs w:val="28"/>
        </w:rPr>
        <w:t>习近平生态文明思想</w:t>
      </w:r>
      <w:r>
        <w:rPr>
          <w:rFonts w:hint="eastAsia" w:cs="Times New Roman"/>
          <w:szCs w:val="28"/>
        </w:rPr>
        <w:t>的深入贯彻、深入</w:t>
      </w:r>
      <w:r>
        <w:rPr>
          <w:rFonts w:cs="Times New Roman"/>
          <w:szCs w:val="28"/>
        </w:rPr>
        <w:t>打好污染防治攻坚战</w:t>
      </w:r>
      <w:r>
        <w:rPr>
          <w:rFonts w:hint="eastAsia" w:cs="Times New Roman"/>
          <w:szCs w:val="28"/>
        </w:rPr>
        <w:t>的持续推进，</w:t>
      </w:r>
      <w:r>
        <w:rPr>
          <w:rFonts w:cs="Times New Roman"/>
          <w:szCs w:val="28"/>
        </w:rPr>
        <w:t>碳达峰</w:t>
      </w:r>
      <w:r>
        <w:rPr>
          <w:rFonts w:hint="eastAsia" w:cs="Times New Roman"/>
          <w:szCs w:val="28"/>
        </w:rPr>
        <w:t>、</w:t>
      </w:r>
      <w:r>
        <w:rPr>
          <w:rFonts w:cs="Times New Roman"/>
          <w:szCs w:val="28"/>
        </w:rPr>
        <w:t>碳中和战略部署</w:t>
      </w:r>
      <w:r>
        <w:rPr>
          <w:rFonts w:hint="eastAsia" w:cs="Times New Roman"/>
          <w:szCs w:val="28"/>
        </w:rPr>
        <w:t>贯彻落实</w:t>
      </w:r>
      <w:r>
        <w:rPr>
          <w:rFonts w:cs="Times New Roman"/>
          <w:szCs w:val="28"/>
        </w:rPr>
        <w:t>，为</w:t>
      </w:r>
      <w:r>
        <w:rPr>
          <w:rFonts w:hint="eastAsia" w:cs="Times New Roman"/>
          <w:szCs w:val="28"/>
        </w:rPr>
        <w:t>推动</w:t>
      </w:r>
      <w:r>
        <w:rPr>
          <w:rFonts w:cs="Times New Roman"/>
          <w:szCs w:val="28"/>
        </w:rPr>
        <w:t>玄武区生态文明建设</w:t>
      </w:r>
      <w:r>
        <w:rPr>
          <w:rFonts w:hint="eastAsia" w:cs="Times New Roman"/>
          <w:szCs w:val="28"/>
        </w:rPr>
        <w:t>，提升</w:t>
      </w:r>
      <w:r>
        <w:rPr>
          <w:rFonts w:cs="Times New Roman"/>
          <w:szCs w:val="28"/>
        </w:rPr>
        <w:t>生态环境质量提供</w:t>
      </w:r>
      <w:r>
        <w:rPr>
          <w:rFonts w:hint="eastAsia" w:cs="Times New Roman"/>
          <w:szCs w:val="28"/>
        </w:rPr>
        <w:t>了</w:t>
      </w:r>
      <w:r>
        <w:rPr>
          <w:rFonts w:cs="Times New Roman"/>
          <w:szCs w:val="28"/>
        </w:rPr>
        <w:t>行动指南</w:t>
      </w:r>
      <w:r>
        <w:rPr>
          <w:rFonts w:hint="eastAsia" w:cs="Times New Roman"/>
          <w:szCs w:val="28"/>
        </w:rPr>
        <w:t>。</w:t>
      </w:r>
      <w:r>
        <w:rPr>
          <w:rFonts w:cs="Times New Roman"/>
          <w:szCs w:val="28"/>
        </w:rPr>
        <w:t>在区域发展</w:t>
      </w:r>
      <w:r>
        <w:rPr>
          <w:rFonts w:hint="eastAsia" w:cs="Times New Roman"/>
          <w:szCs w:val="28"/>
        </w:rPr>
        <w:t>层面</w:t>
      </w:r>
      <w:r>
        <w:rPr>
          <w:rFonts w:cs="Times New Roman"/>
          <w:szCs w:val="28"/>
        </w:rPr>
        <w:t>，</w:t>
      </w:r>
      <w:r>
        <w:rPr>
          <w:rFonts w:hint="eastAsia" w:cs="Times New Roman"/>
          <w:szCs w:val="28"/>
        </w:rPr>
        <w:t>“</w:t>
      </w:r>
      <w:r>
        <w:rPr>
          <w:rFonts w:cs="Times New Roman"/>
          <w:szCs w:val="28"/>
        </w:rPr>
        <w:t>一带一路</w:t>
      </w:r>
      <w:r>
        <w:rPr>
          <w:rFonts w:hint="eastAsia" w:cs="Times New Roman"/>
          <w:szCs w:val="28"/>
        </w:rPr>
        <w:t>”</w:t>
      </w:r>
      <w:r>
        <w:rPr>
          <w:rFonts w:cs="Times New Roman"/>
          <w:szCs w:val="28"/>
        </w:rPr>
        <w:t>建设、长江经济带、长三角区域一体化发展、长江</w:t>
      </w:r>
      <w:r>
        <w:rPr>
          <w:rFonts w:hint="eastAsia" w:cs="Times New Roman"/>
          <w:szCs w:val="28"/>
        </w:rPr>
        <w:t>“</w:t>
      </w:r>
      <w:r>
        <w:rPr>
          <w:rFonts w:cs="Times New Roman"/>
          <w:szCs w:val="28"/>
        </w:rPr>
        <w:t>十年禁渔</w:t>
      </w:r>
      <w:r>
        <w:rPr>
          <w:rFonts w:hint="eastAsia" w:cs="Times New Roman"/>
          <w:szCs w:val="28"/>
        </w:rPr>
        <w:t>”</w:t>
      </w:r>
      <w:r>
        <w:rPr>
          <w:rFonts w:cs="Times New Roman"/>
          <w:szCs w:val="28"/>
        </w:rPr>
        <w:t>、南京都市圈、宁镇扬同城化等战略深入实施，为玄武区生态环境保护提供了契机</w:t>
      </w:r>
      <w:r>
        <w:rPr>
          <w:rFonts w:hint="eastAsia" w:cs="Times New Roman"/>
          <w:szCs w:val="28"/>
        </w:rPr>
        <w:t>和</w:t>
      </w:r>
      <w:r>
        <w:rPr>
          <w:rFonts w:cs="Times New Roman"/>
          <w:szCs w:val="28"/>
        </w:rPr>
        <w:t>发展方向，为各类固体废物综合治理和区域协同联治带来新</w:t>
      </w:r>
      <w:r>
        <w:rPr>
          <w:rFonts w:hint="eastAsia" w:cs="Times New Roman"/>
          <w:szCs w:val="28"/>
        </w:rPr>
        <w:t>的</w:t>
      </w:r>
      <w:r>
        <w:rPr>
          <w:rFonts w:cs="Times New Roman"/>
          <w:szCs w:val="28"/>
        </w:rPr>
        <w:t>机遇</w:t>
      </w:r>
      <w:r>
        <w:rPr>
          <w:rFonts w:hint="eastAsia" w:cs="Times New Roman"/>
          <w:szCs w:val="28"/>
        </w:rPr>
        <w:t>。</w:t>
      </w:r>
      <w:r>
        <w:rPr>
          <w:rFonts w:cs="Times New Roman"/>
          <w:szCs w:val="28"/>
        </w:rPr>
        <w:t>在城市高质量发展</w:t>
      </w:r>
      <w:r>
        <w:rPr>
          <w:rFonts w:hint="eastAsia" w:cs="Times New Roman"/>
          <w:szCs w:val="28"/>
        </w:rPr>
        <w:t>层面</w:t>
      </w:r>
      <w:r>
        <w:rPr>
          <w:rFonts w:cs="Times New Roman"/>
          <w:szCs w:val="28"/>
        </w:rPr>
        <w:t>，《玄武区国民经济和社会发展第十四个五年规划和二</w:t>
      </w:r>
      <w:r>
        <w:rPr>
          <w:rFonts w:hint="eastAsia" w:ascii="方正仿宋_GBK" w:hAnsi="方正仿宋_GBK" w:cs="方正仿宋_GBK"/>
          <w:szCs w:val="28"/>
        </w:rPr>
        <w:t>〇</w:t>
      </w:r>
      <w:r>
        <w:rPr>
          <w:rFonts w:cs="Times New Roman"/>
          <w:szCs w:val="28"/>
        </w:rPr>
        <w:t>三五年远景目标纲要》明确</w:t>
      </w:r>
      <w:r>
        <w:rPr>
          <w:rFonts w:hint="eastAsia" w:cs="Times New Roman"/>
          <w:szCs w:val="28"/>
        </w:rPr>
        <w:t>了</w:t>
      </w:r>
      <w:r>
        <w:rPr>
          <w:rFonts w:cs="Times New Roman"/>
          <w:szCs w:val="28"/>
        </w:rPr>
        <w:t>玄武区建设具有中国特色、时代特征、国际影响的社会主义现代化中心城区，完善城市精细化管理体系，加强对城市管理突出问题的综合治理，提升市容环境品质，推进</w:t>
      </w:r>
      <w:r>
        <w:rPr>
          <w:rFonts w:hint="eastAsia" w:cs="Times New Roman"/>
          <w:szCs w:val="28"/>
        </w:rPr>
        <w:t>“</w:t>
      </w:r>
      <w:r>
        <w:rPr>
          <w:rFonts w:cs="Times New Roman"/>
          <w:szCs w:val="28"/>
        </w:rPr>
        <w:t>无废城区</w:t>
      </w:r>
      <w:r>
        <w:rPr>
          <w:rFonts w:hint="eastAsia" w:cs="Times New Roman"/>
          <w:szCs w:val="28"/>
        </w:rPr>
        <w:t>”</w:t>
      </w:r>
      <w:r>
        <w:rPr>
          <w:rFonts w:cs="Times New Roman"/>
          <w:szCs w:val="28"/>
        </w:rPr>
        <w:t>建设</w:t>
      </w:r>
      <w:r>
        <w:rPr>
          <w:rFonts w:hint="eastAsia" w:cs="Times New Roman"/>
          <w:szCs w:val="28"/>
        </w:rPr>
        <w:t>等目标。</w:t>
      </w:r>
    </w:p>
    <w:p w14:paraId="062F816B">
      <w:pPr>
        <w:ind w:firstLine="643" w:firstLineChars="200"/>
        <w:rPr>
          <w:rFonts w:cs="Times New Roman"/>
          <w:szCs w:val="28"/>
        </w:rPr>
        <w:sectPr>
          <w:pgSz w:w="11906" w:h="16838"/>
          <w:pgMar w:top="2098" w:right="1474" w:bottom="1701" w:left="1588" w:header="851" w:footer="1247" w:gutter="0"/>
          <w:cols w:space="425" w:num="1"/>
          <w:docGrid w:type="lines" w:linePitch="435" w:charSpace="0"/>
        </w:sectPr>
      </w:pPr>
      <w:r>
        <w:rPr>
          <w:rFonts w:cs="Times New Roman"/>
          <w:b/>
          <w:bCs/>
          <w:szCs w:val="28"/>
        </w:rPr>
        <w:t>主要挑战。</w:t>
      </w:r>
      <w:r>
        <w:rPr>
          <w:rFonts w:cs="Times New Roman"/>
          <w:szCs w:val="28"/>
        </w:rPr>
        <w:t>固废体制机制有待完善，城市固废管理与产业发展、循环经济发展的融合统筹不足。无废文化氛围、跨区域固废过程监管、多源固废协同处置监管、部门协调机制等方面缺少制度引导，缺乏有效的经济手段和市场化措施</w:t>
      </w:r>
      <w:r>
        <w:rPr>
          <w:rFonts w:hint="eastAsia" w:cs="Times New Roman"/>
          <w:szCs w:val="28"/>
        </w:rPr>
        <w:t>。</w:t>
      </w:r>
      <w:r>
        <w:rPr>
          <w:rFonts w:cs="Times New Roman"/>
          <w:szCs w:val="28"/>
        </w:rPr>
        <w:t>新兴产业发展带来固废治理新压力，随着新能源汽车产业的发展，报废汽车、动力电池等新兴再生资源回收体系不成熟等过去关注不够的问题逐渐显现，固废治理问题将处于新老交织、多领域化的复杂阶段</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建设是一项系统工程，需要政府、企业、公众、社会组织等多元协作，需要在强化源头减量和多渠道协同利用上下更大力气。</w:t>
      </w:r>
    </w:p>
    <w:bookmarkEnd w:id="86"/>
    <w:p w14:paraId="16E9BC94">
      <w:pPr>
        <w:pStyle w:val="2"/>
        <w:numPr>
          <w:ilvl w:val="0"/>
          <w:numId w:val="0"/>
        </w:numPr>
        <w:spacing w:beforeLines="0" w:after="0"/>
        <w:rPr>
          <w:rFonts w:ascii="方正黑体_GBK" w:cs="Times New Roman"/>
          <w:szCs w:val="28"/>
        </w:rPr>
      </w:pPr>
      <w:bookmarkStart w:id="87" w:name="_Toc140150513"/>
      <w:bookmarkStart w:id="88" w:name="_Toc129882932"/>
      <w:r>
        <w:rPr>
          <w:rFonts w:hint="eastAsia" w:ascii="方正黑体_GBK" w:cs="Times New Roman"/>
          <w:szCs w:val="28"/>
        </w:rPr>
        <w:t>第三章 建设思路与目标指标</w:t>
      </w:r>
      <w:bookmarkEnd w:id="87"/>
      <w:bookmarkEnd w:id="88"/>
    </w:p>
    <w:p w14:paraId="507FEC39">
      <w:pPr>
        <w:pStyle w:val="3"/>
        <w:spacing w:before="0" w:after="0"/>
        <w:rPr>
          <w:rFonts w:ascii="方正黑体_GBK" w:cs="Times New Roman"/>
          <w:szCs w:val="28"/>
        </w:rPr>
      </w:pPr>
      <w:bookmarkStart w:id="89" w:name="_Toc140150514"/>
      <w:bookmarkStart w:id="90" w:name="_Toc129882933"/>
    </w:p>
    <w:p w14:paraId="773A2B9C">
      <w:pPr>
        <w:pStyle w:val="3"/>
        <w:spacing w:before="0" w:after="0"/>
        <w:rPr>
          <w:rFonts w:ascii="方正黑体_GBK" w:cs="Times New Roman"/>
          <w:szCs w:val="28"/>
        </w:rPr>
      </w:pPr>
      <w:r>
        <w:rPr>
          <w:rFonts w:hint="eastAsia" w:ascii="方正黑体_GBK" w:cs="Times New Roman"/>
          <w:szCs w:val="28"/>
        </w:rPr>
        <w:t>第一节 建设思路</w:t>
      </w:r>
      <w:bookmarkEnd w:id="89"/>
      <w:bookmarkEnd w:id="90"/>
    </w:p>
    <w:p w14:paraId="09D11639">
      <w:pPr>
        <w:ind w:firstLine="640" w:firstLineChars="200"/>
        <w:rPr>
          <w:rFonts w:cs="Times New Roman"/>
          <w:szCs w:val="28"/>
        </w:rPr>
      </w:pPr>
      <w:r>
        <w:rPr>
          <w:rFonts w:cs="Times New Roman"/>
          <w:szCs w:val="28"/>
        </w:rPr>
        <w:t>以习近平新时代中国特色社会主义思想为指导，全面贯彻党的二十大精神和新发展理念，深入推进污染防治攻坚和城市精细化管理，以生活垃圾、建筑垃圾、危险废物为重点，强化制度、技术、市场、监管体系建设，持续推动固体废物减量化、资源化、无害化，实现减废降碳协同增效，为加快建设人民满意的社会主义现代化典范城市提供坚强支撑。</w:t>
      </w:r>
    </w:p>
    <w:p w14:paraId="25009526">
      <w:pPr>
        <w:pStyle w:val="3"/>
        <w:spacing w:before="0" w:after="0"/>
        <w:rPr>
          <w:rFonts w:ascii="方正黑体_GBK" w:cs="Times New Roman"/>
          <w:szCs w:val="28"/>
        </w:rPr>
      </w:pPr>
      <w:bookmarkStart w:id="91" w:name="_Toc140150515"/>
      <w:bookmarkStart w:id="92" w:name="_Toc129882934"/>
    </w:p>
    <w:p w14:paraId="5995B4B4">
      <w:pPr>
        <w:pStyle w:val="3"/>
        <w:spacing w:before="0" w:after="0"/>
        <w:rPr>
          <w:rFonts w:ascii="方正黑体_GBK" w:cs="Times New Roman"/>
          <w:szCs w:val="28"/>
        </w:rPr>
      </w:pPr>
      <w:r>
        <w:rPr>
          <w:rFonts w:hint="eastAsia" w:ascii="方正黑体_GBK" w:cs="Times New Roman"/>
          <w:szCs w:val="28"/>
        </w:rPr>
        <w:t>第二节 基本原则</w:t>
      </w:r>
      <w:bookmarkEnd w:id="91"/>
      <w:bookmarkEnd w:id="92"/>
    </w:p>
    <w:p w14:paraId="09732B52">
      <w:pPr>
        <w:ind w:firstLine="643" w:firstLineChars="200"/>
        <w:rPr>
          <w:rFonts w:cs="Times New Roman"/>
          <w:szCs w:val="28"/>
        </w:rPr>
      </w:pPr>
      <w:r>
        <w:rPr>
          <w:rFonts w:cs="Times New Roman"/>
          <w:b/>
          <w:bCs/>
          <w:szCs w:val="28"/>
        </w:rPr>
        <w:t>坚持系统谋划，完善体制机制。</w:t>
      </w:r>
      <w:r>
        <w:rPr>
          <w:rFonts w:cs="Times New Roman"/>
          <w:szCs w:val="28"/>
        </w:rPr>
        <w:t>以经济社会发展全面绿色转型为引领，统筹推进经济高质量发展和生态环境高水平保护，坚持减污降碳协同增效，系统谋划碳达峰碳中和重大战略部署下的</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建设行动路线图。</w:t>
      </w:r>
    </w:p>
    <w:p w14:paraId="1ABC193F">
      <w:pPr>
        <w:ind w:firstLine="643" w:firstLineChars="200"/>
        <w:rPr>
          <w:rFonts w:cs="Times New Roman"/>
          <w:szCs w:val="28"/>
        </w:rPr>
      </w:pPr>
      <w:r>
        <w:rPr>
          <w:rFonts w:cs="Times New Roman"/>
          <w:b/>
          <w:bCs/>
          <w:szCs w:val="28"/>
        </w:rPr>
        <w:t>坚持问题导向，补齐短板弱项。</w:t>
      </w:r>
      <w:r>
        <w:rPr>
          <w:rFonts w:cs="Times New Roman"/>
          <w:szCs w:val="28"/>
        </w:rPr>
        <w:t>紧盯固体废物产生、收运关键环节，着力破解当前固体废物收运体系不健全、回收利用水平不高、信息化集成管理水平不高、协同监管缺乏合力等突出问题，加快补齐能力短板。</w:t>
      </w:r>
    </w:p>
    <w:p w14:paraId="4D10E8C5">
      <w:pPr>
        <w:ind w:firstLine="643" w:firstLineChars="200"/>
        <w:rPr>
          <w:rFonts w:cs="Times New Roman"/>
          <w:szCs w:val="28"/>
        </w:rPr>
      </w:pPr>
      <w:r>
        <w:rPr>
          <w:rFonts w:cs="Times New Roman"/>
          <w:b/>
          <w:bCs/>
          <w:szCs w:val="28"/>
        </w:rPr>
        <w:t>坚持改革创新，打造亮点特色。</w:t>
      </w:r>
      <w:r>
        <w:rPr>
          <w:rFonts w:cs="Times New Roman"/>
          <w:szCs w:val="28"/>
        </w:rPr>
        <w:t>坚持政府引导和市场主导相结合，推动制度创新、技术创新、模式创新和管理创新，健全固体废物污染环境防治长效机制，打造玄武区</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特色亮点。</w:t>
      </w:r>
    </w:p>
    <w:p w14:paraId="5A48B2CD">
      <w:pPr>
        <w:ind w:firstLine="643" w:firstLineChars="200"/>
        <w:rPr>
          <w:rFonts w:cs="Times New Roman"/>
          <w:szCs w:val="28"/>
        </w:rPr>
      </w:pPr>
      <w:r>
        <w:rPr>
          <w:rFonts w:cs="Times New Roman"/>
          <w:b/>
          <w:bCs/>
          <w:szCs w:val="28"/>
        </w:rPr>
        <w:t>坚持共建共享，压实各方责任。</w:t>
      </w:r>
      <w:r>
        <w:rPr>
          <w:rFonts w:cs="Times New Roman"/>
          <w:szCs w:val="28"/>
        </w:rPr>
        <w:t>构建党委领导、政府主导、企业主体、社会组织和公众共同参与的</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建设体系，形成分工明确、权责清晰、科学合理的共建机制</w:t>
      </w:r>
      <w:r>
        <w:rPr>
          <w:rFonts w:hint="eastAsia" w:cs="Times New Roman"/>
          <w:szCs w:val="28"/>
        </w:rPr>
        <w:t>，构建</w:t>
      </w:r>
      <w:r>
        <w:rPr>
          <w:rFonts w:cs="Times New Roman"/>
          <w:szCs w:val="28"/>
        </w:rPr>
        <w:t>全社会参与、共同受益的</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建设新格局。</w:t>
      </w:r>
    </w:p>
    <w:p w14:paraId="1F013BC2">
      <w:pPr>
        <w:pStyle w:val="3"/>
        <w:spacing w:before="0" w:after="0"/>
        <w:rPr>
          <w:rFonts w:ascii="方正黑体_GBK" w:cs="Times New Roman"/>
          <w:szCs w:val="28"/>
        </w:rPr>
      </w:pPr>
      <w:bookmarkStart w:id="93" w:name="_Toc140150516"/>
      <w:bookmarkStart w:id="94" w:name="_Toc129882935"/>
    </w:p>
    <w:p w14:paraId="661A581E">
      <w:pPr>
        <w:pStyle w:val="3"/>
        <w:spacing w:before="0" w:after="0"/>
        <w:rPr>
          <w:rFonts w:ascii="方正黑体_GBK" w:cs="Times New Roman"/>
          <w:szCs w:val="28"/>
        </w:rPr>
      </w:pPr>
      <w:r>
        <w:rPr>
          <w:rFonts w:hint="eastAsia" w:ascii="方正黑体_GBK" w:cs="Times New Roman"/>
          <w:szCs w:val="28"/>
        </w:rPr>
        <w:t>第三节 建设目标</w:t>
      </w:r>
      <w:bookmarkEnd w:id="93"/>
      <w:bookmarkEnd w:id="94"/>
    </w:p>
    <w:p w14:paraId="4057487B">
      <w:pPr>
        <w:pStyle w:val="4"/>
        <w:ind w:firstLine="640"/>
        <w:rPr>
          <w:rFonts w:ascii="方正黑体_GBK" w:cs="Times New Roman"/>
          <w:szCs w:val="28"/>
        </w:rPr>
      </w:pPr>
      <w:bookmarkStart w:id="95" w:name="_Toc129882936"/>
      <w:r>
        <w:rPr>
          <w:rFonts w:hint="eastAsia" w:ascii="方正黑体_GBK" w:cs="Times New Roman"/>
          <w:szCs w:val="28"/>
        </w:rPr>
        <w:t>一、总体目标</w:t>
      </w:r>
      <w:bookmarkEnd w:id="95"/>
    </w:p>
    <w:p w14:paraId="3439400D">
      <w:pPr>
        <w:ind w:firstLine="640" w:firstLineChars="200"/>
        <w:rPr>
          <w:rFonts w:cs="Times New Roman"/>
          <w:szCs w:val="28"/>
        </w:rPr>
      </w:pPr>
      <w:r>
        <w:rPr>
          <w:rFonts w:cs="Times New Roman"/>
          <w:szCs w:val="28"/>
        </w:rPr>
        <w:t>立足玄武发展实际，通过重源头、促减量，践行绿色低碳发展；通过重分类、推回收，完善固废收运体系；通过重利用、减处置，强化固废末端管理；通过重</w:t>
      </w:r>
      <w:r>
        <w:rPr>
          <w:rFonts w:hint="eastAsia" w:cs="Times New Roman"/>
          <w:szCs w:val="28"/>
        </w:rPr>
        <w:t>“</w:t>
      </w:r>
      <w:r>
        <w:rPr>
          <w:rFonts w:cs="Times New Roman"/>
          <w:szCs w:val="28"/>
        </w:rPr>
        <w:t>细胞</w:t>
      </w:r>
      <w:r>
        <w:rPr>
          <w:rFonts w:hint="eastAsia" w:cs="Times New Roman"/>
          <w:szCs w:val="28"/>
        </w:rPr>
        <w:t>”</w:t>
      </w:r>
      <w:r>
        <w:rPr>
          <w:rFonts w:cs="Times New Roman"/>
          <w:szCs w:val="28"/>
        </w:rPr>
        <w:t>、抓特色，助推玄武全域</w:t>
      </w:r>
      <w:r>
        <w:rPr>
          <w:rFonts w:hint="eastAsia" w:cs="Times New Roman"/>
          <w:szCs w:val="28"/>
        </w:rPr>
        <w:t>“</w:t>
      </w:r>
      <w:r>
        <w:rPr>
          <w:rFonts w:cs="Times New Roman"/>
          <w:szCs w:val="28"/>
        </w:rPr>
        <w:t>无废</w:t>
      </w:r>
      <w:r>
        <w:rPr>
          <w:rFonts w:hint="eastAsia" w:cs="Times New Roman"/>
          <w:szCs w:val="28"/>
        </w:rPr>
        <w:t>”</w:t>
      </w:r>
      <w:r>
        <w:rPr>
          <w:rFonts w:cs="Times New Roman"/>
          <w:szCs w:val="28"/>
        </w:rPr>
        <w:t>；通过重宣传、齐参与，营造</w:t>
      </w:r>
      <w:r>
        <w:rPr>
          <w:rFonts w:hint="eastAsia" w:cs="Times New Roman"/>
          <w:szCs w:val="28"/>
        </w:rPr>
        <w:t>“</w:t>
      </w:r>
      <w:r>
        <w:rPr>
          <w:rFonts w:cs="Times New Roman"/>
          <w:szCs w:val="28"/>
        </w:rPr>
        <w:t>绿色无废</w:t>
      </w:r>
      <w:r>
        <w:rPr>
          <w:rFonts w:hint="eastAsia" w:cs="Times New Roman"/>
          <w:szCs w:val="28"/>
        </w:rPr>
        <w:t>”</w:t>
      </w:r>
      <w:r>
        <w:rPr>
          <w:rFonts w:cs="Times New Roman"/>
          <w:szCs w:val="28"/>
        </w:rPr>
        <w:t>氛围；通过重保障、健体系，推进</w:t>
      </w:r>
      <w:r>
        <w:rPr>
          <w:rFonts w:hint="eastAsia" w:cs="Times New Roman"/>
          <w:szCs w:val="28"/>
        </w:rPr>
        <w:t>“</w:t>
      </w:r>
      <w:r>
        <w:rPr>
          <w:rFonts w:cs="Times New Roman"/>
          <w:szCs w:val="28"/>
        </w:rPr>
        <w:t>无废玄武</w:t>
      </w:r>
      <w:r>
        <w:rPr>
          <w:rFonts w:hint="eastAsia" w:cs="Times New Roman"/>
          <w:szCs w:val="28"/>
        </w:rPr>
        <w:t>”</w:t>
      </w:r>
      <w:r>
        <w:rPr>
          <w:rFonts w:cs="Times New Roman"/>
          <w:szCs w:val="28"/>
        </w:rPr>
        <w:t>建设，建成政府主导、市场运作、科技支撑、公众参与的共建共治共享管理体系，实现固体废物产生强度下降、分类回收体系有效构建、</w:t>
      </w:r>
      <w:r>
        <w:rPr>
          <w:rFonts w:hint="eastAsia" w:cs="Times New Roman"/>
          <w:szCs w:val="28"/>
        </w:rPr>
        <w:t>“</w:t>
      </w:r>
      <w:r>
        <w:rPr>
          <w:rFonts w:cs="Times New Roman"/>
          <w:szCs w:val="28"/>
        </w:rPr>
        <w:t>无废</w:t>
      </w:r>
      <w:r>
        <w:rPr>
          <w:rFonts w:hint="eastAsia" w:cs="Times New Roman"/>
          <w:szCs w:val="28"/>
        </w:rPr>
        <w:t>”</w:t>
      </w:r>
      <w:r>
        <w:rPr>
          <w:rFonts w:cs="Times New Roman"/>
          <w:szCs w:val="28"/>
        </w:rPr>
        <w:t>理念文化有效宣传、四大体系有效保障，减污降碳协同增效。</w:t>
      </w:r>
    </w:p>
    <w:p w14:paraId="526D8D52">
      <w:pPr>
        <w:ind w:firstLine="640" w:firstLineChars="200"/>
        <w:rPr>
          <w:rFonts w:cs="Times New Roman"/>
          <w:szCs w:val="28"/>
        </w:rPr>
      </w:pPr>
      <w:r>
        <w:rPr>
          <w:rFonts w:cs="Times New Roman"/>
          <w:szCs w:val="28"/>
        </w:rPr>
        <w:t>围绕</w:t>
      </w:r>
      <w:r>
        <w:rPr>
          <w:rFonts w:hint="eastAsia" w:cs="Times New Roman"/>
          <w:szCs w:val="28"/>
        </w:rPr>
        <w:t>“</w:t>
      </w:r>
      <w:r>
        <w:rPr>
          <w:rFonts w:cs="Times New Roman"/>
          <w:szCs w:val="28"/>
        </w:rPr>
        <w:t>无废玄武</w:t>
      </w:r>
      <w:r>
        <w:rPr>
          <w:rFonts w:hint="eastAsia" w:cs="Times New Roman"/>
          <w:szCs w:val="28"/>
        </w:rPr>
        <w:t>”</w:t>
      </w:r>
      <w:r>
        <w:rPr>
          <w:rFonts w:cs="Times New Roman"/>
          <w:szCs w:val="28"/>
        </w:rPr>
        <w:t>立体宣传、</w:t>
      </w:r>
      <w:r>
        <w:rPr>
          <w:rFonts w:hint="eastAsia" w:cs="Times New Roman"/>
          <w:szCs w:val="28"/>
        </w:rPr>
        <w:t>“</w:t>
      </w:r>
      <w:r>
        <w:rPr>
          <w:rFonts w:cs="Times New Roman"/>
          <w:szCs w:val="28"/>
        </w:rPr>
        <w:t>无废景区</w:t>
      </w:r>
      <w:r>
        <w:rPr>
          <w:rFonts w:hint="eastAsia" w:cs="Times New Roman"/>
          <w:szCs w:val="28"/>
        </w:rPr>
        <w:t>”</w:t>
      </w:r>
      <w:r>
        <w:rPr>
          <w:rFonts w:cs="Times New Roman"/>
          <w:szCs w:val="28"/>
        </w:rPr>
        <w:t>绿色旅游和</w:t>
      </w:r>
      <w:r>
        <w:rPr>
          <w:rFonts w:hint="eastAsia" w:cs="Times New Roman"/>
          <w:szCs w:val="28"/>
        </w:rPr>
        <w:t>“</w:t>
      </w:r>
      <w:r>
        <w:rPr>
          <w:rFonts w:cs="Times New Roman"/>
          <w:szCs w:val="28"/>
        </w:rPr>
        <w:t>玄武环保宝</w:t>
      </w:r>
      <w:r>
        <w:rPr>
          <w:rFonts w:hint="eastAsia" w:cs="Times New Roman"/>
          <w:szCs w:val="28"/>
        </w:rPr>
        <w:t>”</w:t>
      </w:r>
      <w:r>
        <w:rPr>
          <w:rFonts w:cs="Times New Roman"/>
          <w:szCs w:val="28"/>
        </w:rPr>
        <w:t>资源回收三大特色模式，构建具有玄武特色的</w:t>
      </w:r>
      <w:r>
        <w:rPr>
          <w:rFonts w:hint="eastAsia" w:cs="Times New Roman"/>
          <w:szCs w:val="28"/>
        </w:rPr>
        <w:t>“</w:t>
      </w:r>
      <w:r>
        <w:rPr>
          <w:rFonts w:cs="Times New Roman"/>
          <w:szCs w:val="28"/>
        </w:rPr>
        <w:t>无废典范模式</w:t>
      </w:r>
      <w:r>
        <w:rPr>
          <w:rFonts w:hint="eastAsia" w:cs="Times New Roman"/>
          <w:szCs w:val="28"/>
        </w:rPr>
        <w:t>”</w:t>
      </w:r>
      <w:r>
        <w:rPr>
          <w:rFonts w:cs="Times New Roman"/>
          <w:szCs w:val="28"/>
        </w:rPr>
        <w:t>。</w:t>
      </w:r>
    </w:p>
    <w:p w14:paraId="02F69804">
      <w:pPr>
        <w:spacing w:line="240" w:lineRule="auto"/>
        <w:jc w:val="center"/>
        <w:rPr>
          <w:rFonts w:cs="Times New Roman"/>
        </w:rPr>
      </w:pPr>
      <w:r>
        <w:rPr>
          <w:rFonts w:cs="Times New Roman"/>
        </w:rPr>
        <w:object>
          <v:shape id="_x0000_i1028" o:spt="75" type="#_x0000_t75" style="height:165.75pt;width:404.25pt;" o:ole="t" filled="f" o:preferrelative="t" stroked="f" coordsize="21600,21600">
            <v:path/>
            <v:fill on="f" focussize="0,0"/>
            <v:stroke on="f" joinstyle="miter"/>
            <v:imagedata r:id="rId24" o:title=""/>
            <o:lock v:ext="edit" aspectratio="t"/>
            <w10:wrap type="none"/>
            <w10:anchorlock/>
          </v:shape>
          <o:OLEObject Type="Embed" ProgID="Visio.Drawing.15" ShapeID="_x0000_i1028" DrawAspect="Content" ObjectID="_1468075728" r:id="rId23">
            <o:LockedField>false</o:LockedField>
          </o:OLEObject>
        </w:object>
      </w:r>
    </w:p>
    <w:p w14:paraId="13A7A995">
      <w:pPr>
        <w:pStyle w:val="43"/>
        <w:numPr>
          <w:ilvl w:val="0"/>
          <w:numId w:val="14"/>
        </w:numPr>
        <w:spacing w:beforeLines="0" w:line="560" w:lineRule="exact"/>
        <w:rPr>
          <w:rFonts w:cs="Times New Roman"/>
        </w:rPr>
      </w:pPr>
      <w:r>
        <w:rPr>
          <w:rFonts w:cs="Times New Roman"/>
        </w:rPr>
        <w:t>玄武区</w:t>
      </w:r>
      <w:r>
        <w:rPr>
          <w:rFonts w:hint="eastAsia" w:cs="Times New Roman"/>
        </w:rPr>
        <w:t>“</w:t>
      </w:r>
      <w:r>
        <w:rPr>
          <w:rFonts w:cs="Times New Roman"/>
        </w:rPr>
        <w:t>无废城市</w:t>
      </w:r>
      <w:r>
        <w:rPr>
          <w:rFonts w:hint="eastAsia" w:cs="Times New Roman"/>
        </w:rPr>
        <w:t>”</w:t>
      </w:r>
      <w:r>
        <w:rPr>
          <w:rFonts w:cs="Times New Roman"/>
        </w:rPr>
        <w:t>建设总体目标</w:t>
      </w:r>
    </w:p>
    <w:p w14:paraId="68A95F10">
      <w:pPr>
        <w:pStyle w:val="4"/>
        <w:ind w:firstLine="640"/>
        <w:rPr>
          <w:rFonts w:ascii="方正黑体_GBK" w:cs="Times New Roman"/>
          <w:szCs w:val="28"/>
        </w:rPr>
      </w:pPr>
      <w:bookmarkStart w:id="96" w:name="_Toc129882937"/>
      <w:r>
        <w:rPr>
          <w:rFonts w:hint="eastAsia" w:ascii="方正黑体_GBK" w:cs="Times New Roman"/>
          <w:szCs w:val="28"/>
        </w:rPr>
        <w:t>二、阶段目标</w:t>
      </w:r>
      <w:bookmarkEnd w:id="96"/>
    </w:p>
    <w:p w14:paraId="0CB1DB2E">
      <w:pPr>
        <w:ind w:firstLine="643" w:firstLineChars="200"/>
        <w:rPr>
          <w:rFonts w:cs="Times New Roman"/>
          <w:szCs w:val="28"/>
        </w:rPr>
      </w:pPr>
      <w:r>
        <w:rPr>
          <w:rFonts w:cs="Times New Roman"/>
          <w:b/>
          <w:bCs/>
          <w:szCs w:val="28"/>
        </w:rPr>
        <w:t>到2025年</w:t>
      </w:r>
      <w:r>
        <w:rPr>
          <w:rFonts w:cs="Times New Roman"/>
          <w:szCs w:val="28"/>
        </w:rPr>
        <w:t>，全区固体废物产生强度保持下降，</w:t>
      </w:r>
      <w:r>
        <w:rPr>
          <w:rFonts w:hint="eastAsia" w:cs="Times New Roman"/>
          <w:szCs w:val="28"/>
        </w:rPr>
        <w:t>“</w:t>
      </w:r>
      <w:r>
        <w:rPr>
          <w:rFonts w:cs="Times New Roman"/>
          <w:szCs w:val="28"/>
        </w:rPr>
        <w:t>绿色循环</w:t>
      </w:r>
      <w:r>
        <w:rPr>
          <w:rFonts w:hint="eastAsia" w:cs="Times New Roman"/>
          <w:szCs w:val="28"/>
        </w:rPr>
        <w:t>”“</w:t>
      </w:r>
      <w:r>
        <w:rPr>
          <w:rFonts w:cs="Times New Roman"/>
          <w:szCs w:val="28"/>
        </w:rPr>
        <w:t>变废为宝</w:t>
      </w:r>
      <w:r>
        <w:rPr>
          <w:rFonts w:hint="eastAsia" w:cs="Times New Roman"/>
          <w:szCs w:val="28"/>
        </w:rPr>
        <w:t>”</w:t>
      </w:r>
      <w:r>
        <w:rPr>
          <w:rFonts w:cs="Times New Roman"/>
          <w:szCs w:val="28"/>
        </w:rPr>
        <w:t>资源化利用水平稳步提升，固体废物收运实现全覆盖，风险防控能力有效提升，减污降碳协同作用更好发挥，涵盖工业、生活等各个领域的</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信息化平台基本建成</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建设各项任务全面完成。</w:t>
      </w:r>
    </w:p>
    <w:p w14:paraId="321E8499">
      <w:pPr>
        <w:ind w:firstLine="640" w:firstLineChars="200"/>
        <w:rPr>
          <w:rFonts w:cs="Times New Roman"/>
          <w:szCs w:val="28"/>
        </w:rPr>
      </w:pPr>
      <w:r>
        <w:rPr>
          <w:rFonts w:cs="Times New Roman"/>
          <w:szCs w:val="28"/>
        </w:rPr>
        <w:t>——</w:t>
      </w:r>
      <w:r>
        <w:rPr>
          <w:rFonts w:cs="Times New Roman"/>
          <w:b/>
          <w:bCs/>
          <w:szCs w:val="28"/>
        </w:rPr>
        <w:t>固废源头减量成效明显。</w:t>
      </w:r>
      <w:r>
        <w:rPr>
          <w:rFonts w:cs="Times New Roman"/>
          <w:szCs w:val="28"/>
        </w:rPr>
        <w:t>生活垃圾源头分类减量初显成效，装配式建筑比例大幅提升，危险废物产生强度保持下降。</w:t>
      </w:r>
    </w:p>
    <w:p w14:paraId="04144B56">
      <w:pPr>
        <w:ind w:firstLine="640" w:firstLineChars="200"/>
        <w:rPr>
          <w:rFonts w:cs="Times New Roman"/>
          <w:szCs w:val="28"/>
        </w:rPr>
      </w:pPr>
      <w:r>
        <w:rPr>
          <w:rFonts w:cs="Times New Roman"/>
          <w:szCs w:val="28"/>
        </w:rPr>
        <w:t>——</w:t>
      </w:r>
      <w:r>
        <w:rPr>
          <w:rFonts w:cs="Times New Roman"/>
          <w:b/>
          <w:bCs/>
          <w:szCs w:val="28"/>
        </w:rPr>
        <w:t>分类收运体系有效覆盖。</w:t>
      </w:r>
      <w:r>
        <w:rPr>
          <w:rFonts w:cs="Times New Roman"/>
          <w:szCs w:val="28"/>
        </w:rPr>
        <w:t>生活垃圾收运体系、小量危废集中收运体系、医疗废物收集处置体系基本实现全覆盖。</w:t>
      </w:r>
    </w:p>
    <w:p w14:paraId="7E1117A7">
      <w:pPr>
        <w:ind w:firstLine="640" w:firstLineChars="200"/>
        <w:rPr>
          <w:rFonts w:cs="Times New Roman"/>
          <w:szCs w:val="28"/>
        </w:rPr>
      </w:pPr>
      <w:r>
        <w:rPr>
          <w:rFonts w:cs="Times New Roman"/>
          <w:szCs w:val="28"/>
        </w:rPr>
        <w:t>——</w:t>
      </w:r>
      <w:r>
        <w:rPr>
          <w:rFonts w:cs="Times New Roman"/>
          <w:b/>
          <w:bCs/>
          <w:szCs w:val="28"/>
        </w:rPr>
        <w:t>资源利用水平稳步提升。</w:t>
      </w:r>
      <w:r>
        <w:rPr>
          <w:rFonts w:cs="Times New Roman"/>
          <w:szCs w:val="28"/>
        </w:rPr>
        <w:t>建筑垃圾资源化利用率提升至93%；生活垃圾回收利用率提升至42%；危险废物综合利用水平有效提升。</w:t>
      </w:r>
    </w:p>
    <w:p w14:paraId="1068CA94">
      <w:pPr>
        <w:ind w:firstLine="640" w:firstLineChars="200"/>
        <w:rPr>
          <w:rFonts w:cs="Times New Roman"/>
          <w:szCs w:val="28"/>
        </w:rPr>
      </w:pPr>
      <w:r>
        <w:rPr>
          <w:rFonts w:cs="Times New Roman"/>
          <w:szCs w:val="28"/>
        </w:rPr>
        <w:t>——</w:t>
      </w:r>
      <w:r>
        <w:rPr>
          <w:rFonts w:cs="Times New Roman"/>
          <w:b/>
          <w:bCs/>
          <w:szCs w:val="28"/>
        </w:rPr>
        <w:t>无害化处置有效实施。</w:t>
      </w:r>
      <w:r>
        <w:rPr>
          <w:rFonts w:cs="Times New Roman"/>
          <w:szCs w:val="28"/>
        </w:rPr>
        <w:t>工业危险废物、医疗废物、有害垃圾持续全量无害化处置。</w:t>
      </w:r>
    </w:p>
    <w:p w14:paraId="38EE5DF8">
      <w:pPr>
        <w:ind w:firstLine="640" w:firstLineChars="200"/>
        <w:rPr>
          <w:rFonts w:cs="Times New Roman"/>
          <w:szCs w:val="28"/>
        </w:rPr>
      </w:pPr>
      <w:r>
        <w:rPr>
          <w:rFonts w:cs="Times New Roman"/>
          <w:szCs w:val="28"/>
        </w:rPr>
        <w:t>——</w:t>
      </w:r>
      <w:r>
        <w:rPr>
          <w:rFonts w:hint="eastAsia" w:cs="Times New Roman"/>
          <w:b/>
          <w:bCs/>
          <w:szCs w:val="28"/>
        </w:rPr>
        <w:t>“无废城市”建设体系</w:t>
      </w:r>
      <w:r>
        <w:rPr>
          <w:rFonts w:cs="Times New Roman"/>
          <w:b/>
          <w:bCs/>
          <w:szCs w:val="28"/>
        </w:rPr>
        <w:t>更趋完善</w:t>
      </w:r>
      <w:r>
        <w:rPr>
          <w:rFonts w:hint="eastAsia" w:cs="Times New Roman"/>
          <w:b/>
          <w:bCs/>
          <w:szCs w:val="28"/>
        </w:rPr>
        <w:t>。</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建设制度体系进一步健全、技术体系进一步加强、市场体系进一步规范、监管体系进一步优化。</w:t>
      </w:r>
    </w:p>
    <w:p w14:paraId="36DB1C08">
      <w:pPr>
        <w:ind w:firstLine="640" w:firstLineChars="200"/>
        <w:rPr>
          <w:rFonts w:cs="Times New Roman"/>
          <w:szCs w:val="28"/>
        </w:rPr>
      </w:pPr>
      <w:r>
        <w:rPr>
          <w:rFonts w:cs="Times New Roman"/>
          <w:szCs w:val="28"/>
        </w:rPr>
        <w:t>——</w:t>
      </w:r>
      <w:r>
        <w:rPr>
          <w:rFonts w:hint="eastAsia" w:cs="Times New Roman"/>
          <w:b/>
          <w:bCs/>
          <w:szCs w:val="28"/>
        </w:rPr>
        <w:t>“</w:t>
      </w:r>
      <w:r>
        <w:rPr>
          <w:rFonts w:cs="Times New Roman"/>
          <w:b/>
          <w:bCs/>
          <w:szCs w:val="28"/>
        </w:rPr>
        <w:t>无废</w:t>
      </w:r>
      <w:r>
        <w:rPr>
          <w:rFonts w:hint="eastAsia" w:cs="Times New Roman"/>
          <w:b/>
          <w:bCs/>
          <w:szCs w:val="28"/>
        </w:rPr>
        <w:t>”</w:t>
      </w:r>
      <w:r>
        <w:rPr>
          <w:rFonts w:cs="Times New Roman"/>
          <w:b/>
          <w:bCs/>
          <w:szCs w:val="28"/>
        </w:rPr>
        <w:t>理念深入人心。</w:t>
      </w:r>
      <w:r>
        <w:rPr>
          <w:rFonts w:hint="eastAsia" w:cs="Times New Roman"/>
          <w:szCs w:val="28"/>
        </w:rPr>
        <w:t>“</w:t>
      </w:r>
      <w:r>
        <w:rPr>
          <w:rFonts w:cs="Times New Roman"/>
          <w:szCs w:val="28"/>
        </w:rPr>
        <w:t>无废</w:t>
      </w:r>
      <w:r>
        <w:rPr>
          <w:rFonts w:hint="eastAsia" w:cs="Times New Roman"/>
          <w:szCs w:val="28"/>
        </w:rPr>
        <w:t>”</w:t>
      </w:r>
      <w:r>
        <w:rPr>
          <w:rFonts w:cs="Times New Roman"/>
          <w:szCs w:val="28"/>
        </w:rPr>
        <w:t>理念得到广泛宣传，公众</w:t>
      </w:r>
      <w:r>
        <w:rPr>
          <w:rFonts w:hint="eastAsia" w:cs="Times New Roman"/>
          <w:szCs w:val="28"/>
        </w:rPr>
        <w:t>“</w:t>
      </w:r>
      <w:r>
        <w:rPr>
          <w:rFonts w:cs="Times New Roman"/>
          <w:szCs w:val="28"/>
        </w:rPr>
        <w:t>无废</w:t>
      </w:r>
      <w:r>
        <w:rPr>
          <w:rFonts w:hint="eastAsia" w:cs="Times New Roman"/>
          <w:szCs w:val="28"/>
        </w:rPr>
        <w:t>”</w:t>
      </w:r>
      <w:r>
        <w:rPr>
          <w:rFonts w:cs="Times New Roman"/>
          <w:szCs w:val="28"/>
        </w:rPr>
        <w:t>意识进一步提升，社会</w:t>
      </w:r>
      <w:r>
        <w:rPr>
          <w:rFonts w:hint="eastAsia" w:cs="Times New Roman"/>
          <w:szCs w:val="28"/>
        </w:rPr>
        <w:t>“</w:t>
      </w:r>
      <w:r>
        <w:rPr>
          <w:rFonts w:cs="Times New Roman"/>
          <w:szCs w:val="28"/>
        </w:rPr>
        <w:t>无废</w:t>
      </w:r>
      <w:r>
        <w:rPr>
          <w:rFonts w:hint="eastAsia" w:cs="Times New Roman"/>
          <w:szCs w:val="28"/>
        </w:rPr>
        <w:t>”</w:t>
      </w:r>
      <w:r>
        <w:rPr>
          <w:rFonts w:cs="Times New Roman"/>
          <w:szCs w:val="28"/>
        </w:rPr>
        <w:t>文化基本形成。</w:t>
      </w:r>
    </w:p>
    <w:p w14:paraId="686EF185">
      <w:pPr>
        <w:ind w:firstLine="643" w:firstLineChars="200"/>
        <w:rPr>
          <w:rFonts w:cs="Times New Roman"/>
          <w:szCs w:val="28"/>
        </w:rPr>
      </w:pPr>
      <w:r>
        <w:rPr>
          <w:rFonts w:cs="Times New Roman"/>
          <w:b/>
          <w:bCs/>
          <w:szCs w:val="28"/>
        </w:rPr>
        <w:t>到2030年</w:t>
      </w:r>
      <w:r>
        <w:rPr>
          <w:rFonts w:cs="Times New Roman"/>
          <w:szCs w:val="28"/>
        </w:rPr>
        <w:t>，有效构建城市固体废物信息化治理</w:t>
      </w:r>
      <w:r>
        <w:rPr>
          <w:rFonts w:hint="eastAsia" w:cs="Times New Roman"/>
          <w:szCs w:val="28"/>
        </w:rPr>
        <w:t>“</w:t>
      </w:r>
      <w:r>
        <w:rPr>
          <w:rFonts w:cs="Times New Roman"/>
          <w:szCs w:val="28"/>
        </w:rPr>
        <w:t>一张网</w:t>
      </w:r>
      <w:r>
        <w:rPr>
          <w:rFonts w:hint="eastAsia" w:cs="Times New Roman"/>
          <w:szCs w:val="28"/>
        </w:rPr>
        <w:t>”</w:t>
      </w:r>
      <w:r>
        <w:rPr>
          <w:rFonts w:cs="Times New Roman"/>
          <w:szCs w:val="28"/>
        </w:rPr>
        <w:t>，实现</w:t>
      </w:r>
      <w:r>
        <w:rPr>
          <w:rFonts w:hint="eastAsia" w:cs="Times New Roman"/>
          <w:szCs w:val="28"/>
        </w:rPr>
        <w:t>“</w:t>
      </w:r>
      <w:r>
        <w:rPr>
          <w:rFonts w:cs="Times New Roman"/>
          <w:szCs w:val="28"/>
        </w:rPr>
        <w:t>产生源头减量化、收运体系专业化、资源回收循环化、保障管理规范化、无废理念普及化</w:t>
      </w:r>
      <w:r>
        <w:rPr>
          <w:rFonts w:hint="eastAsia" w:cs="Times New Roman"/>
          <w:szCs w:val="28"/>
        </w:rPr>
        <w:t>”</w:t>
      </w:r>
      <w:r>
        <w:rPr>
          <w:rFonts w:cs="Times New Roman"/>
          <w:szCs w:val="28"/>
        </w:rPr>
        <w:t>的建设目标。提升城市固体废物精细化管理水平，建成具有玄武特色的</w:t>
      </w:r>
      <w:r>
        <w:rPr>
          <w:rFonts w:hint="eastAsia" w:cs="Times New Roman"/>
          <w:szCs w:val="28"/>
        </w:rPr>
        <w:t>“</w:t>
      </w:r>
      <w:r>
        <w:rPr>
          <w:rFonts w:cs="Times New Roman"/>
          <w:szCs w:val="28"/>
        </w:rPr>
        <w:t>无废城市</w:t>
      </w:r>
      <w:r>
        <w:rPr>
          <w:rFonts w:hint="eastAsia" w:cs="Times New Roman"/>
          <w:szCs w:val="28"/>
        </w:rPr>
        <w:t>”。</w:t>
      </w:r>
    </w:p>
    <w:p w14:paraId="43F98968">
      <w:pPr>
        <w:ind w:firstLine="643" w:firstLineChars="200"/>
        <w:rPr>
          <w:rFonts w:cs="Times New Roman"/>
          <w:szCs w:val="28"/>
        </w:rPr>
      </w:pPr>
      <w:r>
        <w:rPr>
          <w:rFonts w:cs="Times New Roman"/>
          <w:b/>
          <w:bCs/>
          <w:szCs w:val="28"/>
        </w:rPr>
        <w:t>到2035年</w:t>
      </w:r>
      <w:r>
        <w:rPr>
          <w:rFonts w:cs="Times New Roman"/>
          <w:szCs w:val="28"/>
        </w:rPr>
        <w:t>，绿色生产和绿色生活方式全面形成，固体废物信息</w:t>
      </w:r>
      <w:r>
        <w:rPr>
          <w:rFonts w:hint="eastAsia" w:cs="Times New Roman"/>
          <w:szCs w:val="28"/>
        </w:rPr>
        <w:t>“</w:t>
      </w:r>
      <w:r>
        <w:rPr>
          <w:rFonts w:cs="Times New Roman"/>
          <w:szCs w:val="28"/>
        </w:rPr>
        <w:t>一张网</w:t>
      </w:r>
      <w:r>
        <w:rPr>
          <w:rFonts w:hint="eastAsia" w:cs="Times New Roman"/>
          <w:szCs w:val="28"/>
        </w:rPr>
        <w:t>”</w:t>
      </w:r>
      <w:r>
        <w:rPr>
          <w:rFonts w:cs="Times New Roman"/>
          <w:szCs w:val="28"/>
        </w:rPr>
        <w:t>全面建成，制度、技术、市场和监管四大体系成熟完善，固体废物治理体系和治理能力实现现代化，</w:t>
      </w:r>
      <w:r>
        <w:rPr>
          <w:rFonts w:hint="eastAsia" w:cs="Times New Roman"/>
          <w:szCs w:val="28"/>
        </w:rPr>
        <w:t>“</w:t>
      </w:r>
      <w:r>
        <w:rPr>
          <w:rFonts w:cs="Times New Roman"/>
          <w:szCs w:val="28"/>
        </w:rPr>
        <w:t>无废玄武</w:t>
      </w:r>
      <w:r>
        <w:rPr>
          <w:rFonts w:hint="eastAsia" w:cs="Times New Roman"/>
          <w:szCs w:val="28"/>
        </w:rPr>
        <w:t>”</w:t>
      </w:r>
      <w:r>
        <w:rPr>
          <w:rFonts w:cs="Times New Roman"/>
          <w:szCs w:val="28"/>
        </w:rPr>
        <w:t>全面建成。</w:t>
      </w:r>
    </w:p>
    <w:p w14:paraId="5BF15D36">
      <w:pPr>
        <w:pStyle w:val="3"/>
        <w:spacing w:before="0" w:after="0"/>
        <w:rPr>
          <w:rFonts w:ascii="方正黑体_GBK" w:cs="Times New Roman"/>
          <w:szCs w:val="28"/>
        </w:rPr>
      </w:pPr>
      <w:bookmarkStart w:id="97" w:name="_Toc140150517"/>
      <w:bookmarkStart w:id="98" w:name="_Toc129882938"/>
    </w:p>
    <w:p w14:paraId="388C5FE7">
      <w:pPr>
        <w:pStyle w:val="3"/>
        <w:spacing w:before="0" w:after="0"/>
        <w:rPr>
          <w:rFonts w:ascii="方正黑体_GBK" w:cs="Times New Roman"/>
          <w:szCs w:val="28"/>
        </w:rPr>
      </w:pPr>
      <w:r>
        <w:rPr>
          <w:rFonts w:hint="eastAsia" w:ascii="方正黑体_GBK" w:cs="Times New Roman"/>
          <w:szCs w:val="28"/>
        </w:rPr>
        <w:t>第四节 “无废城市”建设指标体系</w:t>
      </w:r>
      <w:bookmarkEnd w:id="97"/>
      <w:bookmarkEnd w:id="98"/>
    </w:p>
    <w:p w14:paraId="3FAE9F40">
      <w:pPr>
        <w:ind w:firstLine="640" w:firstLineChars="200"/>
        <w:rPr>
          <w:rFonts w:cs="Times New Roman"/>
          <w:szCs w:val="28"/>
        </w:rPr>
      </w:pPr>
      <w:r>
        <w:rPr>
          <w:rFonts w:cs="Times New Roman"/>
          <w:szCs w:val="28"/>
        </w:rPr>
        <w:t>玄武区</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指标体系由5项一级指标、16项二级指标和30项三级指标组成，一级指标主要包括固体废物源头减量、资源化利用、最终处置、保障能力、群众获得感等5个方面。二级指标主要覆盖工业、建筑业、生活领域固体废物的减量化、资源化、无害化，以及制度、市场、监管体系建设与群众获得感等16个方面。三级指标</w:t>
      </w:r>
      <w:r>
        <w:rPr>
          <w:rFonts w:hint="eastAsia" w:cs="Times New Roman"/>
          <w:szCs w:val="28"/>
        </w:rPr>
        <w:t>主要</w:t>
      </w:r>
      <w:r>
        <w:rPr>
          <w:rFonts w:cs="Times New Roman"/>
          <w:szCs w:val="28"/>
        </w:rPr>
        <w:t>是对一级指标和二级指标的具体细化和量化，划分为三类：第Ⅰ类为必选指标，第Ⅱ类为可选指标，第Ⅲ类为特色指标。玄武区</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建设指标体系以《南京市</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建设指标体系》为依据，结合玄武区实际和</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建设工作重点，明确30项建设指标</w:t>
      </w:r>
      <w:r>
        <w:rPr>
          <w:rFonts w:hint="eastAsia" w:cs="Times New Roman"/>
          <w:szCs w:val="28"/>
        </w:rPr>
        <w:t>，</w:t>
      </w:r>
      <w:r>
        <w:rPr>
          <w:rFonts w:cs="Times New Roman"/>
          <w:szCs w:val="28"/>
        </w:rPr>
        <w:t>根据实际开展情况，动态调整指标体系。</w:t>
      </w:r>
    </w:p>
    <w:p w14:paraId="11C37690">
      <w:pPr>
        <w:ind w:firstLine="640" w:firstLineChars="200"/>
        <w:rPr>
          <w:rFonts w:cs="Times New Roman"/>
        </w:rPr>
      </w:pPr>
      <w:r>
        <w:rPr>
          <w:rFonts w:cs="Times New Roman"/>
        </w:rPr>
        <w:t>与《南京市</w:t>
      </w:r>
      <w:r>
        <w:rPr>
          <w:rFonts w:hint="eastAsia" w:cs="Times New Roman"/>
        </w:rPr>
        <w:t>“</w:t>
      </w:r>
      <w:r>
        <w:rPr>
          <w:rFonts w:cs="Times New Roman"/>
        </w:rPr>
        <w:t>无废城市</w:t>
      </w:r>
      <w:r>
        <w:rPr>
          <w:rFonts w:hint="eastAsia" w:cs="Times New Roman"/>
        </w:rPr>
        <w:t>”</w:t>
      </w:r>
      <w:r>
        <w:rPr>
          <w:rFonts w:cs="Times New Roman"/>
        </w:rPr>
        <w:t>建设指标体系》相比，玄武区无废城市建设指标体系</w:t>
      </w:r>
      <w:r>
        <w:rPr>
          <w:rFonts w:hint="eastAsia" w:cs="Times New Roman"/>
        </w:rPr>
        <w:t>删除</w:t>
      </w:r>
      <w:r>
        <w:rPr>
          <w:rFonts w:cs="Times New Roman"/>
        </w:rPr>
        <w:t>32项指标：</w:t>
      </w:r>
    </w:p>
    <w:p w14:paraId="08095C8C">
      <w:pPr>
        <w:ind w:firstLine="640" w:firstLineChars="200"/>
        <w:rPr>
          <w:rFonts w:cs="Times New Roman"/>
          <w:szCs w:val="28"/>
        </w:rPr>
      </w:pPr>
      <w:r>
        <w:rPr>
          <w:rFonts w:cs="Times New Roman"/>
        </w:rPr>
        <w:t>一般工业固体废物产生强度</w:t>
      </w:r>
      <w:r>
        <w:rPr>
          <w:rFonts w:ascii="Segoe UI Symbol" w:hAnsi="Segoe UI Symbol" w:cs="Segoe UI Symbol"/>
        </w:rPr>
        <w:t>★</w:t>
      </w:r>
      <w:r>
        <w:rPr>
          <w:rFonts w:cs="Times New Roman"/>
        </w:rPr>
        <w:t>、绿色矿山建成率</w:t>
      </w:r>
      <w:r>
        <w:rPr>
          <w:rFonts w:ascii="Segoe UI Symbol" w:hAnsi="Segoe UI Symbol" w:cs="Segoe UI Symbol"/>
        </w:rPr>
        <w:t>★</w:t>
      </w:r>
      <w:r>
        <w:rPr>
          <w:rFonts w:cs="Times New Roman"/>
        </w:rPr>
        <w:t>、开展绿色工厂建设的企业数量</w:t>
      </w:r>
      <w:r>
        <w:rPr>
          <w:rFonts w:ascii="Segoe UI Symbol" w:hAnsi="Segoe UI Symbol" w:cs="Segoe UI Symbol"/>
        </w:rPr>
        <w:t>☆</w:t>
      </w:r>
      <w:r>
        <w:rPr>
          <w:rFonts w:cs="Times New Roman"/>
        </w:rPr>
        <w:t>、</w:t>
      </w:r>
      <w:r>
        <w:rPr>
          <w:rFonts w:hint="eastAsia" w:cs="Times New Roman"/>
        </w:rPr>
        <w:t>“</w:t>
      </w:r>
      <w:r>
        <w:rPr>
          <w:rFonts w:cs="Times New Roman"/>
        </w:rPr>
        <w:t>无废园区</w:t>
      </w:r>
      <w:r>
        <w:rPr>
          <w:rFonts w:hint="eastAsia" w:cs="Times New Roman"/>
        </w:rPr>
        <w:t>”</w:t>
      </w:r>
      <w:r>
        <w:rPr>
          <w:rFonts w:cs="Times New Roman"/>
        </w:rPr>
        <w:t>创建▲、绿色优质农产品比重</w:t>
      </w:r>
      <w:r>
        <w:rPr>
          <w:rFonts w:ascii="Segoe UI Symbol" w:hAnsi="Segoe UI Symbol" w:cs="Segoe UI Symbol"/>
        </w:rPr>
        <w:t>☆</w:t>
      </w:r>
      <w:r>
        <w:rPr>
          <w:rFonts w:cs="Times New Roman"/>
        </w:rPr>
        <w:t>、省级生态循环试点村▲、农村地区生活垃圾分类覆盖率</w:t>
      </w:r>
      <w:r>
        <w:rPr>
          <w:rFonts w:ascii="Segoe UI Symbol" w:hAnsi="Segoe UI Symbol" w:cs="Segoe UI Symbol"/>
        </w:rPr>
        <w:t>★</w:t>
      </w:r>
      <w:r>
        <w:rPr>
          <w:rFonts w:cs="Times New Roman"/>
        </w:rPr>
        <w:t>、快递绿色包装使用率</w:t>
      </w:r>
      <w:r>
        <w:rPr>
          <w:rFonts w:ascii="Segoe UI Symbol" w:hAnsi="Segoe UI Symbol" w:cs="Segoe UI Symbol"/>
        </w:rPr>
        <w:t>★</w:t>
      </w:r>
      <w:r>
        <w:rPr>
          <w:rFonts w:cs="Times New Roman"/>
        </w:rPr>
        <w:t>、石膏类废物综合利用率</w:t>
      </w:r>
      <w:r>
        <w:rPr>
          <w:rFonts w:ascii="Segoe UI Symbol" w:hAnsi="Segoe UI Symbol" w:cs="Segoe UI Symbol"/>
        </w:rPr>
        <w:t>★</w:t>
      </w:r>
      <w:r>
        <w:rPr>
          <w:rFonts w:cs="Times New Roman"/>
        </w:rPr>
        <w:t>、工业污泥综合利用率▲、生活垃圾焚烧飞灰利用处置率</w:t>
      </w:r>
      <w:r>
        <w:rPr>
          <w:rFonts w:ascii="Segoe UI Symbol" w:hAnsi="Segoe UI Symbol" w:cs="Segoe UI Symbol"/>
        </w:rPr>
        <w:t>★</w:t>
      </w:r>
      <w:r>
        <w:rPr>
          <w:rFonts w:cs="Times New Roman"/>
        </w:rPr>
        <w:t>、工程渣土消纳场所规范设置率</w:t>
      </w:r>
      <w:r>
        <w:rPr>
          <w:rFonts w:ascii="Segoe UI Symbol" w:hAnsi="Segoe UI Symbol" w:cs="Segoe UI Symbol"/>
        </w:rPr>
        <w:t>★</w:t>
      </w:r>
      <w:r>
        <w:rPr>
          <w:rFonts w:cs="Times New Roman"/>
        </w:rPr>
        <w:t>、一般工业固体废物收贮运一体化中心建成数量</w:t>
      </w:r>
      <w:r>
        <w:rPr>
          <w:rFonts w:ascii="Segoe UI Symbol" w:hAnsi="Segoe UI Symbol" w:cs="Segoe UI Symbol"/>
        </w:rPr>
        <w:t>☆</w:t>
      </w:r>
      <w:r>
        <w:rPr>
          <w:rFonts w:cs="Times New Roman"/>
        </w:rPr>
        <w:t>、一般工业固体废物综合利用率</w:t>
      </w:r>
      <w:r>
        <w:rPr>
          <w:rFonts w:ascii="Segoe UI Symbol" w:hAnsi="Segoe UI Symbol" w:cs="Segoe UI Symbol"/>
        </w:rPr>
        <w:t>★</w:t>
      </w:r>
      <w:r>
        <w:rPr>
          <w:rFonts w:cs="Times New Roman"/>
        </w:rPr>
        <w:t>、秸秆综合利用率</w:t>
      </w:r>
      <w:r>
        <w:rPr>
          <w:rFonts w:ascii="Segoe UI Symbol" w:hAnsi="Segoe UI Symbol" w:cs="Segoe UI Symbol"/>
        </w:rPr>
        <w:t>★</w:t>
      </w:r>
      <w:r>
        <w:rPr>
          <w:rFonts w:cs="Times New Roman"/>
        </w:rPr>
        <w:t>、畜禽粪污综合利用率</w:t>
      </w:r>
      <w:r>
        <w:rPr>
          <w:rFonts w:ascii="Segoe UI Symbol" w:hAnsi="Segoe UI Symbol" w:cs="Segoe UI Symbol"/>
        </w:rPr>
        <w:t>★</w:t>
      </w:r>
      <w:r>
        <w:rPr>
          <w:rFonts w:cs="Times New Roman"/>
        </w:rPr>
        <w:t>、废旧农膜回收率</w:t>
      </w:r>
      <w:r>
        <w:rPr>
          <w:rFonts w:ascii="Segoe UI Symbol" w:hAnsi="Segoe UI Symbol" w:cs="Segoe UI Symbol"/>
        </w:rPr>
        <w:t>★</w:t>
      </w:r>
      <w:r>
        <w:rPr>
          <w:rFonts w:cs="Times New Roman"/>
        </w:rPr>
        <w:t>、农药包装废弃物回收覆盖率</w:t>
      </w:r>
      <w:r>
        <w:rPr>
          <w:rFonts w:ascii="Segoe UI Symbol" w:hAnsi="Segoe UI Symbol" w:cs="Segoe UI Symbol"/>
        </w:rPr>
        <w:t>★</w:t>
      </w:r>
      <w:r>
        <w:rPr>
          <w:rFonts w:cs="Times New Roman"/>
        </w:rPr>
        <w:t>、报废汽车回收覆盖率▲、一般工业固体废物贮存处置量下降幅度</w:t>
      </w:r>
      <w:r>
        <w:rPr>
          <w:rFonts w:ascii="Segoe UI Symbol" w:hAnsi="Segoe UI Symbol" w:cs="Segoe UI Symbol"/>
        </w:rPr>
        <w:t>★</w:t>
      </w:r>
      <w:r>
        <w:rPr>
          <w:rFonts w:cs="Times New Roman"/>
        </w:rPr>
        <w:t>、工业危险废物填埋处置量下降幅度</w:t>
      </w:r>
      <w:r>
        <w:rPr>
          <w:rFonts w:ascii="Segoe UI Symbol" w:hAnsi="Segoe UI Symbol" w:cs="Segoe UI Symbol"/>
        </w:rPr>
        <w:t>★</w:t>
      </w:r>
      <w:r>
        <w:rPr>
          <w:rFonts w:cs="Times New Roman"/>
        </w:rPr>
        <w:t>、医疗废物应急处置能力</w:t>
      </w:r>
      <w:r>
        <w:rPr>
          <w:rFonts w:ascii="Segoe UI Symbol" w:hAnsi="Segoe UI Symbol" w:cs="Segoe UI Symbol"/>
        </w:rPr>
        <w:t>★</w:t>
      </w:r>
      <w:r>
        <w:rPr>
          <w:rFonts w:cs="Times New Roman"/>
        </w:rPr>
        <w:t>、城镇生活污水污泥无害化处置率</w:t>
      </w:r>
      <w:r>
        <w:rPr>
          <w:rFonts w:ascii="Segoe UI Symbol" w:hAnsi="Segoe UI Symbol" w:cs="Segoe UI Symbol"/>
        </w:rPr>
        <w:t>★</w:t>
      </w:r>
      <w:r>
        <w:rPr>
          <w:rFonts w:cs="Times New Roman"/>
        </w:rPr>
        <w:t>、尾矿库销库个数▲、工业污泥无害化处理率</w:t>
      </w:r>
      <w:r>
        <w:rPr>
          <w:rFonts w:ascii="Segoe UI Symbol" w:hAnsi="Segoe UI Symbol" w:cs="Segoe UI Symbol"/>
        </w:rPr>
        <w:t>★</w:t>
      </w:r>
      <w:r>
        <w:rPr>
          <w:rFonts w:cs="Times New Roman"/>
        </w:rPr>
        <w:t>、生活垃圾焚烧处理能力占比</w:t>
      </w:r>
      <w:r>
        <w:rPr>
          <w:rFonts w:ascii="Segoe UI Symbol" w:hAnsi="Segoe UI Symbol" w:cs="Segoe UI Symbol"/>
        </w:rPr>
        <w:t>★</w:t>
      </w:r>
      <w:r>
        <w:rPr>
          <w:rFonts w:cs="Times New Roman"/>
        </w:rPr>
        <w:t>、危险废物经营单位环境污染责任保险覆盖率</w:t>
      </w:r>
      <w:r>
        <w:rPr>
          <w:rFonts w:ascii="Segoe UI Symbol" w:hAnsi="Segoe UI Symbol" w:cs="Segoe UI Symbol"/>
        </w:rPr>
        <w:t>☆</w:t>
      </w:r>
      <w:r>
        <w:rPr>
          <w:rFonts w:cs="Times New Roman"/>
        </w:rPr>
        <w:t>、主要参与制定固体废物资源化、无害化技术标准与规范数量</w:t>
      </w:r>
      <w:r>
        <w:rPr>
          <w:rFonts w:ascii="Segoe UI Symbol" w:hAnsi="Segoe UI Symbol" w:cs="Segoe UI Symbol"/>
        </w:rPr>
        <w:t>☆</w:t>
      </w:r>
      <w:r>
        <w:rPr>
          <w:rFonts w:cs="Times New Roman"/>
        </w:rPr>
        <w:t>、固体废物回收利用处置关键技术工艺、设备研发及成果转化</w:t>
      </w:r>
      <w:r>
        <w:rPr>
          <w:rFonts w:ascii="Segoe UI Symbol" w:hAnsi="Segoe UI Symbol" w:cs="Segoe UI Symbol"/>
        </w:rPr>
        <w:t>☆</w:t>
      </w:r>
      <w:r>
        <w:rPr>
          <w:rFonts w:cs="Times New Roman"/>
        </w:rPr>
        <w:t>、</w:t>
      </w:r>
      <w:r>
        <w:rPr>
          <w:rFonts w:hint="eastAsia" w:cs="Times New Roman"/>
        </w:rPr>
        <w:t>“</w:t>
      </w:r>
      <w:r>
        <w:rPr>
          <w:rFonts w:cs="Times New Roman"/>
        </w:rPr>
        <w:t>无废城市</w:t>
      </w:r>
      <w:r>
        <w:rPr>
          <w:rFonts w:hint="eastAsia" w:cs="Times New Roman"/>
        </w:rPr>
        <w:t>”</w:t>
      </w:r>
      <w:r>
        <w:rPr>
          <w:rFonts w:cs="Times New Roman"/>
        </w:rPr>
        <w:t>绿色贷款余额</w:t>
      </w:r>
      <w:r>
        <w:rPr>
          <w:rFonts w:ascii="Segoe UI Symbol" w:hAnsi="Segoe UI Symbol" w:cs="Segoe UI Symbol"/>
        </w:rPr>
        <w:t>☆</w:t>
      </w:r>
      <w:r>
        <w:rPr>
          <w:rFonts w:cs="Times New Roman"/>
        </w:rPr>
        <w:t>、危险废物自建焚烧设施在线监控联网率</w:t>
      </w:r>
      <w:r>
        <w:rPr>
          <w:rFonts w:ascii="Segoe UI Symbol" w:hAnsi="Segoe UI Symbol" w:cs="Segoe UI Symbol"/>
        </w:rPr>
        <w:t>☆</w:t>
      </w:r>
      <w:r>
        <w:rPr>
          <w:rFonts w:cs="Times New Roman"/>
        </w:rPr>
        <w:t>、纳入危险废物全生命周期监控系统的重点涉废企业视频联网率</w:t>
      </w:r>
      <w:r>
        <w:rPr>
          <w:rFonts w:ascii="Segoe UI Symbol" w:hAnsi="Segoe UI Symbol" w:cs="Segoe UI Symbol"/>
        </w:rPr>
        <w:t>★</w:t>
      </w:r>
      <w:r>
        <w:rPr>
          <w:rFonts w:cs="Times New Roman"/>
        </w:rPr>
        <w:t>。</w:t>
      </w:r>
    </w:p>
    <w:p w14:paraId="0A3E5A7E">
      <w:pPr>
        <w:ind w:firstLine="640" w:firstLineChars="200"/>
        <w:rPr>
          <w:rFonts w:cs="Times New Roman"/>
          <w:szCs w:val="28"/>
        </w:rPr>
        <w:sectPr>
          <w:pgSz w:w="11906" w:h="16838"/>
          <w:pgMar w:top="2098" w:right="1474" w:bottom="1701" w:left="1588" w:header="851" w:footer="1247" w:gutter="0"/>
          <w:cols w:space="425" w:num="1"/>
          <w:docGrid w:type="lines" w:linePitch="435" w:charSpace="0"/>
        </w:sectPr>
      </w:pPr>
    </w:p>
    <w:p w14:paraId="52FD930D">
      <w:pPr>
        <w:jc w:val="center"/>
        <w:rPr>
          <w:rFonts w:cs="Times New Roman"/>
          <w:b/>
          <w:bCs/>
          <w:sz w:val="24"/>
          <w:szCs w:val="21"/>
        </w:rPr>
      </w:pPr>
      <w:r>
        <w:rPr>
          <w:rFonts w:cs="Times New Roman"/>
          <w:b/>
          <w:bCs/>
          <w:sz w:val="24"/>
          <w:szCs w:val="21"/>
        </w:rPr>
        <w:t>表3.4-1 玄武区</w:t>
      </w:r>
      <w:r>
        <w:rPr>
          <w:rFonts w:hint="eastAsia" w:cs="Times New Roman"/>
          <w:b/>
          <w:bCs/>
          <w:sz w:val="24"/>
          <w:szCs w:val="21"/>
        </w:rPr>
        <w:t>“</w:t>
      </w:r>
      <w:r>
        <w:rPr>
          <w:rFonts w:cs="Times New Roman"/>
          <w:b/>
          <w:bCs/>
          <w:sz w:val="24"/>
          <w:szCs w:val="21"/>
        </w:rPr>
        <w:t>十四五</w:t>
      </w:r>
      <w:r>
        <w:rPr>
          <w:rFonts w:hint="eastAsia" w:cs="Times New Roman"/>
          <w:b/>
          <w:bCs/>
          <w:sz w:val="24"/>
          <w:szCs w:val="21"/>
        </w:rPr>
        <w:t>”</w:t>
      </w:r>
      <w:r>
        <w:rPr>
          <w:rFonts w:cs="Times New Roman"/>
          <w:b/>
          <w:bCs/>
          <w:sz w:val="24"/>
          <w:szCs w:val="21"/>
        </w:rPr>
        <w:t>时期</w:t>
      </w:r>
      <w:r>
        <w:rPr>
          <w:rFonts w:hint="eastAsia" w:cs="Times New Roman"/>
          <w:b/>
          <w:bCs/>
          <w:sz w:val="24"/>
          <w:szCs w:val="21"/>
        </w:rPr>
        <w:t>“</w:t>
      </w:r>
      <w:r>
        <w:rPr>
          <w:rFonts w:cs="Times New Roman"/>
          <w:b/>
          <w:bCs/>
          <w:sz w:val="24"/>
          <w:szCs w:val="21"/>
        </w:rPr>
        <w:t>无废城市</w:t>
      </w:r>
      <w:r>
        <w:rPr>
          <w:rFonts w:hint="eastAsia" w:cs="Times New Roman"/>
          <w:b/>
          <w:bCs/>
          <w:sz w:val="24"/>
          <w:szCs w:val="21"/>
        </w:rPr>
        <w:t>”</w:t>
      </w:r>
      <w:r>
        <w:rPr>
          <w:rFonts w:cs="Times New Roman"/>
          <w:b/>
          <w:bCs/>
          <w:sz w:val="24"/>
          <w:szCs w:val="21"/>
        </w:rPr>
        <w:t>建设指标体系</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114"/>
        <w:gridCol w:w="1264"/>
        <w:gridCol w:w="4296"/>
        <w:gridCol w:w="683"/>
        <w:gridCol w:w="2439"/>
        <w:gridCol w:w="1362"/>
        <w:gridCol w:w="1418"/>
      </w:tblGrid>
      <w:tr w14:paraId="30DC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70" w:type="pct"/>
            <w:shd w:val="clear" w:color="auto" w:fill="D8D8D8" w:themeFill="background1" w:themeFillShade="D9"/>
            <w:vAlign w:val="center"/>
          </w:tcPr>
          <w:p w14:paraId="7EC44740">
            <w:pPr>
              <w:pStyle w:val="47"/>
              <w:snapToGrid w:val="0"/>
              <w:spacing w:line="300" w:lineRule="exact"/>
              <w:jc w:val="center"/>
              <w:rPr>
                <w:rFonts w:cs="Times New Roman"/>
                <w:b/>
                <w:bCs/>
                <w:spacing w:val="-20"/>
                <w:sz w:val="24"/>
                <w:szCs w:val="24"/>
              </w:rPr>
            </w:pPr>
            <w:bookmarkStart w:id="99" w:name="_Hlk109980885"/>
            <w:r>
              <w:rPr>
                <w:rFonts w:cs="Times New Roman"/>
                <w:b/>
                <w:bCs/>
                <w:spacing w:val="-20"/>
                <w:sz w:val="24"/>
                <w:szCs w:val="24"/>
              </w:rPr>
              <w:t>序号</w:t>
            </w:r>
          </w:p>
        </w:tc>
        <w:tc>
          <w:tcPr>
            <w:tcW w:w="434" w:type="pct"/>
            <w:shd w:val="clear" w:color="auto" w:fill="D8D8D8" w:themeFill="background1" w:themeFillShade="D9"/>
            <w:vAlign w:val="center"/>
          </w:tcPr>
          <w:p w14:paraId="526DD00C">
            <w:pPr>
              <w:pStyle w:val="47"/>
              <w:snapToGrid w:val="0"/>
              <w:spacing w:line="300" w:lineRule="exact"/>
              <w:jc w:val="center"/>
              <w:rPr>
                <w:rFonts w:cs="Times New Roman"/>
                <w:b/>
                <w:bCs/>
                <w:spacing w:val="-20"/>
                <w:sz w:val="24"/>
                <w:szCs w:val="24"/>
              </w:rPr>
            </w:pPr>
            <w:r>
              <w:rPr>
                <w:rFonts w:cs="Times New Roman"/>
                <w:b/>
                <w:bCs/>
                <w:spacing w:val="-28"/>
                <w:sz w:val="24"/>
                <w:szCs w:val="24"/>
              </w:rPr>
              <w:t>一级指标</w:t>
            </w:r>
          </w:p>
        </w:tc>
        <w:tc>
          <w:tcPr>
            <w:tcW w:w="490" w:type="pct"/>
            <w:shd w:val="clear" w:color="auto" w:fill="D8D8D8" w:themeFill="background1" w:themeFillShade="D9"/>
            <w:vAlign w:val="center"/>
          </w:tcPr>
          <w:p w14:paraId="6F992494">
            <w:pPr>
              <w:pStyle w:val="47"/>
              <w:snapToGrid w:val="0"/>
              <w:spacing w:line="300" w:lineRule="exact"/>
              <w:jc w:val="center"/>
              <w:rPr>
                <w:rFonts w:cs="Times New Roman"/>
                <w:b/>
                <w:bCs/>
                <w:spacing w:val="-20"/>
                <w:sz w:val="24"/>
                <w:szCs w:val="24"/>
              </w:rPr>
            </w:pPr>
            <w:r>
              <w:rPr>
                <w:rFonts w:cs="Times New Roman"/>
                <w:b/>
                <w:bCs/>
                <w:spacing w:val="-20"/>
                <w:sz w:val="24"/>
                <w:szCs w:val="24"/>
              </w:rPr>
              <w:t>二级指标</w:t>
            </w:r>
          </w:p>
        </w:tc>
        <w:tc>
          <w:tcPr>
            <w:tcW w:w="1524" w:type="pct"/>
            <w:shd w:val="clear" w:color="auto" w:fill="D8D8D8" w:themeFill="background1" w:themeFillShade="D9"/>
            <w:vAlign w:val="center"/>
          </w:tcPr>
          <w:p w14:paraId="6DE86E55">
            <w:pPr>
              <w:pStyle w:val="47"/>
              <w:snapToGrid w:val="0"/>
              <w:spacing w:line="300" w:lineRule="exact"/>
              <w:jc w:val="center"/>
              <w:rPr>
                <w:rFonts w:cs="Times New Roman"/>
                <w:b/>
                <w:bCs/>
                <w:spacing w:val="-20"/>
                <w:sz w:val="24"/>
                <w:szCs w:val="24"/>
              </w:rPr>
            </w:pPr>
            <w:r>
              <w:rPr>
                <w:rFonts w:cs="Times New Roman"/>
                <w:b/>
                <w:bCs/>
                <w:spacing w:val="-20"/>
                <w:sz w:val="24"/>
                <w:szCs w:val="24"/>
              </w:rPr>
              <w:t>三级指标</w:t>
            </w:r>
          </w:p>
        </w:tc>
        <w:tc>
          <w:tcPr>
            <w:tcW w:w="271" w:type="pct"/>
            <w:shd w:val="clear" w:color="auto" w:fill="D8D8D8" w:themeFill="background1" w:themeFillShade="D9"/>
            <w:vAlign w:val="center"/>
          </w:tcPr>
          <w:p w14:paraId="39670256">
            <w:pPr>
              <w:pStyle w:val="47"/>
              <w:snapToGrid w:val="0"/>
              <w:spacing w:line="300" w:lineRule="exact"/>
              <w:jc w:val="center"/>
              <w:rPr>
                <w:rFonts w:cs="Times New Roman"/>
                <w:b/>
                <w:bCs/>
                <w:spacing w:val="-20"/>
                <w:sz w:val="24"/>
                <w:szCs w:val="24"/>
              </w:rPr>
            </w:pPr>
            <w:r>
              <w:rPr>
                <w:rFonts w:cs="Times New Roman"/>
                <w:b/>
                <w:bCs/>
                <w:spacing w:val="-20"/>
                <w:sz w:val="24"/>
                <w:szCs w:val="24"/>
              </w:rPr>
              <w:t>单位</w:t>
            </w:r>
          </w:p>
        </w:tc>
        <w:tc>
          <w:tcPr>
            <w:tcW w:w="933" w:type="pct"/>
            <w:shd w:val="clear" w:color="auto" w:fill="D8D8D8" w:themeFill="background1" w:themeFillShade="D9"/>
            <w:vAlign w:val="center"/>
          </w:tcPr>
          <w:p w14:paraId="1AC93753">
            <w:pPr>
              <w:pStyle w:val="47"/>
              <w:snapToGrid w:val="0"/>
              <w:spacing w:line="300" w:lineRule="exact"/>
              <w:jc w:val="center"/>
              <w:rPr>
                <w:rFonts w:cs="Times New Roman"/>
                <w:b/>
                <w:bCs/>
                <w:spacing w:val="-20"/>
                <w:sz w:val="24"/>
                <w:szCs w:val="24"/>
              </w:rPr>
            </w:pPr>
            <w:r>
              <w:rPr>
                <w:rFonts w:cs="Times New Roman"/>
                <w:b/>
                <w:bCs/>
                <w:spacing w:val="-20"/>
                <w:sz w:val="24"/>
                <w:szCs w:val="24"/>
              </w:rPr>
              <w:t>主要责任部门</w:t>
            </w:r>
          </w:p>
        </w:tc>
        <w:tc>
          <w:tcPr>
            <w:tcW w:w="527" w:type="pct"/>
            <w:shd w:val="clear" w:color="auto" w:fill="D8D8D8" w:themeFill="background1" w:themeFillShade="D9"/>
            <w:vAlign w:val="center"/>
          </w:tcPr>
          <w:p w14:paraId="5C9B61E1">
            <w:pPr>
              <w:pStyle w:val="47"/>
              <w:snapToGrid w:val="0"/>
              <w:spacing w:line="300" w:lineRule="exact"/>
              <w:jc w:val="center"/>
              <w:rPr>
                <w:rFonts w:cs="Times New Roman"/>
                <w:b/>
                <w:bCs/>
                <w:spacing w:val="-20"/>
                <w:sz w:val="24"/>
                <w:szCs w:val="24"/>
              </w:rPr>
            </w:pPr>
            <w:r>
              <w:rPr>
                <w:rFonts w:cs="Times New Roman"/>
                <w:b/>
                <w:bCs/>
                <w:spacing w:val="-20"/>
                <w:sz w:val="24"/>
                <w:szCs w:val="24"/>
              </w:rPr>
              <w:t>现状值</w:t>
            </w:r>
          </w:p>
          <w:p w14:paraId="7E28D98D">
            <w:pPr>
              <w:pStyle w:val="47"/>
              <w:snapToGrid w:val="0"/>
              <w:spacing w:line="300" w:lineRule="exact"/>
              <w:jc w:val="center"/>
              <w:rPr>
                <w:rFonts w:cs="Times New Roman"/>
                <w:b/>
                <w:bCs/>
                <w:spacing w:val="-20"/>
                <w:sz w:val="24"/>
                <w:szCs w:val="24"/>
              </w:rPr>
            </w:pPr>
            <w:r>
              <w:rPr>
                <w:rFonts w:cs="Times New Roman"/>
                <w:b/>
                <w:bCs/>
                <w:spacing w:val="-20"/>
                <w:sz w:val="24"/>
                <w:szCs w:val="24"/>
              </w:rPr>
              <w:t>（2021年）</w:t>
            </w:r>
          </w:p>
        </w:tc>
        <w:tc>
          <w:tcPr>
            <w:tcW w:w="548" w:type="pct"/>
            <w:shd w:val="clear" w:color="auto" w:fill="D8D8D8" w:themeFill="background1" w:themeFillShade="D9"/>
            <w:vAlign w:val="center"/>
          </w:tcPr>
          <w:p w14:paraId="60E20340">
            <w:pPr>
              <w:pStyle w:val="47"/>
              <w:snapToGrid w:val="0"/>
              <w:spacing w:line="300" w:lineRule="exact"/>
              <w:jc w:val="center"/>
              <w:rPr>
                <w:rFonts w:cs="Times New Roman"/>
                <w:b/>
                <w:bCs/>
                <w:spacing w:val="-20"/>
                <w:sz w:val="24"/>
                <w:szCs w:val="24"/>
              </w:rPr>
            </w:pPr>
            <w:r>
              <w:rPr>
                <w:rFonts w:cs="Times New Roman"/>
                <w:b/>
                <w:bCs/>
                <w:spacing w:val="-20"/>
                <w:sz w:val="24"/>
                <w:szCs w:val="24"/>
              </w:rPr>
              <w:t>指标要求</w:t>
            </w:r>
          </w:p>
          <w:p w14:paraId="380EC035">
            <w:pPr>
              <w:pStyle w:val="47"/>
              <w:snapToGrid w:val="0"/>
              <w:spacing w:line="300" w:lineRule="exact"/>
              <w:jc w:val="center"/>
              <w:rPr>
                <w:rFonts w:cs="Times New Roman"/>
                <w:b/>
                <w:bCs/>
                <w:spacing w:val="-20"/>
                <w:sz w:val="24"/>
                <w:szCs w:val="24"/>
              </w:rPr>
            </w:pPr>
            <w:r>
              <w:rPr>
                <w:rFonts w:cs="Times New Roman"/>
                <w:b/>
                <w:bCs/>
                <w:spacing w:val="-20"/>
                <w:sz w:val="24"/>
                <w:szCs w:val="24"/>
              </w:rPr>
              <w:t>（2025年）</w:t>
            </w:r>
          </w:p>
        </w:tc>
      </w:tr>
      <w:tr w14:paraId="336C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1E03D6B3">
            <w:pPr>
              <w:pStyle w:val="47"/>
              <w:numPr>
                <w:ilvl w:val="0"/>
                <w:numId w:val="15"/>
              </w:numPr>
              <w:snapToGrid w:val="0"/>
              <w:spacing w:line="400" w:lineRule="exact"/>
              <w:jc w:val="center"/>
              <w:rPr>
                <w:rFonts w:cs="Times New Roman"/>
                <w:spacing w:val="-20"/>
                <w:sz w:val="24"/>
                <w:szCs w:val="24"/>
              </w:rPr>
            </w:pPr>
            <w:bookmarkStart w:id="100" w:name="_Hlk120796954"/>
          </w:p>
        </w:tc>
        <w:tc>
          <w:tcPr>
            <w:tcW w:w="434" w:type="pct"/>
            <w:vMerge w:val="restart"/>
            <w:shd w:val="clear" w:color="auto" w:fill="auto"/>
            <w:vAlign w:val="center"/>
          </w:tcPr>
          <w:p w14:paraId="08CDFA80">
            <w:pPr>
              <w:pStyle w:val="47"/>
              <w:snapToGrid w:val="0"/>
              <w:spacing w:line="360" w:lineRule="exact"/>
              <w:jc w:val="center"/>
              <w:rPr>
                <w:rFonts w:cs="Times New Roman"/>
                <w:spacing w:val="-20"/>
                <w:sz w:val="24"/>
                <w:szCs w:val="24"/>
              </w:rPr>
            </w:pPr>
            <w:r>
              <w:rPr>
                <w:rFonts w:cs="Times New Roman"/>
                <w:spacing w:val="-20"/>
                <w:sz w:val="24"/>
                <w:szCs w:val="24"/>
              </w:rPr>
              <w:t>固体废物源头减量</w:t>
            </w:r>
          </w:p>
        </w:tc>
        <w:tc>
          <w:tcPr>
            <w:tcW w:w="490" w:type="pct"/>
            <w:vMerge w:val="restart"/>
            <w:shd w:val="clear" w:color="auto" w:fill="auto"/>
            <w:vAlign w:val="center"/>
          </w:tcPr>
          <w:p w14:paraId="6F937C75">
            <w:pPr>
              <w:pStyle w:val="47"/>
              <w:snapToGrid w:val="0"/>
              <w:spacing w:line="360" w:lineRule="exact"/>
              <w:jc w:val="center"/>
              <w:rPr>
                <w:rFonts w:cs="Times New Roman"/>
                <w:spacing w:val="-20"/>
                <w:sz w:val="24"/>
                <w:szCs w:val="24"/>
              </w:rPr>
            </w:pPr>
            <w:r>
              <w:rPr>
                <w:rFonts w:cs="Times New Roman"/>
                <w:spacing w:val="-20"/>
                <w:sz w:val="24"/>
                <w:szCs w:val="24"/>
              </w:rPr>
              <w:t>工业源头减量</w:t>
            </w:r>
          </w:p>
        </w:tc>
        <w:tc>
          <w:tcPr>
            <w:tcW w:w="1524" w:type="pct"/>
            <w:shd w:val="clear" w:color="auto" w:fill="auto"/>
            <w:vAlign w:val="center"/>
          </w:tcPr>
          <w:p w14:paraId="3B81E4FE">
            <w:pPr>
              <w:pStyle w:val="47"/>
              <w:snapToGrid w:val="0"/>
              <w:spacing w:line="360" w:lineRule="exact"/>
              <w:jc w:val="center"/>
              <w:rPr>
                <w:rFonts w:eastAsia="等线" w:cs="Times New Roman"/>
                <w:spacing w:val="-20"/>
                <w:sz w:val="24"/>
                <w:szCs w:val="24"/>
              </w:rPr>
            </w:pPr>
            <w:r>
              <w:rPr>
                <w:rFonts w:cs="Times New Roman"/>
                <w:spacing w:val="-20"/>
                <w:sz w:val="24"/>
                <w:szCs w:val="24"/>
              </w:rPr>
              <w:t>通过清洁生产审核评估工业企业占比</w:t>
            </w:r>
            <w:r>
              <w:rPr>
                <w:rFonts w:ascii="Segoe UI Symbol" w:hAnsi="Segoe UI Symbol" w:cs="Segoe UI Symbol"/>
                <w:spacing w:val="-20"/>
                <w:sz w:val="24"/>
                <w:szCs w:val="24"/>
              </w:rPr>
              <w:t>★</w:t>
            </w:r>
          </w:p>
        </w:tc>
        <w:tc>
          <w:tcPr>
            <w:tcW w:w="271" w:type="pct"/>
            <w:vAlign w:val="center"/>
          </w:tcPr>
          <w:p w14:paraId="7DA3F410">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6C43F8C3">
            <w:pPr>
              <w:pStyle w:val="47"/>
              <w:snapToGrid w:val="0"/>
              <w:spacing w:line="36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4DF66A61">
            <w:pPr>
              <w:pStyle w:val="47"/>
              <w:snapToGrid w:val="0"/>
              <w:spacing w:line="360" w:lineRule="exact"/>
              <w:jc w:val="center"/>
              <w:rPr>
                <w:rFonts w:cs="Times New Roman"/>
                <w:spacing w:val="-20"/>
                <w:sz w:val="24"/>
                <w:szCs w:val="24"/>
              </w:rPr>
            </w:pPr>
            <w:r>
              <w:rPr>
                <w:rFonts w:cs="Times New Roman"/>
                <w:spacing w:val="-20"/>
                <w:sz w:val="24"/>
                <w:szCs w:val="24"/>
              </w:rPr>
              <w:t>100</w:t>
            </w:r>
          </w:p>
        </w:tc>
        <w:tc>
          <w:tcPr>
            <w:tcW w:w="548" w:type="pct"/>
            <w:shd w:val="clear" w:color="auto" w:fill="auto"/>
            <w:vAlign w:val="center"/>
          </w:tcPr>
          <w:p w14:paraId="7228F2D2">
            <w:pPr>
              <w:pStyle w:val="47"/>
              <w:snapToGrid w:val="0"/>
              <w:spacing w:line="360" w:lineRule="exact"/>
              <w:jc w:val="center"/>
              <w:rPr>
                <w:rFonts w:cs="Times New Roman"/>
                <w:spacing w:val="-20"/>
                <w:sz w:val="24"/>
                <w:szCs w:val="24"/>
              </w:rPr>
            </w:pPr>
            <w:r>
              <w:rPr>
                <w:rFonts w:cs="Times New Roman"/>
                <w:spacing w:val="-20"/>
                <w:sz w:val="24"/>
                <w:szCs w:val="24"/>
              </w:rPr>
              <w:t>100</w:t>
            </w:r>
          </w:p>
        </w:tc>
      </w:tr>
      <w:bookmarkEnd w:id="100"/>
      <w:tr w14:paraId="4C81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19D31059">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17E82432">
            <w:pPr>
              <w:pStyle w:val="47"/>
              <w:snapToGrid w:val="0"/>
              <w:spacing w:line="360" w:lineRule="exact"/>
              <w:jc w:val="center"/>
              <w:rPr>
                <w:rFonts w:cs="Times New Roman"/>
                <w:spacing w:val="-20"/>
                <w:sz w:val="24"/>
                <w:szCs w:val="24"/>
              </w:rPr>
            </w:pPr>
          </w:p>
        </w:tc>
        <w:tc>
          <w:tcPr>
            <w:tcW w:w="490" w:type="pct"/>
            <w:vMerge w:val="continue"/>
            <w:shd w:val="clear" w:color="auto" w:fill="auto"/>
            <w:vAlign w:val="center"/>
          </w:tcPr>
          <w:p w14:paraId="2F530F8C">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1B56CF6E">
            <w:pPr>
              <w:pStyle w:val="47"/>
              <w:snapToGrid w:val="0"/>
              <w:spacing w:line="360" w:lineRule="exact"/>
              <w:jc w:val="center"/>
              <w:rPr>
                <w:rFonts w:cs="Times New Roman"/>
                <w:spacing w:val="-20"/>
                <w:sz w:val="24"/>
                <w:szCs w:val="24"/>
              </w:rPr>
            </w:pPr>
            <w:r>
              <w:rPr>
                <w:rFonts w:cs="Times New Roman"/>
                <w:spacing w:val="-20"/>
                <w:sz w:val="24"/>
                <w:szCs w:val="24"/>
              </w:rPr>
              <w:t>工业危险废物产生强度</w:t>
            </w:r>
            <w:r>
              <w:rPr>
                <w:rFonts w:ascii="Segoe UI Symbol" w:hAnsi="Segoe UI Symbol" w:cs="Segoe UI Symbol"/>
                <w:spacing w:val="-20"/>
                <w:sz w:val="24"/>
                <w:szCs w:val="24"/>
              </w:rPr>
              <w:t>★</w:t>
            </w:r>
          </w:p>
        </w:tc>
        <w:tc>
          <w:tcPr>
            <w:tcW w:w="271" w:type="pct"/>
            <w:vAlign w:val="center"/>
          </w:tcPr>
          <w:p w14:paraId="7114D30D">
            <w:pPr>
              <w:pStyle w:val="47"/>
              <w:snapToGrid w:val="0"/>
              <w:spacing w:line="360" w:lineRule="exact"/>
              <w:jc w:val="center"/>
              <w:rPr>
                <w:rFonts w:cs="Times New Roman"/>
                <w:spacing w:val="-20"/>
                <w:sz w:val="24"/>
                <w:szCs w:val="24"/>
              </w:rPr>
            </w:pPr>
            <w:r>
              <w:rPr>
                <w:rFonts w:cs="Times New Roman"/>
                <w:spacing w:val="-20"/>
                <w:sz w:val="24"/>
                <w:szCs w:val="24"/>
              </w:rPr>
              <w:t>吨/万元</w:t>
            </w:r>
          </w:p>
        </w:tc>
        <w:tc>
          <w:tcPr>
            <w:tcW w:w="933" w:type="pct"/>
            <w:shd w:val="clear" w:color="auto" w:fill="auto"/>
            <w:vAlign w:val="center"/>
          </w:tcPr>
          <w:p w14:paraId="5A3278C2">
            <w:pPr>
              <w:pStyle w:val="47"/>
              <w:snapToGrid w:val="0"/>
              <w:spacing w:line="36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4890F800">
            <w:pPr>
              <w:pStyle w:val="47"/>
              <w:snapToGrid w:val="0"/>
              <w:spacing w:line="360" w:lineRule="exact"/>
              <w:jc w:val="center"/>
              <w:rPr>
                <w:rFonts w:cs="Times New Roman"/>
                <w:spacing w:val="-20"/>
                <w:sz w:val="24"/>
                <w:szCs w:val="24"/>
              </w:rPr>
            </w:pPr>
            <w:r>
              <w:rPr>
                <w:rFonts w:cs="Times New Roman"/>
                <w:spacing w:val="-20"/>
                <w:sz w:val="24"/>
                <w:szCs w:val="24"/>
              </w:rPr>
              <w:t>0.0003</w:t>
            </w:r>
          </w:p>
        </w:tc>
        <w:tc>
          <w:tcPr>
            <w:tcW w:w="548" w:type="pct"/>
            <w:shd w:val="clear" w:color="auto" w:fill="auto"/>
            <w:vAlign w:val="center"/>
          </w:tcPr>
          <w:p w14:paraId="7E77CB6D">
            <w:pPr>
              <w:pStyle w:val="47"/>
              <w:snapToGrid w:val="0"/>
              <w:spacing w:line="360" w:lineRule="exact"/>
              <w:jc w:val="center"/>
              <w:rPr>
                <w:rFonts w:cs="Times New Roman"/>
                <w:spacing w:val="-20"/>
                <w:sz w:val="24"/>
                <w:szCs w:val="24"/>
              </w:rPr>
            </w:pPr>
            <w:r>
              <w:rPr>
                <w:rFonts w:hint="eastAsia" w:cs="Times New Roman"/>
                <w:spacing w:val="-20"/>
                <w:sz w:val="24"/>
                <w:szCs w:val="24"/>
              </w:rPr>
              <w:t>〈</w:t>
            </w:r>
            <w:r>
              <w:rPr>
                <w:rFonts w:cs="Times New Roman"/>
                <w:spacing w:val="-20"/>
                <w:sz w:val="24"/>
                <w:szCs w:val="24"/>
              </w:rPr>
              <w:t>0.0003</w:t>
            </w:r>
          </w:p>
        </w:tc>
      </w:tr>
      <w:tr w14:paraId="1146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60EC48F0">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022B168B">
            <w:pPr>
              <w:pStyle w:val="47"/>
              <w:snapToGrid w:val="0"/>
              <w:spacing w:line="360" w:lineRule="exact"/>
              <w:jc w:val="center"/>
              <w:rPr>
                <w:rFonts w:cs="Times New Roman"/>
                <w:spacing w:val="-20"/>
                <w:sz w:val="24"/>
                <w:szCs w:val="24"/>
              </w:rPr>
            </w:pPr>
          </w:p>
        </w:tc>
        <w:tc>
          <w:tcPr>
            <w:tcW w:w="490" w:type="pct"/>
            <w:vMerge w:val="restart"/>
            <w:shd w:val="clear" w:color="auto" w:fill="auto"/>
            <w:vAlign w:val="center"/>
          </w:tcPr>
          <w:p w14:paraId="53794BD6">
            <w:pPr>
              <w:pStyle w:val="47"/>
              <w:snapToGrid w:val="0"/>
              <w:spacing w:line="360" w:lineRule="exact"/>
              <w:jc w:val="center"/>
              <w:rPr>
                <w:rFonts w:cs="Times New Roman"/>
                <w:spacing w:val="-20"/>
                <w:sz w:val="24"/>
                <w:szCs w:val="24"/>
              </w:rPr>
            </w:pPr>
            <w:r>
              <w:rPr>
                <w:rFonts w:cs="Times New Roman"/>
                <w:spacing w:val="-20"/>
                <w:sz w:val="24"/>
                <w:szCs w:val="24"/>
              </w:rPr>
              <w:t>建筑业源头减量</w:t>
            </w:r>
          </w:p>
        </w:tc>
        <w:tc>
          <w:tcPr>
            <w:tcW w:w="1524" w:type="pct"/>
            <w:shd w:val="clear" w:color="auto" w:fill="auto"/>
            <w:vAlign w:val="center"/>
          </w:tcPr>
          <w:p w14:paraId="1F859C01">
            <w:pPr>
              <w:pStyle w:val="47"/>
              <w:snapToGrid w:val="0"/>
              <w:spacing w:line="360" w:lineRule="exact"/>
              <w:jc w:val="center"/>
              <w:rPr>
                <w:rFonts w:cs="Times New Roman"/>
                <w:spacing w:val="-20"/>
                <w:sz w:val="24"/>
                <w:szCs w:val="24"/>
              </w:rPr>
            </w:pPr>
            <w:r>
              <w:rPr>
                <w:rFonts w:cs="Times New Roman"/>
                <w:spacing w:val="-20"/>
                <w:sz w:val="24"/>
                <w:szCs w:val="24"/>
              </w:rPr>
              <w:t>绿色建筑占新建建筑的比例</w:t>
            </w:r>
            <w:r>
              <w:rPr>
                <w:rFonts w:ascii="Segoe UI Symbol" w:hAnsi="Segoe UI Symbol" w:cs="Segoe UI Symbol"/>
                <w:spacing w:val="-20"/>
                <w:sz w:val="24"/>
                <w:szCs w:val="24"/>
              </w:rPr>
              <w:t>★</w:t>
            </w:r>
          </w:p>
        </w:tc>
        <w:tc>
          <w:tcPr>
            <w:tcW w:w="271" w:type="pct"/>
            <w:vAlign w:val="center"/>
          </w:tcPr>
          <w:p w14:paraId="607BA964">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5316E449">
            <w:pPr>
              <w:pStyle w:val="47"/>
              <w:snapToGrid w:val="0"/>
              <w:spacing w:line="360" w:lineRule="exact"/>
              <w:jc w:val="center"/>
              <w:rPr>
                <w:rFonts w:cs="Times New Roman"/>
                <w:spacing w:val="-20"/>
                <w:sz w:val="24"/>
                <w:szCs w:val="24"/>
              </w:rPr>
            </w:pPr>
            <w:r>
              <w:rPr>
                <w:rFonts w:cs="Times New Roman"/>
                <w:spacing w:val="-20"/>
                <w:sz w:val="24"/>
                <w:szCs w:val="24"/>
              </w:rPr>
              <w:t>区建设局</w:t>
            </w:r>
          </w:p>
        </w:tc>
        <w:tc>
          <w:tcPr>
            <w:tcW w:w="527" w:type="pct"/>
            <w:shd w:val="clear" w:color="auto" w:fill="auto"/>
            <w:vAlign w:val="center"/>
          </w:tcPr>
          <w:p w14:paraId="4A1A3D4A">
            <w:pPr>
              <w:pStyle w:val="47"/>
              <w:snapToGrid w:val="0"/>
              <w:spacing w:line="360" w:lineRule="exact"/>
              <w:jc w:val="center"/>
              <w:rPr>
                <w:rFonts w:cs="Times New Roman"/>
                <w:spacing w:val="-20"/>
                <w:sz w:val="24"/>
                <w:szCs w:val="24"/>
              </w:rPr>
            </w:pPr>
            <w:r>
              <w:rPr>
                <w:rFonts w:cs="Times New Roman"/>
                <w:spacing w:val="-20"/>
                <w:sz w:val="24"/>
                <w:szCs w:val="24"/>
              </w:rPr>
              <w:t>100</w:t>
            </w:r>
          </w:p>
        </w:tc>
        <w:tc>
          <w:tcPr>
            <w:tcW w:w="548" w:type="pct"/>
            <w:shd w:val="clear" w:color="auto" w:fill="auto"/>
            <w:vAlign w:val="center"/>
          </w:tcPr>
          <w:p w14:paraId="2284C6CE">
            <w:pPr>
              <w:pStyle w:val="47"/>
              <w:snapToGrid w:val="0"/>
              <w:spacing w:line="360" w:lineRule="exact"/>
              <w:jc w:val="center"/>
              <w:rPr>
                <w:rFonts w:cs="Times New Roman"/>
                <w:spacing w:val="-20"/>
                <w:sz w:val="24"/>
                <w:szCs w:val="24"/>
              </w:rPr>
            </w:pPr>
            <w:r>
              <w:rPr>
                <w:rFonts w:cs="Times New Roman"/>
                <w:spacing w:val="-20"/>
                <w:sz w:val="24"/>
                <w:szCs w:val="24"/>
              </w:rPr>
              <w:t>100</w:t>
            </w:r>
          </w:p>
        </w:tc>
      </w:tr>
      <w:tr w14:paraId="2AFC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74A877B7">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41578130">
            <w:pPr>
              <w:pStyle w:val="47"/>
              <w:snapToGrid w:val="0"/>
              <w:spacing w:line="360" w:lineRule="exact"/>
              <w:jc w:val="center"/>
              <w:rPr>
                <w:rFonts w:cs="Times New Roman"/>
                <w:spacing w:val="-20"/>
                <w:sz w:val="24"/>
                <w:szCs w:val="24"/>
              </w:rPr>
            </w:pPr>
          </w:p>
        </w:tc>
        <w:tc>
          <w:tcPr>
            <w:tcW w:w="490" w:type="pct"/>
            <w:vMerge w:val="continue"/>
            <w:shd w:val="clear" w:color="auto" w:fill="auto"/>
            <w:vAlign w:val="center"/>
          </w:tcPr>
          <w:p w14:paraId="0532EB66">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328F273E">
            <w:pPr>
              <w:pStyle w:val="47"/>
              <w:snapToGrid w:val="0"/>
              <w:spacing w:line="360" w:lineRule="exact"/>
              <w:jc w:val="center"/>
              <w:rPr>
                <w:rFonts w:cs="Times New Roman"/>
                <w:spacing w:val="-20"/>
                <w:sz w:val="24"/>
                <w:szCs w:val="24"/>
              </w:rPr>
            </w:pPr>
            <w:r>
              <w:rPr>
                <w:rFonts w:cs="Times New Roman"/>
                <w:spacing w:val="-20"/>
                <w:sz w:val="24"/>
                <w:szCs w:val="24"/>
              </w:rPr>
              <w:t>装配式建筑占新建建筑的比例</w:t>
            </w:r>
            <w:r>
              <w:rPr>
                <w:rFonts w:ascii="Segoe UI Symbol" w:hAnsi="Segoe UI Symbol" w:cs="Segoe UI Symbol"/>
                <w:spacing w:val="-20"/>
                <w:sz w:val="24"/>
                <w:szCs w:val="24"/>
              </w:rPr>
              <w:t>★</w:t>
            </w:r>
          </w:p>
        </w:tc>
        <w:tc>
          <w:tcPr>
            <w:tcW w:w="271" w:type="pct"/>
            <w:vAlign w:val="center"/>
          </w:tcPr>
          <w:p w14:paraId="3C19E9F0">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40FCA40C">
            <w:pPr>
              <w:pStyle w:val="47"/>
              <w:snapToGrid w:val="0"/>
              <w:spacing w:line="360" w:lineRule="exact"/>
              <w:jc w:val="center"/>
              <w:rPr>
                <w:rFonts w:cs="Times New Roman"/>
                <w:spacing w:val="-20"/>
                <w:sz w:val="24"/>
                <w:szCs w:val="24"/>
              </w:rPr>
            </w:pPr>
            <w:r>
              <w:rPr>
                <w:rFonts w:cs="Times New Roman"/>
                <w:spacing w:val="-20"/>
                <w:sz w:val="24"/>
                <w:szCs w:val="24"/>
              </w:rPr>
              <w:t>区建设局</w:t>
            </w:r>
          </w:p>
        </w:tc>
        <w:tc>
          <w:tcPr>
            <w:tcW w:w="527" w:type="pct"/>
            <w:shd w:val="clear" w:color="auto" w:fill="auto"/>
            <w:vAlign w:val="center"/>
          </w:tcPr>
          <w:p w14:paraId="6173A4E3">
            <w:pPr>
              <w:pStyle w:val="47"/>
              <w:snapToGrid w:val="0"/>
              <w:spacing w:line="360" w:lineRule="exact"/>
              <w:jc w:val="center"/>
              <w:rPr>
                <w:rFonts w:cs="Times New Roman"/>
                <w:spacing w:val="-20"/>
                <w:sz w:val="24"/>
                <w:szCs w:val="24"/>
              </w:rPr>
            </w:pPr>
            <w:r>
              <w:rPr>
                <w:rFonts w:cs="Times New Roman"/>
                <w:spacing w:val="-20"/>
                <w:sz w:val="24"/>
                <w:szCs w:val="24"/>
              </w:rPr>
              <w:t>43</w:t>
            </w:r>
          </w:p>
        </w:tc>
        <w:tc>
          <w:tcPr>
            <w:tcW w:w="548" w:type="pct"/>
            <w:shd w:val="clear" w:color="auto" w:fill="auto"/>
            <w:vAlign w:val="center"/>
          </w:tcPr>
          <w:p w14:paraId="071C2BA9">
            <w:pPr>
              <w:pStyle w:val="47"/>
              <w:snapToGrid w:val="0"/>
              <w:spacing w:line="360" w:lineRule="exact"/>
              <w:jc w:val="center"/>
              <w:rPr>
                <w:rFonts w:cs="Times New Roman"/>
                <w:spacing w:val="-20"/>
                <w:sz w:val="24"/>
                <w:szCs w:val="24"/>
              </w:rPr>
            </w:pPr>
            <w:r>
              <w:rPr>
                <w:rFonts w:cs="Times New Roman"/>
                <w:spacing w:val="-20"/>
                <w:sz w:val="24"/>
                <w:szCs w:val="24"/>
              </w:rPr>
              <w:t>60</w:t>
            </w:r>
          </w:p>
        </w:tc>
      </w:tr>
      <w:tr w14:paraId="3589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0E3F6BC5">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6A43EB66">
            <w:pPr>
              <w:pStyle w:val="47"/>
              <w:snapToGrid w:val="0"/>
              <w:spacing w:line="360" w:lineRule="exact"/>
              <w:jc w:val="center"/>
              <w:rPr>
                <w:rFonts w:cs="Times New Roman"/>
                <w:spacing w:val="-20"/>
                <w:sz w:val="24"/>
                <w:szCs w:val="24"/>
              </w:rPr>
            </w:pPr>
          </w:p>
        </w:tc>
        <w:tc>
          <w:tcPr>
            <w:tcW w:w="490" w:type="pct"/>
            <w:vMerge w:val="restart"/>
            <w:shd w:val="clear" w:color="auto" w:fill="auto"/>
            <w:vAlign w:val="center"/>
          </w:tcPr>
          <w:p w14:paraId="54515E54">
            <w:pPr>
              <w:pStyle w:val="47"/>
              <w:snapToGrid w:val="0"/>
              <w:spacing w:line="360" w:lineRule="exact"/>
              <w:jc w:val="center"/>
              <w:rPr>
                <w:rFonts w:cs="Times New Roman"/>
                <w:spacing w:val="-20"/>
                <w:sz w:val="24"/>
                <w:szCs w:val="24"/>
              </w:rPr>
            </w:pPr>
            <w:r>
              <w:rPr>
                <w:rFonts w:cs="Times New Roman"/>
                <w:spacing w:val="-20"/>
                <w:sz w:val="24"/>
                <w:szCs w:val="24"/>
              </w:rPr>
              <w:t>生活领域源头减量</w:t>
            </w:r>
          </w:p>
        </w:tc>
        <w:tc>
          <w:tcPr>
            <w:tcW w:w="1524" w:type="pct"/>
            <w:shd w:val="clear" w:color="auto" w:fill="auto"/>
            <w:vAlign w:val="center"/>
          </w:tcPr>
          <w:p w14:paraId="199F8A04">
            <w:pPr>
              <w:pStyle w:val="47"/>
              <w:snapToGrid w:val="0"/>
              <w:spacing w:line="360" w:lineRule="exact"/>
              <w:jc w:val="center"/>
              <w:rPr>
                <w:rFonts w:cs="Times New Roman"/>
                <w:spacing w:val="-20"/>
                <w:sz w:val="24"/>
                <w:szCs w:val="24"/>
              </w:rPr>
            </w:pPr>
            <w:r>
              <w:rPr>
                <w:rFonts w:cs="Times New Roman"/>
                <w:spacing w:val="-20"/>
                <w:sz w:val="24"/>
                <w:szCs w:val="24"/>
              </w:rPr>
              <w:t>生活垃圾清运量</w:t>
            </w:r>
            <w:r>
              <w:rPr>
                <w:rFonts w:ascii="Segoe UI Symbol" w:hAnsi="Segoe UI Symbol" w:cs="Segoe UI Symbol"/>
                <w:spacing w:val="-20"/>
                <w:sz w:val="24"/>
                <w:szCs w:val="24"/>
              </w:rPr>
              <w:t>★</w:t>
            </w:r>
          </w:p>
        </w:tc>
        <w:tc>
          <w:tcPr>
            <w:tcW w:w="271" w:type="pct"/>
            <w:vAlign w:val="center"/>
          </w:tcPr>
          <w:p w14:paraId="46DF8B74">
            <w:pPr>
              <w:pStyle w:val="47"/>
              <w:snapToGrid w:val="0"/>
              <w:spacing w:line="360" w:lineRule="exact"/>
              <w:jc w:val="center"/>
              <w:rPr>
                <w:rFonts w:cs="Times New Roman"/>
                <w:spacing w:val="-20"/>
                <w:sz w:val="24"/>
                <w:szCs w:val="24"/>
              </w:rPr>
            </w:pPr>
            <w:r>
              <w:rPr>
                <w:rFonts w:cs="Times New Roman"/>
                <w:spacing w:val="-20"/>
                <w:sz w:val="24"/>
                <w:szCs w:val="24"/>
              </w:rPr>
              <w:t>万吨</w:t>
            </w:r>
          </w:p>
        </w:tc>
        <w:tc>
          <w:tcPr>
            <w:tcW w:w="933" w:type="pct"/>
            <w:shd w:val="clear" w:color="auto" w:fill="auto"/>
            <w:vAlign w:val="center"/>
          </w:tcPr>
          <w:p w14:paraId="0D0FD891">
            <w:pPr>
              <w:pStyle w:val="47"/>
              <w:snapToGrid w:val="0"/>
              <w:spacing w:line="360" w:lineRule="exact"/>
              <w:jc w:val="center"/>
              <w:rPr>
                <w:rFonts w:cs="Times New Roman"/>
                <w:spacing w:val="-20"/>
                <w:sz w:val="24"/>
                <w:szCs w:val="24"/>
              </w:rPr>
            </w:pPr>
            <w:r>
              <w:rPr>
                <w:rFonts w:cs="Times New Roman"/>
                <w:spacing w:val="-20"/>
                <w:sz w:val="24"/>
                <w:szCs w:val="24"/>
              </w:rPr>
              <w:t>区城管局</w:t>
            </w:r>
          </w:p>
        </w:tc>
        <w:tc>
          <w:tcPr>
            <w:tcW w:w="527" w:type="pct"/>
            <w:shd w:val="clear" w:color="auto" w:fill="auto"/>
            <w:vAlign w:val="center"/>
          </w:tcPr>
          <w:p w14:paraId="1D3E1B5E">
            <w:pPr>
              <w:pStyle w:val="47"/>
              <w:snapToGrid w:val="0"/>
              <w:spacing w:line="360" w:lineRule="exact"/>
              <w:jc w:val="center"/>
              <w:rPr>
                <w:rFonts w:cs="Times New Roman"/>
                <w:spacing w:val="-20"/>
                <w:sz w:val="24"/>
                <w:szCs w:val="24"/>
              </w:rPr>
            </w:pPr>
            <w:r>
              <w:rPr>
                <w:rFonts w:cs="Times New Roman"/>
                <w:spacing w:val="-20"/>
                <w:sz w:val="24"/>
                <w:szCs w:val="24"/>
              </w:rPr>
              <w:t>26.95</w:t>
            </w:r>
          </w:p>
        </w:tc>
        <w:tc>
          <w:tcPr>
            <w:tcW w:w="548" w:type="pct"/>
            <w:shd w:val="clear" w:color="auto" w:fill="auto"/>
            <w:vAlign w:val="center"/>
          </w:tcPr>
          <w:p w14:paraId="2665EA07">
            <w:pPr>
              <w:pStyle w:val="47"/>
              <w:snapToGrid w:val="0"/>
              <w:spacing w:line="360" w:lineRule="exact"/>
              <w:jc w:val="center"/>
              <w:rPr>
                <w:rFonts w:cs="Times New Roman"/>
                <w:spacing w:val="-20"/>
                <w:sz w:val="24"/>
                <w:szCs w:val="24"/>
              </w:rPr>
            </w:pPr>
            <w:r>
              <w:rPr>
                <w:rFonts w:cs="Times New Roman"/>
                <w:spacing w:val="-20"/>
                <w:sz w:val="24"/>
                <w:szCs w:val="24"/>
              </w:rPr>
              <w:t>27.5</w:t>
            </w:r>
          </w:p>
        </w:tc>
      </w:tr>
      <w:tr w14:paraId="0B0D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0226A24E">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143EF586">
            <w:pPr>
              <w:pStyle w:val="47"/>
              <w:snapToGrid w:val="0"/>
              <w:spacing w:line="360" w:lineRule="exact"/>
              <w:jc w:val="center"/>
              <w:rPr>
                <w:rFonts w:cs="Times New Roman"/>
                <w:spacing w:val="-20"/>
                <w:sz w:val="24"/>
                <w:szCs w:val="24"/>
              </w:rPr>
            </w:pPr>
          </w:p>
        </w:tc>
        <w:tc>
          <w:tcPr>
            <w:tcW w:w="490" w:type="pct"/>
            <w:vMerge w:val="continue"/>
            <w:shd w:val="clear" w:color="auto" w:fill="auto"/>
            <w:vAlign w:val="center"/>
          </w:tcPr>
          <w:p w14:paraId="633824A6">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6838ED85">
            <w:pPr>
              <w:pStyle w:val="47"/>
              <w:snapToGrid w:val="0"/>
              <w:spacing w:line="360" w:lineRule="exact"/>
              <w:jc w:val="center"/>
              <w:rPr>
                <w:rFonts w:cs="Times New Roman"/>
                <w:spacing w:val="-20"/>
                <w:sz w:val="24"/>
                <w:szCs w:val="24"/>
              </w:rPr>
            </w:pPr>
            <w:r>
              <w:rPr>
                <w:rFonts w:cs="Times New Roman"/>
                <w:spacing w:val="-20"/>
                <w:sz w:val="24"/>
                <w:szCs w:val="24"/>
              </w:rPr>
              <w:t>城市居民小区生活垃圾分类覆盖率</w:t>
            </w:r>
            <w:r>
              <w:rPr>
                <w:rFonts w:ascii="Segoe UI Symbol" w:hAnsi="Segoe UI Symbol" w:cs="Segoe UI Symbol"/>
                <w:spacing w:val="-20"/>
                <w:sz w:val="24"/>
                <w:szCs w:val="24"/>
              </w:rPr>
              <w:t>★</w:t>
            </w:r>
          </w:p>
        </w:tc>
        <w:tc>
          <w:tcPr>
            <w:tcW w:w="271" w:type="pct"/>
            <w:vAlign w:val="center"/>
          </w:tcPr>
          <w:p w14:paraId="721635DA">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626D6C1A">
            <w:pPr>
              <w:pStyle w:val="47"/>
              <w:snapToGrid w:val="0"/>
              <w:spacing w:line="360" w:lineRule="exact"/>
              <w:jc w:val="center"/>
              <w:rPr>
                <w:rFonts w:cs="Times New Roman"/>
                <w:spacing w:val="-20"/>
                <w:sz w:val="24"/>
                <w:szCs w:val="24"/>
              </w:rPr>
            </w:pPr>
            <w:r>
              <w:rPr>
                <w:rFonts w:cs="Times New Roman"/>
                <w:spacing w:val="-20"/>
                <w:sz w:val="24"/>
                <w:szCs w:val="24"/>
              </w:rPr>
              <w:t>区城管局</w:t>
            </w:r>
          </w:p>
        </w:tc>
        <w:tc>
          <w:tcPr>
            <w:tcW w:w="527" w:type="pct"/>
            <w:shd w:val="clear" w:color="auto" w:fill="auto"/>
            <w:vAlign w:val="center"/>
          </w:tcPr>
          <w:p w14:paraId="5EBE10F5">
            <w:pPr>
              <w:pStyle w:val="47"/>
              <w:snapToGrid w:val="0"/>
              <w:spacing w:line="360" w:lineRule="exact"/>
              <w:jc w:val="center"/>
              <w:rPr>
                <w:rFonts w:cs="Times New Roman"/>
                <w:spacing w:val="-20"/>
                <w:sz w:val="24"/>
                <w:szCs w:val="24"/>
              </w:rPr>
            </w:pPr>
            <w:r>
              <w:rPr>
                <w:rFonts w:cs="Times New Roman"/>
                <w:spacing w:val="-20"/>
                <w:sz w:val="24"/>
                <w:szCs w:val="24"/>
              </w:rPr>
              <w:t>100</w:t>
            </w:r>
          </w:p>
        </w:tc>
        <w:tc>
          <w:tcPr>
            <w:tcW w:w="548" w:type="pct"/>
            <w:shd w:val="clear" w:color="auto" w:fill="auto"/>
            <w:vAlign w:val="center"/>
          </w:tcPr>
          <w:p w14:paraId="1845245B">
            <w:pPr>
              <w:pStyle w:val="47"/>
              <w:snapToGrid w:val="0"/>
              <w:spacing w:line="360" w:lineRule="exact"/>
              <w:jc w:val="center"/>
              <w:rPr>
                <w:rFonts w:cs="Times New Roman"/>
                <w:spacing w:val="-20"/>
                <w:sz w:val="24"/>
                <w:szCs w:val="24"/>
              </w:rPr>
            </w:pPr>
            <w:r>
              <w:rPr>
                <w:rFonts w:cs="Times New Roman"/>
                <w:spacing w:val="-20"/>
                <w:sz w:val="24"/>
                <w:szCs w:val="24"/>
              </w:rPr>
              <w:t>100</w:t>
            </w:r>
          </w:p>
        </w:tc>
      </w:tr>
      <w:tr w14:paraId="3BAA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19118945">
            <w:pPr>
              <w:pStyle w:val="47"/>
              <w:numPr>
                <w:ilvl w:val="0"/>
                <w:numId w:val="15"/>
              </w:numPr>
              <w:snapToGrid w:val="0"/>
              <w:spacing w:line="400" w:lineRule="exact"/>
              <w:jc w:val="center"/>
              <w:rPr>
                <w:rFonts w:cs="Times New Roman"/>
                <w:spacing w:val="-20"/>
                <w:sz w:val="24"/>
                <w:szCs w:val="24"/>
              </w:rPr>
            </w:pPr>
          </w:p>
        </w:tc>
        <w:tc>
          <w:tcPr>
            <w:tcW w:w="434" w:type="pct"/>
            <w:vMerge w:val="restart"/>
            <w:vAlign w:val="center"/>
          </w:tcPr>
          <w:p w14:paraId="72C6B459">
            <w:pPr>
              <w:pStyle w:val="47"/>
              <w:snapToGrid w:val="0"/>
              <w:spacing w:line="360" w:lineRule="exact"/>
              <w:jc w:val="center"/>
              <w:rPr>
                <w:rFonts w:cs="Times New Roman"/>
                <w:spacing w:val="-20"/>
                <w:sz w:val="24"/>
                <w:szCs w:val="24"/>
              </w:rPr>
            </w:pPr>
            <w:r>
              <w:rPr>
                <w:rFonts w:cs="Times New Roman"/>
                <w:spacing w:val="-20"/>
                <w:sz w:val="24"/>
                <w:szCs w:val="24"/>
              </w:rPr>
              <w:t>固体废物资源化利用</w:t>
            </w:r>
          </w:p>
        </w:tc>
        <w:tc>
          <w:tcPr>
            <w:tcW w:w="490" w:type="pct"/>
            <w:shd w:val="clear" w:color="auto" w:fill="auto"/>
            <w:vAlign w:val="center"/>
          </w:tcPr>
          <w:p w14:paraId="657279D1">
            <w:pPr>
              <w:pStyle w:val="47"/>
              <w:snapToGrid w:val="0"/>
              <w:spacing w:line="360" w:lineRule="exact"/>
              <w:jc w:val="center"/>
              <w:rPr>
                <w:rFonts w:cs="Times New Roman"/>
                <w:spacing w:val="-20"/>
                <w:sz w:val="24"/>
                <w:szCs w:val="24"/>
              </w:rPr>
            </w:pPr>
            <w:r>
              <w:rPr>
                <w:rFonts w:cs="Times New Roman"/>
                <w:spacing w:val="-20"/>
                <w:sz w:val="24"/>
                <w:szCs w:val="24"/>
              </w:rPr>
              <w:t>工业固体废物资源化利用</w:t>
            </w:r>
          </w:p>
        </w:tc>
        <w:tc>
          <w:tcPr>
            <w:tcW w:w="1524" w:type="pct"/>
            <w:shd w:val="clear" w:color="auto" w:fill="auto"/>
            <w:vAlign w:val="center"/>
          </w:tcPr>
          <w:p w14:paraId="430D32C6">
            <w:pPr>
              <w:pStyle w:val="47"/>
              <w:snapToGrid w:val="0"/>
              <w:spacing w:line="360" w:lineRule="exact"/>
              <w:jc w:val="center"/>
              <w:rPr>
                <w:rFonts w:cs="Times New Roman"/>
                <w:spacing w:val="-20"/>
                <w:sz w:val="24"/>
                <w:szCs w:val="24"/>
              </w:rPr>
            </w:pPr>
            <w:r>
              <w:rPr>
                <w:rFonts w:cs="Times New Roman"/>
                <w:spacing w:val="-20"/>
                <w:sz w:val="24"/>
                <w:szCs w:val="24"/>
              </w:rPr>
              <w:t>工业危险废物综合利用率</w:t>
            </w:r>
            <w:r>
              <w:rPr>
                <w:rFonts w:ascii="Segoe UI Symbol" w:hAnsi="Segoe UI Symbol" w:cs="Segoe UI Symbol"/>
                <w:spacing w:val="-20"/>
                <w:sz w:val="24"/>
                <w:szCs w:val="24"/>
              </w:rPr>
              <w:t>★</w:t>
            </w:r>
          </w:p>
        </w:tc>
        <w:tc>
          <w:tcPr>
            <w:tcW w:w="271" w:type="pct"/>
            <w:vAlign w:val="center"/>
          </w:tcPr>
          <w:p w14:paraId="78AEC6BD">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3A0ABA2E">
            <w:pPr>
              <w:pStyle w:val="47"/>
              <w:snapToGrid w:val="0"/>
              <w:spacing w:line="36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7823E6E0">
            <w:pPr>
              <w:pStyle w:val="47"/>
              <w:snapToGrid w:val="0"/>
              <w:spacing w:line="360" w:lineRule="exact"/>
              <w:jc w:val="center"/>
              <w:rPr>
                <w:rFonts w:cs="Times New Roman"/>
                <w:spacing w:val="-20"/>
                <w:sz w:val="24"/>
                <w:szCs w:val="24"/>
              </w:rPr>
            </w:pPr>
            <w:r>
              <w:rPr>
                <w:rFonts w:cs="Times New Roman"/>
                <w:spacing w:val="-20"/>
                <w:sz w:val="24"/>
                <w:szCs w:val="24"/>
              </w:rPr>
              <w:t>38.34</w:t>
            </w:r>
          </w:p>
        </w:tc>
        <w:tc>
          <w:tcPr>
            <w:tcW w:w="548" w:type="pct"/>
            <w:shd w:val="clear" w:color="auto" w:fill="auto"/>
            <w:vAlign w:val="center"/>
          </w:tcPr>
          <w:p w14:paraId="0246BD34">
            <w:pPr>
              <w:pStyle w:val="47"/>
              <w:snapToGrid w:val="0"/>
              <w:spacing w:line="360" w:lineRule="exact"/>
              <w:jc w:val="center"/>
              <w:rPr>
                <w:rFonts w:cs="Times New Roman"/>
                <w:spacing w:val="-20"/>
                <w:sz w:val="24"/>
                <w:szCs w:val="24"/>
              </w:rPr>
            </w:pPr>
            <w:r>
              <w:rPr>
                <w:rFonts w:cs="Times New Roman"/>
                <w:spacing w:val="-20"/>
                <w:sz w:val="24"/>
                <w:szCs w:val="24"/>
              </w:rPr>
              <w:t>40</w:t>
            </w:r>
          </w:p>
        </w:tc>
      </w:tr>
      <w:tr w14:paraId="09F8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74D23B7B">
            <w:pPr>
              <w:pStyle w:val="47"/>
              <w:numPr>
                <w:ilvl w:val="0"/>
                <w:numId w:val="15"/>
              </w:numPr>
              <w:snapToGrid w:val="0"/>
              <w:spacing w:line="400" w:lineRule="exact"/>
              <w:jc w:val="center"/>
              <w:rPr>
                <w:rFonts w:cs="Times New Roman"/>
                <w:spacing w:val="-20"/>
                <w:sz w:val="24"/>
                <w:szCs w:val="24"/>
              </w:rPr>
            </w:pPr>
            <w:bookmarkStart w:id="101" w:name="_Hlk120796986"/>
          </w:p>
        </w:tc>
        <w:tc>
          <w:tcPr>
            <w:tcW w:w="434" w:type="pct"/>
            <w:vMerge w:val="continue"/>
            <w:shd w:val="clear" w:color="auto" w:fill="auto"/>
            <w:vAlign w:val="center"/>
          </w:tcPr>
          <w:p w14:paraId="6BAFF83D">
            <w:pPr>
              <w:pStyle w:val="47"/>
              <w:snapToGrid w:val="0"/>
              <w:spacing w:line="360" w:lineRule="exact"/>
              <w:jc w:val="center"/>
              <w:rPr>
                <w:rFonts w:cs="Times New Roman"/>
                <w:spacing w:val="-20"/>
                <w:sz w:val="24"/>
                <w:szCs w:val="24"/>
              </w:rPr>
            </w:pPr>
          </w:p>
        </w:tc>
        <w:tc>
          <w:tcPr>
            <w:tcW w:w="490" w:type="pct"/>
            <w:vMerge w:val="restart"/>
            <w:shd w:val="clear" w:color="auto" w:fill="auto"/>
            <w:vAlign w:val="center"/>
          </w:tcPr>
          <w:p w14:paraId="284B56A5">
            <w:pPr>
              <w:pStyle w:val="47"/>
              <w:snapToGrid w:val="0"/>
              <w:spacing w:line="360" w:lineRule="exact"/>
              <w:jc w:val="center"/>
              <w:rPr>
                <w:rFonts w:cs="Times New Roman"/>
                <w:spacing w:val="-20"/>
                <w:sz w:val="24"/>
                <w:szCs w:val="24"/>
              </w:rPr>
            </w:pPr>
            <w:r>
              <w:rPr>
                <w:rFonts w:cs="Times New Roman"/>
                <w:spacing w:val="-20"/>
                <w:sz w:val="24"/>
                <w:szCs w:val="24"/>
              </w:rPr>
              <w:t>建筑垃圾资源化</w:t>
            </w:r>
          </w:p>
          <w:p w14:paraId="360630BE">
            <w:pPr>
              <w:pStyle w:val="47"/>
              <w:snapToGrid w:val="0"/>
              <w:spacing w:line="360" w:lineRule="exact"/>
              <w:jc w:val="center"/>
              <w:rPr>
                <w:rFonts w:cs="Times New Roman"/>
                <w:spacing w:val="-20"/>
                <w:sz w:val="24"/>
                <w:szCs w:val="24"/>
              </w:rPr>
            </w:pPr>
            <w:r>
              <w:rPr>
                <w:rFonts w:cs="Times New Roman"/>
                <w:spacing w:val="-20"/>
                <w:sz w:val="24"/>
                <w:szCs w:val="24"/>
              </w:rPr>
              <w:t>利用</w:t>
            </w:r>
          </w:p>
        </w:tc>
        <w:tc>
          <w:tcPr>
            <w:tcW w:w="1524" w:type="pct"/>
            <w:shd w:val="clear" w:color="auto" w:fill="auto"/>
            <w:vAlign w:val="center"/>
          </w:tcPr>
          <w:p w14:paraId="7CF2F482">
            <w:pPr>
              <w:pStyle w:val="47"/>
              <w:snapToGrid w:val="0"/>
              <w:spacing w:line="360" w:lineRule="exact"/>
              <w:jc w:val="center"/>
              <w:rPr>
                <w:rFonts w:cs="Times New Roman"/>
                <w:spacing w:val="-20"/>
                <w:sz w:val="24"/>
                <w:szCs w:val="24"/>
              </w:rPr>
            </w:pPr>
            <w:r>
              <w:rPr>
                <w:rFonts w:cs="Times New Roman"/>
                <w:spacing w:val="-20"/>
                <w:sz w:val="24"/>
                <w:szCs w:val="24"/>
              </w:rPr>
              <w:t>建筑垃圾资源化利用率</w:t>
            </w:r>
            <w:r>
              <w:rPr>
                <w:rFonts w:ascii="Segoe UI Symbol" w:hAnsi="Segoe UI Symbol" w:cs="Segoe UI Symbol"/>
                <w:spacing w:val="-20"/>
                <w:sz w:val="24"/>
                <w:szCs w:val="24"/>
              </w:rPr>
              <w:t>★</w:t>
            </w:r>
          </w:p>
        </w:tc>
        <w:tc>
          <w:tcPr>
            <w:tcW w:w="271" w:type="pct"/>
            <w:shd w:val="clear" w:color="auto" w:fill="auto"/>
            <w:vAlign w:val="center"/>
          </w:tcPr>
          <w:p w14:paraId="598C5322">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60F8805C">
            <w:pPr>
              <w:pStyle w:val="47"/>
              <w:snapToGrid w:val="0"/>
              <w:spacing w:line="360" w:lineRule="exact"/>
              <w:jc w:val="center"/>
              <w:rPr>
                <w:rFonts w:cs="Times New Roman"/>
                <w:spacing w:val="-20"/>
                <w:sz w:val="24"/>
                <w:szCs w:val="24"/>
              </w:rPr>
            </w:pPr>
            <w:r>
              <w:rPr>
                <w:rFonts w:cs="Times New Roman"/>
                <w:spacing w:val="-20"/>
                <w:sz w:val="24"/>
                <w:szCs w:val="24"/>
              </w:rPr>
              <w:t>区房产局</w:t>
            </w:r>
          </w:p>
          <w:p w14:paraId="2D39F952">
            <w:pPr>
              <w:pStyle w:val="47"/>
              <w:snapToGrid w:val="0"/>
              <w:spacing w:line="360" w:lineRule="exact"/>
              <w:jc w:val="center"/>
              <w:rPr>
                <w:rFonts w:cs="Times New Roman"/>
                <w:spacing w:val="-20"/>
                <w:sz w:val="24"/>
                <w:szCs w:val="24"/>
              </w:rPr>
            </w:pPr>
            <w:r>
              <w:rPr>
                <w:rFonts w:cs="Times New Roman"/>
                <w:spacing w:val="-20"/>
                <w:sz w:val="24"/>
                <w:szCs w:val="24"/>
              </w:rPr>
              <w:t>区建设局</w:t>
            </w:r>
          </w:p>
          <w:p w14:paraId="41A39412">
            <w:pPr>
              <w:pStyle w:val="47"/>
              <w:snapToGrid w:val="0"/>
              <w:spacing w:line="360" w:lineRule="exact"/>
              <w:jc w:val="center"/>
              <w:rPr>
                <w:rFonts w:cs="Times New Roman"/>
                <w:spacing w:val="-20"/>
                <w:sz w:val="24"/>
                <w:szCs w:val="24"/>
              </w:rPr>
            </w:pPr>
            <w:r>
              <w:rPr>
                <w:rFonts w:cs="Times New Roman"/>
                <w:spacing w:val="-20"/>
                <w:sz w:val="24"/>
                <w:szCs w:val="24"/>
              </w:rPr>
              <w:t>区城管局</w:t>
            </w:r>
          </w:p>
        </w:tc>
        <w:tc>
          <w:tcPr>
            <w:tcW w:w="527" w:type="pct"/>
            <w:shd w:val="clear" w:color="auto" w:fill="auto"/>
            <w:vAlign w:val="center"/>
          </w:tcPr>
          <w:p w14:paraId="7504A64C">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548" w:type="pct"/>
            <w:shd w:val="clear" w:color="auto" w:fill="auto"/>
            <w:vAlign w:val="center"/>
          </w:tcPr>
          <w:p w14:paraId="7A8874A4">
            <w:pPr>
              <w:pStyle w:val="47"/>
              <w:snapToGrid w:val="0"/>
              <w:spacing w:line="360" w:lineRule="exact"/>
              <w:jc w:val="center"/>
              <w:rPr>
                <w:rFonts w:cs="Times New Roman"/>
                <w:spacing w:val="-20"/>
                <w:sz w:val="24"/>
                <w:szCs w:val="24"/>
              </w:rPr>
            </w:pPr>
            <w:r>
              <w:rPr>
                <w:rFonts w:cs="Times New Roman"/>
                <w:spacing w:val="-20"/>
                <w:sz w:val="24"/>
                <w:szCs w:val="24"/>
              </w:rPr>
              <w:t>93</w:t>
            </w:r>
          </w:p>
        </w:tc>
      </w:tr>
      <w:tr w14:paraId="5CB4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66CE23B9">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758E0CE5">
            <w:pPr>
              <w:pStyle w:val="47"/>
              <w:snapToGrid w:val="0"/>
              <w:spacing w:line="360" w:lineRule="exact"/>
              <w:jc w:val="center"/>
              <w:rPr>
                <w:rFonts w:cs="Times New Roman"/>
                <w:spacing w:val="-20"/>
                <w:sz w:val="24"/>
                <w:szCs w:val="24"/>
              </w:rPr>
            </w:pPr>
          </w:p>
        </w:tc>
        <w:tc>
          <w:tcPr>
            <w:tcW w:w="490" w:type="pct"/>
            <w:vMerge w:val="continue"/>
            <w:shd w:val="clear" w:color="auto" w:fill="auto"/>
            <w:vAlign w:val="center"/>
          </w:tcPr>
          <w:p w14:paraId="7017CF74">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7C00FF2E">
            <w:pPr>
              <w:pStyle w:val="47"/>
              <w:snapToGrid w:val="0"/>
              <w:spacing w:line="360" w:lineRule="exact"/>
              <w:jc w:val="center"/>
              <w:rPr>
                <w:rFonts w:cs="Times New Roman"/>
                <w:spacing w:val="-20"/>
                <w:sz w:val="24"/>
                <w:szCs w:val="24"/>
              </w:rPr>
            </w:pPr>
            <w:r>
              <w:rPr>
                <w:rFonts w:cs="Times New Roman"/>
                <w:spacing w:val="-20"/>
                <w:sz w:val="24"/>
                <w:szCs w:val="24"/>
              </w:rPr>
              <w:t>装修垃圾综合利用率▲</w:t>
            </w:r>
          </w:p>
        </w:tc>
        <w:tc>
          <w:tcPr>
            <w:tcW w:w="271" w:type="pct"/>
            <w:shd w:val="clear" w:color="auto" w:fill="auto"/>
            <w:vAlign w:val="center"/>
          </w:tcPr>
          <w:p w14:paraId="40BFF9FC">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539B8D2F">
            <w:pPr>
              <w:pStyle w:val="47"/>
              <w:snapToGrid w:val="0"/>
              <w:spacing w:line="360" w:lineRule="exact"/>
              <w:jc w:val="center"/>
              <w:rPr>
                <w:rFonts w:cs="Times New Roman"/>
                <w:spacing w:val="-20"/>
                <w:sz w:val="24"/>
                <w:szCs w:val="24"/>
              </w:rPr>
            </w:pPr>
            <w:r>
              <w:rPr>
                <w:rFonts w:cs="Times New Roman"/>
                <w:spacing w:val="-20"/>
                <w:sz w:val="24"/>
                <w:szCs w:val="24"/>
              </w:rPr>
              <w:t>区城管局</w:t>
            </w:r>
          </w:p>
          <w:p w14:paraId="5D552C65">
            <w:pPr>
              <w:pStyle w:val="47"/>
              <w:snapToGrid w:val="0"/>
              <w:spacing w:line="360" w:lineRule="exact"/>
              <w:jc w:val="center"/>
              <w:rPr>
                <w:rFonts w:cs="Times New Roman"/>
                <w:spacing w:val="-20"/>
                <w:sz w:val="24"/>
                <w:szCs w:val="24"/>
              </w:rPr>
            </w:pPr>
            <w:r>
              <w:rPr>
                <w:rFonts w:cs="Times New Roman"/>
                <w:spacing w:val="-20"/>
                <w:sz w:val="24"/>
                <w:szCs w:val="24"/>
              </w:rPr>
              <w:t>区建设局</w:t>
            </w:r>
          </w:p>
          <w:p w14:paraId="6E0937C8">
            <w:pPr>
              <w:pStyle w:val="47"/>
              <w:snapToGrid w:val="0"/>
              <w:spacing w:line="360" w:lineRule="exact"/>
              <w:jc w:val="center"/>
              <w:rPr>
                <w:rFonts w:cs="Times New Roman"/>
                <w:spacing w:val="-20"/>
                <w:sz w:val="24"/>
                <w:szCs w:val="24"/>
              </w:rPr>
            </w:pPr>
            <w:r>
              <w:rPr>
                <w:rFonts w:cs="Times New Roman"/>
                <w:spacing w:val="-20"/>
                <w:sz w:val="24"/>
                <w:szCs w:val="24"/>
              </w:rPr>
              <w:t>区房产局</w:t>
            </w:r>
          </w:p>
        </w:tc>
        <w:tc>
          <w:tcPr>
            <w:tcW w:w="527" w:type="pct"/>
            <w:shd w:val="clear" w:color="auto" w:fill="auto"/>
            <w:vAlign w:val="center"/>
          </w:tcPr>
          <w:p w14:paraId="7A062759">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548" w:type="pct"/>
            <w:shd w:val="clear" w:color="auto" w:fill="auto"/>
            <w:vAlign w:val="center"/>
          </w:tcPr>
          <w:p w14:paraId="636F9EB3">
            <w:pPr>
              <w:pStyle w:val="47"/>
              <w:snapToGrid w:val="0"/>
              <w:spacing w:line="360" w:lineRule="exact"/>
              <w:jc w:val="center"/>
              <w:rPr>
                <w:rFonts w:cs="Times New Roman"/>
                <w:spacing w:val="-20"/>
                <w:sz w:val="24"/>
                <w:szCs w:val="24"/>
              </w:rPr>
            </w:pPr>
            <w:r>
              <w:rPr>
                <w:rFonts w:cs="Times New Roman"/>
                <w:spacing w:val="-20"/>
                <w:sz w:val="24"/>
                <w:szCs w:val="24"/>
              </w:rPr>
              <w:t>70</w:t>
            </w:r>
          </w:p>
        </w:tc>
      </w:tr>
      <w:tr w14:paraId="5989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433DAAB6">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731B3026">
            <w:pPr>
              <w:pStyle w:val="47"/>
              <w:snapToGrid w:val="0"/>
              <w:spacing w:line="360" w:lineRule="exact"/>
              <w:jc w:val="center"/>
              <w:rPr>
                <w:rFonts w:cs="Times New Roman"/>
                <w:spacing w:val="-20"/>
                <w:sz w:val="24"/>
                <w:szCs w:val="24"/>
              </w:rPr>
            </w:pPr>
          </w:p>
        </w:tc>
        <w:tc>
          <w:tcPr>
            <w:tcW w:w="490" w:type="pct"/>
            <w:vMerge w:val="restart"/>
            <w:shd w:val="clear" w:color="auto" w:fill="auto"/>
            <w:vAlign w:val="center"/>
          </w:tcPr>
          <w:p w14:paraId="15B4952C">
            <w:pPr>
              <w:pStyle w:val="47"/>
              <w:snapToGrid w:val="0"/>
              <w:spacing w:line="360" w:lineRule="exact"/>
              <w:jc w:val="center"/>
              <w:rPr>
                <w:rFonts w:cs="Times New Roman"/>
                <w:spacing w:val="-20"/>
                <w:sz w:val="24"/>
                <w:szCs w:val="24"/>
              </w:rPr>
            </w:pPr>
          </w:p>
          <w:p w14:paraId="48E1950E">
            <w:pPr>
              <w:pStyle w:val="47"/>
              <w:snapToGrid w:val="0"/>
              <w:spacing w:line="360" w:lineRule="exact"/>
              <w:jc w:val="center"/>
              <w:rPr>
                <w:rFonts w:cs="Times New Roman"/>
                <w:spacing w:val="-20"/>
                <w:sz w:val="24"/>
                <w:szCs w:val="24"/>
              </w:rPr>
            </w:pPr>
          </w:p>
          <w:p w14:paraId="070B2C72">
            <w:pPr>
              <w:pStyle w:val="47"/>
              <w:snapToGrid w:val="0"/>
              <w:spacing w:line="360" w:lineRule="exact"/>
              <w:jc w:val="center"/>
              <w:rPr>
                <w:rFonts w:cs="Times New Roman"/>
                <w:spacing w:val="-20"/>
                <w:sz w:val="24"/>
                <w:szCs w:val="24"/>
              </w:rPr>
            </w:pPr>
          </w:p>
          <w:p w14:paraId="4778B2C6">
            <w:pPr>
              <w:pStyle w:val="47"/>
              <w:snapToGrid w:val="0"/>
              <w:spacing w:line="360" w:lineRule="exact"/>
              <w:jc w:val="center"/>
              <w:rPr>
                <w:rFonts w:cs="Times New Roman"/>
                <w:spacing w:val="-20"/>
                <w:sz w:val="24"/>
                <w:szCs w:val="24"/>
              </w:rPr>
            </w:pPr>
            <w:r>
              <w:rPr>
                <w:rFonts w:cs="Times New Roman"/>
                <w:spacing w:val="-20"/>
                <w:sz w:val="24"/>
                <w:szCs w:val="24"/>
              </w:rPr>
              <w:t>生活领域固体废物资源化</w:t>
            </w:r>
          </w:p>
          <w:p w14:paraId="7BEF0BF4">
            <w:pPr>
              <w:pStyle w:val="47"/>
              <w:snapToGrid w:val="0"/>
              <w:spacing w:line="360" w:lineRule="exact"/>
              <w:jc w:val="center"/>
              <w:rPr>
                <w:rFonts w:cs="Times New Roman"/>
                <w:spacing w:val="-20"/>
                <w:sz w:val="24"/>
                <w:szCs w:val="24"/>
              </w:rPr>
            </w:pPr>
            <w:r>
              <w:rPr>
                <w:rFonts w:cs="Times New Roman"/>
                <w:spacing w:val="-20"/>
                <w:sz w:val="24"/>
                <w:szCs w:val="24"/>
              </w:rPr>
              <w:t>利用</w:t>
            </w:r>
          </w:p>
        </w:tc>
        <w:tc>
          <w:tcPr>
            <w:tcW w:w="1524" w:type="pct"/>
            <w:shd w:val="clear" w:color="auto" w:fill="auto"/>
            <w:vAlign w:val="center"/>
          </w:tcPr>
          <w:p w14:paraId="6B000B7B">
            <w:pPr>
              <w:pStyle w:val="47"/>
              <w:snapToGrid w:val="0"/>
              <w:spacing w:line="360" w:lineRule="exact"/>
              <w:jc w:val="center"/>
              <w:rPr>
                <w:rFonts w:cs="Times New Roman"/>
                <w:spacing w:val="-20"/>
                <w:sz w:val="24"/>
                <w:szCs w:val="24"/>
              </w:rPr>
            </w:pPr>
            <w:r>
              <w:rPr>
                <w:rFonts w:cs="Times New Roman"/>
                <w:spacing w:val="-20"/>
                <w:sz w:val="24"/>
                <w:szCs w:val="24"/>
              </w:rPr>
              <w:t>生活垃圾回收利用率</w:t>
            </w:r>
            <w:r>
              <w:rPr>
                <w:rFonts w:ascii="Segoe UI Symbol" w:hAnsi="Segoe UI Symbol" w:cs="Segoe UI Symbol"/>
                <w:spacing w:val="-20"/>
                <w:sz w:val="24"/>
                <w:szCs w:val="24"/>
              </w:rPr>
              <w:t>★</w:t>
            </w:r>
          </w:p>
        </w:tc>
        <w:tc>
          <w:tcPr>
            <w:tcW w:w="271" w:type="pct"/>
            <w:vAlign w:val="center"/>
          </w:tcPr>
          <w:p w14:paraId="10A6A8BE">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6D3CD3D6">
            <w:pPr>
              <w:pStyle w:val="47"/>
              <w:snapToGrid w:val="0"/>
              <w:spacing w:line="360" w:lineRule="exact"/>
              <w:jc w:val="center"/>
              <w:rPr>
                <w:rFonts w:cs="Times New Roman"/>
                <w:spacing w:val="-20"/>
                <w:sz w:val="24"/>
                <w:szCs w:val="24"/>
              </w:rPr>
            </w:pPr>
            <w:r>
              <w:rPr>
                <w:rFonts w:cs="Times New Roman"/>
                <w:spacing w:val="-20"/>
                <w:sz w:val="24"/>
                <w:szCs w:val="24"/>
              </w:rPr>
              <w:t>区城管局</w:t>
            </w:r>
          </w:p>
        </w:tc>
        <w:tc>
          <w:tcPr>
            <w:tcW w:w="527" w:type="pct"/>
            <w:shd w:val="clear" w:color="auto" w:fill="auto"/>
            <w:vAlign w:val="center"/>
          </w:tcPr>
          <w:p w14:paraId="6F60B2E6">
            <w:pPr>
              <w:pStyle w:val="47"/>
              <w:snapToGrid w:val="0"/>
              <w:spacing w:line="360" w:lineRule="exact"/>
              <w:jc w:val="center"/>
              <w:rPr>
                <w:rFonts w:cs="Times New Roman"/>
                <w:spacing w:val="-20"/>
                <w:sz w:val="24"/>
                <w:szCs w:val="24"/>
              </w:rPr>
            </w:pPr>
            <w:r>
              <w:rPr>
                <w:rFonts w:cs="Times New Roman"/>
                <w:spacing w:val="-20"/>
                <w:sz w:val="24"/>
                <w:szCs w:val="24"/>
              </w:rPr>
              <w:t>36.85</w:t>
            </w:r>
          </w:p>
        </w:tc>
        <w:tc>
          <w:tcPr>
            <w:tcW w:w="548" w:type="pct"/>
            <w:shd w:val="clear" w:color="auto" w:fill="auto"/>
            <w:vAlign w:val="center"/>
          </w:tcPr>
          <w:p w14:paraId="424AF90B">
            <w:pPr>
              <w:pStyle w:val="47"/>
              <w:snapToGrid w:val="0"/>
              <w:spacing w:line="360" w:lineRule="exact"/>
              <w:jc w:val="center"/>
              <w:rPr>
                <w:rFonts w:cs="Times New Roman"/>
                <w:spacing w:val="-20"/>
                <w:sz w:val="24"/>
                <w:szCs w:val="24"/>
              </w:rPr>
            </w:pPr>
            <w:r>
              <w:rPr>
                <w:rFonts w:cs="Times New Roman"/>
                <w:spacing w:val="-20"/>
                <w:sz w:val="24"/>
                <w:szCs w:val="24"/>
              </w:rPr>
              <w:t>42</w:t>
            </w:r>
          </w:p>
        </w:tc>
      </w:tr>
      <w:tr w14:paraId="7CBA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0FB19B1E">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0F7EF492">
            <w:pPr>
              <w:pStyle w:val="47"/>
              <w:snapToGrid w:val="0"/>
              <w:spacing w:line="360" w:lineRule="exact"/>
              <w:jc w:val="center"/>
              <w:rPr>
                <w:rFonts w:cs="Times New Roman"/>
                <w:spacing w:val="-20"/>
                <w:sz w:val="24"/>
                <w:szCs w:val="24"/>
              </w:rPr>
            </w:pPr>
          </w:p>
        </w:tc>
        <w:tc>
          <w:tcPr>
            <w:tcW w:w="490" w:type="pct"/>
            <w:vMerge w:val="continue"/>
            <w:shd w:val="clear" w:color="auto" w:fill="auto"/>
            <w:vAlign w:val="center"/>
          </w:tcPr>
          <w:p w14:paraId="0C07FC03">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76936D7E">
            <w:pPr>
              <w:pStyle w:val="47"/>
              <w:snapToGrid w:val="0"/>
              <w:spacing w:line="360" w:lineRule="exact"/>
              <w:jc w:val="center"/>
              <w:rPr>
                <w:rFonts w:cs="Times New Roman"/>
                <w:spacing w:val="-20"/>
                <w:sz w:val="24"/>
                <w:szCs w:val="24"/>
              </w:rPr>
            </w:pPr>
            <w:r>
              <w:rPr>
                <w:rFonts w:cs="Times New Roman"/>
                <w:spacing w:val="-20"/>
                <w:sz w:val="24"/>
                <w:szCs w:val="24"/>
              </w:rPr>
              <w:t>生活垃圾资源化利用率▲</w:t>
            </w:r>
          </w:p>
        </w:tc>
        <w:tc>
          <w:tcPr>
            <w:tcW w:w="271" w:type="pct"/>
            <w:vAlign w:val="center"/>
          </w:tcPr>
          <w:p w14:paraId="2997AD4C">
            <w:pPr>
              <w:pStyle w:val="47"/>
              <w:snapToGrid w:val="0"/>
              <w:spacing w:line="360" w:lineRule="exact"/>
              <w:jc w:val="center"/>
              <w:rPr>
                <w:rFonts w:cs="Times New Roman"/>
                <w:spacing w:val="-20"/>
                <w:sz w:val="24"/>
                <w:szCs w:val="24"/>
              </w:rPr>
            </w:pPr>
            <w:r>
              <w:rPr>
                <w:rFonts w:eastAsia="等线" w:cs="Times New Roman"/>
                <w:spacing w:val="-20"/>
                <w:sz w:val="24"/>
                <w:szCs w:val="24"/>
              </w:rPr>
              <w:t>%</w:t>
            </w:r>
          </w:p>
        </w:tc>
        <w:tc>
          <w:tcPr>
            <w:tcW w:w="933" w:type="pct"/>
            <w:shd w:val="clear" w:color="auto" w:fill="auto"/>
            <w:vAlign w:val="center"/>
          </w:tcPr>
          <w:p w14:paraId="754C5CCC">
            <w:pPr>
              <w:pStyle w:val="47"/>
              <w:snapToGrid w:val="0"/>
              <w:spacing w:line="360" w:lineRule="exact"/>
              <w:jc w:val="center"/>
              <w:rPr>
                <w:rFonts w:cs="Times New Roman"/>
                <w:spacing w:val="-20"/>
                <w:sz w:val="24"/>
                <w:szCs w:val="24"/>
              </w:rPr>
            </w:pPr>
            <w:r>
              <w:rPr>
                <w:rFonts w:cs="Times New Roman"/>
                <w:spacing w:val="-20"/>
                <w:sz w:val="24"/>
                <w:szCs w:val="24"/>
              </w:rPr>
              <w:t>区城管局</w:t>
            </w:r>
          </w:p>
        </w:tc>
        <w:tc>
          <w:tcPr>
            <w:tcW w:w="527" w:type="pct"/>
            <w:shd w:val="clear" w:color="auto" w:fill="auto"/>
            <w:vAlign w:val="center"/>
          </w:tcPr>
          <w:p w14:paraId="2207D793">
            <w:pPr>
              <w:pStyle w:val="47"/>
              <w:snapToGrid w:val="0"/>
              <w:spacing w:line="360" w:lineRule="exact"/>
              <w:jc w:val="center"/>
              <w:rPr>
                <w:rFonts w:cs="Times New Roman"/>
                <w:spacing w:val="-20"/>
                <w:sz w:val="24"/>
                <w:szCs w:val="24"/>
              </w:rPr>
            </w:pPr>
            <w:r>
              <w:rPr>
                <w:rFonts w:cs="Times New Roman"/>
                <w:spacing w:val="-20"/>
                <w:sz w:val="24"/>
                <w:szCs w:val="24"/>
              </w:rPr>
              <w:t>84.99</w:t>
            </w:r>
          </w:p>
        </w:tc>
        <w:tc>
          <w:tcPr>
            <w:tcW w:w="548" w:type="pct"/>
            <w:shd w:val="clear" w:color="auto" w:fill="auto"/>
            <w:vAlign w:val="center"/>
          </w:tcPr>
          <w:p w14:paraId="28D1D837">
            <w:pPr>
              <w:pStyle w:val="47"/>
              <w:snapToGrid w:val="0"/>
              <w:spacing w:line="360" w:lineRule="exact"/>
              <w:jc w:val="center"/>
              <w:rPr>
                <w:rFonts w:cs="Times New Roman"/>
                <w:spacing w:val="-20"/>
                <w:sz w:val="24"/>
                <w:szCs w:val="24"/>
              </w:rPr>
            </w:pPr>
            <w:r>
              <w:rPr>
                <w:rFonts w:cs="Times New Roman"/>
                <w:spacing w:val="-20"/>
                <w:sz w:val="24"/>
                <w:szCs w:val="24"/>
              </w:rPr>
              <w:t>87</w:t>
            </w:r>
          </w:p>
        </w:tc>
      </w:tr>
      <w:tr w14:paraId="1664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70" w:type="pct"/>
            <w:shd w:val="clear" w:color="auto" w:fill="auto"/>
            <w:vAlign w:val="center"/>
          </w:tcPr>
          <w:p w14:paraId="1F54F6F2">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38AC2D2B">
            <w:pPr>
              <w:pStyle w:val="47"/>
              <w:snapToGrid w:val="0"/>
              <w:spacing w:line="360" w:lineRule="exact"/>
              <w:jc w:val="center"/>
              <w:rPr>
                <w:rFonts w:cs="Times New Roman"/>
                <w:spacing w:val="-20"/>
                <w:sz w:val="24"/>
                <w:szCs w:val="24"/>
              </w:rPr>
            </w:pPr>
          </w:p>
        </w:tc>
        <w:tc>
          <w:tcPr>
            <w:tcW w:w="490" w:type="pct"/>
            <w:vMerge w:val="continue"/>
            <w:vAlign w:val="center"/>
          </w:tcPr>
          <w:p w14:paraId="0EFCE43B">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4072D59C">
            <w:pPr>
              <w:pStyle w:val="47"/>
              <w:snapToGrid w:val="0"/>
              <w:spacing w:line="360" w:lineRule="exact"/>
              <w:jc w:val="center"/>
              <w:rPr>
                <w:rFonts w:cs="Times New Roman"/>
                <w:spacing w:val="-20"/>
                <w:sz w:val="24"/>
                <w:szCs w:val="24"/>
              </w:rPr>
            </w:pPr>
            <w:bookmarkStart w:id="102" w:name="_Hlk129179737"/>
            <w:r>
              <w:rPr>
                <w:rFonts w:cs="Times New Roman"/>
                <w:spacing w:val="-20"/>
                <w:sz w:val="24"/>
                <w:szCs w:val="24"/>
              </w:rPr>
              <w:t>医疗卫生机构可回收物回收率</w:t>
            </w:r>
            <w:r>
              <w:rPr>
                <w:rFonts w:ascii="Segoe UI Symbol" w:hAnsi="Segoe UI Symbol" w:cs="Segoe UI Symbol"/>
                <w:spacing w:val="-20"/>
                <w:sz w:val="24"/>
                <w:szCs w:val="24"/>
              </w:rPr>
              <w:t>★</w:t>
            </w:r>
            <w:bookmarkEnd w:id="102"/>
          </w:p>
        </w:tc>
        <w:tc>
          <w:tcPr>
            <w:tcW w:w="271" w:type="pct"/>
            <w:vAlign w:val="center"/>
          </w:tcPr>
          <w:p w14:paraId="2E71571A">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5E649154">
            <w:pPr>
              <w:pStyle w:val="47"/>
              <w:snapToGrid w:val="0"/>
              <w:spacing w:line="360" w:lineRule="exact"/>
              <w:jc w:val="center"/>
              <w:rPr>
                <w:rFonts w:cs="Times New Roman"/>
                <w:spacing w:val="-20"/>
                <w:sz w:val="24"/>
                <w:szCs w:val="24"/>
              </w:rPr>
            </w:pPr>
            <w:r>
              <w:rPr>
                <w:rFonts w:cs="Times New Roman"/>
                <w:spacing w:val="-20"/>
                <w:sz w:val="24"/>
                <w:szCs w:val="24"/>
              </w:rPr>
              <w:t>区卫健委</w:t>
            </w:r>
          </w:p>
          <w:p w14:paraId="5D620165">
            <w:pPr>
              <w:pStyle w:val="47"/>
              <w:snapToGrid w:val="0"/>
              <w:spacing w:line="360" w:lineRule="exact"/>
              <w:jc w:val="center"/>
              <w:rPr>
                <w:rFonts w:cs="Times New Roman"/>
                <w:spacing w:val="-20"/>
                <w:sz w:val="24"/>
                <w:szCs w:val="24"/>
              </w:rPr>
            </w:pPr>
            <w:r>
              <w:rPr>
                <w:rFonts w:cs="Times New Roman"/>
                <w:spacing w:val="-20"/>
                <w:sz w:val="24"/>
                <w:szCs w:val="24"/>
              </w:rPr>
              <w:t>区商务局</w:t>
            </w:r>
          </w:p>
        </w:tc>
        <w:tc>
          <w:tcPr>
            <w:tcW w:w="527" w:type="pct"/>
            <w:shd w:val="clear" w:color="auto" w:fill="auto"/>
            <w:vAlign w:val="center"/>
          </w:tcPr>
          <w:p w14:paraId="6FC16DA1">
            <w:pPr>
              <w:pStyle w:val="47"/>
              <w:snapToGrid w:val="0"/>
              <w:spacing w:line="360" w:lineRule="exact"/>
              <w:jc w:val="center"/>
              <w:rPr>
                <w:rFonts w:cs="Times New Roman"/>
                <w:spacing w:val="-20"/>
                <w:sz w:val="24"/>
                <w:szCs w:val="24"/>
              </w:rPr>
            </w:pPr>
            <w:r>
              <w:rPr>
                <w:rFonts w:cs="Times New Roman"/>
                <w:spacing w:val="-20"/>
                <w:sz w:val="24"/>
                <w:szCs w:val="24"/>
              </w:rPr>
              <w:t>100</w:t>
            </w:r>
          </w:p>
        </w:tc>
        <w:tc>
          <w:tcPr>
            <w:tcW w:w="548" w:type="pct"/>
            <w:shd w:val="clear" w:color="auto" w:fill="auto"/>
            <w:vAlign w:val="center"/>
          </w:tcPr>
          <w:p w14:paraId="2A98DFA9">
            <w:pPr>
              <w:pStyle w:val="47"/>
              <w:snapToGrid w:val="0"/>
              <w:spacing w:line="360" w:lineRule="exact"/>
              <w:jc w:val="center"/>
              <w:rPr>
                <w:rFonts w:cs="Times New Roman"/>
                <w:spacing w:val="-20"/>
                <w:sz w:val="24"/>
                <w:szCs w:val="24"/>
              </w:rPr>
            </w:pPr>
            <w:r>
              <w:rPr>
                <w:rFonts w:cs="Times New Roman"/>
                <w:spacing w:val="-20"/>
                <w:sz w:val="24"/>
                <w:szCs w:val="24"/>
              </w:rPr>
              <w:t>100</w:t>
            </w:r>
          </w:p>
        </w:tc>
      </w:tr>
      <w:tr w14:paraId="7A1C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3745925A">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6E2BF6E2">
            <w:pPr>
              <w:pStyle w:val="47"/>
              <w:snapToGrid w:val="0"/>
              <w:spacing w:line="360" w:lineRule="exact"/>
              <w:jc w:val="center"/>
              <w:rPr>
                <w:rFonts w:cs="Times New Roman"/>
                <w:spacing w:val="-20"/>
                <w:sz w:val="24"/>
                <w:szCs w:val="24"/>
              </w:rPr>
            </w:pPr>
          </w:p>
        </w:tc>
        <w:tc>
          <w:tcPr>
            <w:tcW w:w="490" w:type="pct"/>
            <w:vMerge w:val="continue"/>
            <w:vAlign w:val="center"/>
          </w:tcPr>
          <w:p w14:paraId="2693433F">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46FE693C">
            <w:pPr>
              <w:pStyle w:val="47"/>
              <w:snapToGrid w:val="0"/>
              <w:spacing w:line="360" w:lineRule="exact"/>
              <w:jc w:val="center"/>
              <w:rPr>
                <w:rFonts w:cs="Times New Roman"/>
                <w:spacing w:val="-20"/>
                <w:sz w:val="24"/>
                <w:szCs w:val="24"/>
              </w:rPr>
            </w:pPr>
            <w:r>
              <w:rPr>
                <w:rFonts w:cs="Times New Roman"/>
                <w:spacing w:val="-20"/>
                <w:sz w:val="24"/>
                <w:szCs w:val="24"/>
              </w:rPr>
              <w:t>车用动力电池等产品类废物回收体系</w:t>
            </w:r>
          </w:p>
          <w:p w14:paraId="7D7C2E62">
            <w:pPr>
              <w:pStyle w:val="47"/>
              <w:snapToGrid w:val="0"/>
              <w:spacing w:line="360" w:lineRule="exact"/>
              <w:jc w:val="center"/>
              <w:rPr>
                <w:rFonts w:cs="Times New Roman"/>
                <w:spacing w:val="-20"/>
                <w:sz w:val="24"/>
                <w:szCs w:val="24"/>
              </w:rPr>
            </w:pPr>
            <w:r>
              <w:rPr>
                <w:rFonts w:cs="Times New Roman"/>
                <w:spacing w:val="-20"/>
                <w:sz w:val="24"/>
                <w:szCs w:val="24"/>
              </w:rPr>
              <w:t>覆盖率</w:t>
            </w:r>
            <w:r>
              <w:rPr>
                <w:rFonts w:ascii="Segoe UI Symbol" w:hAnsi="Segoe UI Symbol" w:cs="Segoe UI Symbol"/>
                <w:spacing w:val="-20"/>
                <w:sz w:val="24"/>
                <w:szCs w:val="24"/>
              </w:rPr>
              <w:t>☆</w:t>
            </w:r>
          </w:p>
        </w:tc>
        <w:tc>
          <w:tcPr>
            <w:tcW w:w="271" w:type="pct"/>
            <w:vAlign w:val="center"/>
          </w:tcPr>
          <w:p w14:paraId="421E6DA3">
            <w:pPr>
              <w:pStyle w:val="47"/>
              <w:snapToGrid w:val="0"/>
              <w:spacing w:line="360" w:lineRule="exact"/>
              <w:jc w:val="center"/>
              <w:rPr>
                <w:rFonts w:eastAsia="等线" w:cs="Times New Roman"/>
                <w:spacing w:val="-20"/>
                <w:sz w:val="24"/>
                <w:szCs w:val="24"/>
              </w:rPr>
            </w:pPr>
            <w:r>
              <w:rPr>
                <w:rFonts w:cs="Times New Roman"/>
                <w:spacing w:val="-20"/>
                <w:sz w:val="24"/>
                <w:szCs w:val="24"/>
              </w:rPr>
              <w:t>%</w:t>
            </w:r>
          </w:p>
        </w:tc>
        <w:tc>
          <w:tcPr>
            <w:tcW w:w="933" w:type="pct"/>
            <w:shd w:val="clear" w:color="auto" w:fill="auto"/>
            <w:vAlign w:val="center"/>
          </w:tcPr>
          <w:p w14:paraId="5DB5E16B">
            <w:pPr>
              <w:pStyle w:val="47"/>
              <w:snapToGrid w:val="0"/>
              <w:spacing w:line="360" w:lineRule="exact"/>
              <w:jc w:val="center"/>
              <w:rPr>
                <w:rFonts w:cs="Times New Roman"/>
                <w:spacing w:val="-20"/>
                <w:sz w:val="24"/>
                <w:szCs w:val="24"/>
              </w:rPr>
            </w:pPr>
            <w:r>
              <w:rPr>
                <w:rFonts w:cs="Times New Roman"/>
                <w:spacing w:val="-20"/>
                <w:sz w:val="24"/>
                <w:szCs w:val="24"/>
              </w:rPr>
              <w:t>区发改委</w:t>
            </w:r>
          </w:p>
          <w:p w14:paraId="28D77D7A">
            <w:pPr>
              <w:pStyle w:val="47"/>
              <w:snapToGrid w:val="0"/>
              <w:spacing w:line="36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09B66E7F">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548" w:type="pct"/>
            <w:shd w:val="clear" w:color="auto" w:fill="auto"/>
            <w:vAlign w:val="center"/>
          </w:tcPr>
          <w:p w14:paraId="1795F5E4">
            <w:pPr>
              <w:pStyle w:val="47"/>
              <w:snapToGrid w:val="0"/>
              <w:spacing w:line="360" w:lineRule="exact"/>
              <w:jc w:val="center"/>
              <w:rPr>
                <w:rFonts w:cs="Times New Roman"/>
                <w:spacing w:val="-20"/>
                <w:sz w:val="24"/>
                <w:szCs w:val="24"/>
              </w:rPr>
            </w:pPr>
            <w:r>
              <w:rPr>
                <w:rFonts w:cs="Times New Roman"/>
                <w:spacing w:val="-20"/>
                <w:sz w:val="24"/>
                <w:szCs w:val="24"/>
              </w:rPr>
              <w:t>100</w:t>
            </w:r>
          </w:p>
        </w:tc>
      </w:tr>
      <w:tr w14:paraId="2358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1C1D14D4">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58677D63">
            <w:pPr>
              <w:pStyle w:val="47"/>
              <w:snapToGrid w:val="0"/>
              <w:spacing w:line="360" w:lineRule="exact"/>
              <w:jc w:val="center"/>
              <w:rPr>
                <w:rFonts w:cs="Times New Roman"/>
                <w:spacing w:val="-20"/>
                <w:sz w:val="24"/>
                <w:szCs w:val="24"/>
              </w:rPr>
            </w:pPr>
          </w:p>
        </w:tc>
        <w:tc>
          <w:tcPr>
            <w:tcW w:w="490" w:type="pct"/>
            <w:vMerge w:val="continue"/>
            <w:vAlign w:val="center"/>
          </w:tcPr>
          <w:p w14:paraId="512D445B">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10D10360">
            <w:pPr>
              <w:pStyle w:val="47"/>
              <w:snapToGrid w:val="0"/>
              <w:spacing w:line="360" w:lineRule="exact"/>
              <w:jc w:val="center"/>
              <w:rPr>
                <w:rFonts w:cs="Times New Roman"/>
                <w:spacing w:val="-20"/>
                <w:sz w:val="24"/>
                <w:szCs w:val="24"/>
              </w:rPr>
            </w:pPr>
            <w:r>
              <w:rPr>
                <w:rFonts w:cs="Times New Roman"/>
                <w:spacing w:val="-20"/>
                <w:sz w:val="24"/>
                <w:szCs w:val="24"/>
              </w:rPr>
              <w:t>实验室危险废物收运处覆盖率▲</w:t>
            </w:r>
          </w:p>
        </w:tc>
        <w:tc>
          <w:tcPr>
            <w:tcW w:w="271" w:type="pct"/>
            <w:vAlign w:val="center"/>
          </w:tcPr>
          <w:p w14:paraId="05303D44">
            <w:pPr>
              <w:pStyle w:val="47"/>
              <w:snapToGrid w:val="0"/>
              <w:spacing w:line="360" w:lineRule="exact"/>
              <w:jc w:val="center"/>
              <w:rPr>
                <w:rFonts w:cs="Times New Roman"/>
                <w:spacing w:val="-20"/>
                <w:sz w:val="24"/>
                <w:szCs w:val="24"/>
              </w:rPr>
            </w:pPr>
            <w:r>
              <w:rPr>
                <w:rFonts w:eastAsia="等线" w:cs="Times New Roman"/>
                <w:spacing w:val="-20"/>
                <w:sz w:val="24"/>
                <w:szCs w:val="24"/>
              </w:rPr>
              <w:t>%</w:t>
            </w:r>
          </w:p>
        </w:tc>
        <w:tc>
          <w:tcPr>
            <w:tcW w:w="933" w:type="pct"/>
            <w:shd w:val="clear" w:color="auto" w:fill="auto"/>
            <w:vAlign w:val="center"/>
          </w:tcPr>
          <w:p w14:paraId="75B0130C">
            <w:pPr>
              <w:pStyle w:val="47"/>
              <w:snapToGrid w:val="0"/>
              <w:spacing w:line="360" w:lineRule="exact"/>
              <w:jc w:val="center"/>
              <w:rPr>
                <w:rFonts w:cs="Times New Roman"/>
                <w:spacing w:val="-20"/>
                <w:sz w:val="24"/>
                <w:szCs w:val="24"/>
              </w:rPr>
            </w:pPr>
            <w:r>
              <w:rPr>
                <w:rFonts w:cs="Times New Roman"/>
                <w:spacing w:val="-20"/>
                <w:sz w:val="24"/>
                <w:szCs w:val="24"/>
              </w:rPr>
              <w:t>玄武生态环境局</w:t>
            </w:r>
          </w:p>
          <w:p w14:paraId="47F1C2E3">
            <w:pPr>
              <w:pStyle w:val="47"/>
              <w:snapToGrid w:val="0"/>
              <w:spacing w:line="360" w:lineRule="exact"/>
              <w:jc w:val="center"/>
              <w:rPr>
                <w:rFonts w:cs="Times New Roman"/>
                <w:spacing w:val="-20"/>
                <w:sz w:val="24"/>
                <w:szCs w:val="24"/>
              </w:rPr>
            </w:pPr>
            <w:r>
              <w:rPr>
                <w:rFonts w:cs="Times New Roman"/>
                <w:spacing w:val="-20"/>
                <w:sz w:val="24"/>
                <w:szCs w:val="24"/>
              </w:rPr>
              <w:t>区教育局（在职责范围内）</w:t>
            </w:r>
          </w:p>
        </w:tc>
        <w:tc>
          <w:tcPr>
            <w:tcW w:w="527" w:type="pct"/>
            <w:shd w:val="clear" w:color="auto" w:fill="auto"/>
            <w:vAlign w:val="center"/>
          </w:tcPr>
          <w:p w14:paraId="7A9E0527">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548" w:type="pct"/>
            <w:shd w:val="clear" w:color="auto" w:fill="auto"/>
            <w:vAlign w:val="center"/>
          </w:tcPr>
          <w:p w14:paraId="04A8DE07">
            <w:pPr>
              <w:pStyle w:val="47"/>
              <w:snapToGrid w:val="0"/>
              <w:spacing w:line="360" w:lineRule="exact"/>
              <w:jc w:val="center"/>
              <w:rPr>
                <w:rFonts w:cs="Times New Roman"/>
                <w:spacing w:val="-20"/>
                <w:sz w:val="24"/>
                <w:szCs w:val="24"/>
              </w:rPr>
            </w:pPr>
            <w:r>
              <w:rPr>
                <w:rFonts w:cs="Times New Roman"/>
                <w:spacing w:val="-20"/>
                <w:sz w:val="24"/>
                <w:szCs w:val="24"/>
              </w:rPr>
              <w:t>80</w:t>
            </w:r>
          </w:p>
        </w:tc>
      </w:tr>
      <w:bookmarkEnd w:id="101"/>
      <w:tr w14:paraId="7011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4DC395CF">
            <w:pPr>
              <w:pStyle w:val="47"/>
              <w:numPr>
                <w:ilvl w:val="0"/>
                <w:numId w:val="15"/>
              </w:numPr>
              <w:snapToGrid w:val="0"/>
              <w:spacing w:line="400" w:lineRule="exact"/>
              <w:jc w:val="center"/>
              <w:rPr>
                <w:rFonts w:cs="Times New Roman"/>
                <w:spacing w:val="-20"/>
                <w:sz w:val="24"/>
                <w:szCs w:val="24"/>
              </w:rPr>
            </w:pPr>
            <w:bookmarkStart w:id="103" w:name="_Hlk120797023"/>
          </w:p>
        </w:tc>
        <w:tc>
          <w:tcPr>
            <w:tcW w:w="434" w:type="pct"/>
            <w:vMerge w:val="restart"/>
            <w:shd w:val="clear" w:color="auto" w:fill="auto"/>
            <w:vAlign w:val="center"/>
          </w:tcPr>
          <w:p w14:paraId="1DFBF8A4">
            <w:pPr>
              <w:pStyle w:val="47"/>
              <w:snapToGrid w:val="0"/>
              <w:spacing w:line="360" w:lineRule="exact"/>
              <w:jc w:val="center"/>
              <w:rPr>
                <w:rFonts w:cs="Times New Roman"/>
                <w:spacing w:val="-20"/>
                <w:sz w:val="24"/>
                <w:szCs w:val="24"/>
              </w:rPr>
            </w:pPr>
            <w:r>
              <w:rPr>
                <w:rFonts w:cs="Times New Roman"/>
                <w:spacing w:val="-20"/>
                <w:sz w:val="24"/>
                <w:szCs w:val="24"/>
              </w:rPr>
              <w:t>固体废物最终处置</w:t>
            </w:r>
          </w:p>
        </w:tc>
        <w:tc>
          <w:tcPr>
            <w:tcW w:w="490" w:type="pct"/>
            <w:shd w:val="clear" w:color="auto" w:fill="auto"/>
            <w:vAlign w:val="center"/>
          </w:tcPr>
          <w:p w14:paraId="19145A83">
            <w:pPr>
              <w:pStyle w:val="47"/>
              <w:snapToGrid w:val="0"/>
              <w:spacing w:line="360" w:lineRule="exact"/>
              <w:jc w:val="center"/>
              <w:rPr>
                <w:rFonts w:cs="Times New Roman"/>
                <w:spacing w:val="-20"/>
                <w:sz w:val="24"/>
                <w:szCs w:val="24"/>
              </w:rPr>
            </w:pPr>
            <w:r>
              <w:rPr>
                <w:rFonts w:cs="Times New Roman"/>
                <w:spacing w:val="-20"/>
                <w:sz w:val="24"/>
                <w:szCs w:val="24"/>
              </w:rPr>
              <w:t>危险废物处置</w:t>
            </w:r>
          </w:p>
        </w:tc>
        <w:tc>
          <w:tcPr>
            <w:tcW w:w="1524" w:type="pct"/>
            <w:shd w:val="clear" w:color="auto" w:fill="auto"/>
            <w:vAlign w:val="center"/>
          </w:tcPr>
          <w:p w14:paraId="42F16AD0">
            <w:pPr>
              <w:pStyle w:val="47"/>
              <w:snapToGrid w:val="0"/>
              <w:spacing w:line="360" w:lineRule="exact"/>
              <w:jc w:val="center"/>
              <w:rPr>
                <w:rFonts w:cs="Times New Roman"/>
                <w:spacing w:val="-20"/>
                <w:sz w:val="24"/>
                <w:szCs w:val="24"/>
              </w:rPr>
            </w:pPr>
            <w:r>
              <w:rPr>
                <w:rFonts w:cs="Times New Roman"/>
                <w:spacing w:val="-20"/>
                <w:sz w:val="24"/>
                <w:szCs w:val="24"/>
              </w:rPr>
              <w:t>医疗废物收集处置体系覆盖率</w:t>
            </w:r>
            <w:r>
              <w:rPr>
                <w:rFonts w:ascii="Segoe UI Symbol" w:hAnsi="Segoe UI Symbol" w:cs="Segoe UI Symbol"/>
                <w:spacing w:val="-20"/>
                <w:sz w:val="24"/>
                <w:szCs w:val="24"/>
              </w:rPr>
              <w:t>★</w:t>
            </w:r>
          </w:p>
        </w:tc>
        <w:tc>
          <w:tcPr>
            <w:tcW w:w="271" w:type="pct"/>
            <w:vAlign w:val="center"/>
          </w:tcPr>
          <w:p w14:paraId="6FF2DF84">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50ADB15B">
            <w:pPr>
              <w:pStyle w:val="47"/>
              <w:snapToGrid w:val="0"/>
              <w:spacing w:line="360" w:lineRule="exact"/>
              <w:jc w:val="center"/>
              <w:rPr>
                <w:rFonts w:cs="Times New Roman"/>
                <w:spacing w:val="-20"/>
                <w:sz w:val="24"/>
                <w:szCs w:val="24"/>
              </w:rPr>
            </w:pPr>
            <w:r>
              <w:rPr>
                <w:rFonts w:cs="Times New Roman"/>
                <w:spacing w:val="-20"/>
                <w:sz w:val="24"/>
                <w:szCs w:val="24"/>
              </w:rPr>
              <w:t>区卫健委</w:t>
            </w:r>
          </w:p>
          <w:p w14:paraId="6CC49564">
            <w:pPr>
              <w:pStyle w:val="47"/>
              <w:snapToGrid w:val="0"/>
              <w:spacing w:line="36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6D0CDC32">
            <w:pPr>
              <w:pStyle w:val="47"/>
              <w:snapToGrid w:val="0"/>
              <w:spacing w:line="360" w:lineRule="exact"/>
              <w:jc w:val="center"/>
              <w:rPr>
                <w:rFonts w:cs="Times New Roman"/>
                <w:spacing w:val="-20"/>
                <w:sz w:val="24"/>
                <w:szCs w:val="24"/>
              </w:rPr>
            </w:pPr>
            <w:r>
              <w:rPr>
                <w:rFonts w:cs="Times New Roman"/>
                <w:spacing w:val="-20"/>
                <w:sz w:val="24"/>
                <w:szCs w:val="24"/>
              </w:rPr>
              <w:t>100</w:t>
            </w:r>
          </w:p>
        </w:tc>
        <w:tc>
          <w:tcPr>
            <w:tcW w:w="548" w:type="pct"/>
            <w:shd w:val="clear" w:color="auto" w:fill="auto"/>
            <w:vAlign w:val="center"/>
          </w:tcPr>
          <w:p w14:paraId="48C1074B">
            <w:pPr>
              <w:pStyle w:val="47"/>
              <w:snapToGrid w:val="0"/>
              <w:spacing w:line="360" w:lineRule="exact"/>
              <w:jc w:val="center"/>
              <w:rPr>
                <w:rFonts w:cs="Times New Roman"/>
                <w:spacing w:val="-20"/>
                <w:sz w:val="24"/>
                <w:szCs w:val="24"/>
              </w:rPr>
            </w:pPr>
            <w:r>
              <w:rPr>
                <w:rFonts w:cs="Times New Roman"/>
                <w:spacing w:val="-20"/>
                <w:sz w:val="24"/>
                <w:szCs w:val="24"/>
              </w:rPr>
              <w:t>100</w:t>
            </w:r>
          </w:p>
        </w:tc>
      </w:tr>
      <w:tr w14:paraId="4909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165C3BBC">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76069BA9">
            <w:pPr>
              <w:pStyle w:val="47"/>
              <w:snapToGrid w:val="0"/>
              <w:spacing w:line="360" w:lineRule="exact"/>
              <w:jc w:val="center"/>
              <w:rPr>
                <w:rFonts w:cs="Times New Roman"/>
                <w:spacing w:val="-20"/>
                <w:sz w:val="24"/>
                <w:szCs w:val="24"/>
              </w:rPr>
            </w:pPr>
          </w:p>
        </w:tc>
        <w:tc>
          <w:tcPr>
            <w:tcW w:w="490" w:type="pct"/>
            <w:shd w:val="clear" w:color="auto" w:fill="auto"/>
            <w:vAlign w:val="center"/>
          </w:tcPr>
          <w:p w14:paraId="4E496D8A">
            <w:pPr>
              <w:pStyle w:val="47"/>
              <w:snapToGrid w:val="0"/>
              <w:spacing w:line="360" w:lineRule="exact"/>
              <w:jc w:val="center"/>
              <w:rPr>
                <w:rFonts w:cs="Times New Roman"/>
                <w:spacing w:val="-20"/>
                <w:sz w:val="24"/>
                <w:szCs w:val="24"/>
              </w:rPr>
            </w:pPr>
            <w:r>
              <w:rPr>
                <w:rFonts w:cs="Times New Roman"/>
                <w:spacing w:val="-20"/>
                <w:sz w:val="24"/>
                <w:szCs w:val="24"/>
              </w:rPr>
              <w:t>生活领域固体废物处置</w:t>
            </w:r>
          </w:p>
        </w:tc>
        <w:tc>
          <w:tcPr>
            <w:tcW w:w="1524" w:type="pct"/>
            <w:shd w:val="clear" w:color="auto" w:fill="auto"/>
            <w:vAlign w:val="center"/>
          </w:tcPr>
          <w:p w14:paraId="6495D350">
            <w:pPr>
              <w:pStyle w:val="47"/>
              <w:snapToGrid w:val="0"/>
              <w:spacing w:line="360" w:lineRule="exact"/>
              <w:jc w:val="center"/>
              <w:rPr>
                <w:rFonts w:cs="Times New Roman"/>
                <w:spacing w:val="-20"/>
                <w:sz w:val="24"/>
                <w:szCs w:val="24"/>
              </w:rPr>
            </w:pPr>
            <w:r>
              <w:rPr>
                <w:rFonts w:cs="Times New Roman"/>
                <w:spacing w:val="-20"/>
                <w:sz w:val="24"/>
                <w:szCs w:val="24"/>
              </w:rPr>
              <w:t>有害垃圾处置率</w:t>
            </w:r>
            <w:r>
              <w:rPr>
                <w:rFonts w:ascii="Segoe UI Symbol" w:hAnsi="Segoe UI Symbol" w:cs="Segoe UI Symbol"/>
                <w:spacing w:val="-20"/>
                <w:sz w:val="24"/>
                <w:szCs w:val="24"/>
              </w:rPr>
              <w:t>★</w:t>
            </w:r>
          </w:p>
        </w:tc>
        <w:tc>
          <w:tcPr>
            <w:tcW w:w="271" w:type="pct"/>
            <w:vAlign w:val="center"/>
          </w:tcPr>
          <w:p w14:paraId="451ECB40">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71FDEC34">
            <w:pPr>
              <w:pStyle w:val="47"/>
              <w:snapToGrid w:val="0"/>
              <w:spacing w:line="360" w:lineRule="exact"/>
              <w:jc w:val="center"/>
              <w:rPr>
                <w:rFonts w:cs="Times New Roman"/>
                <w:spacing w:val="-20"/>
                <w:sz w:val="24"/>
                <w:szCs w:val="24"/>
              </w:rPr>
            </w:pPr>
            <w:r>
              <w:rPr>
                <w:rFonts w:cs="Times New Roman"/>
                <w:spacing w:val="-20"/>
                <w:sz w:val="24"/>
                <w:szCs w:val="24"/>
              </w:rPr>
              <w:t>区城管局</w:t>
            </w:r>
          </w:p>
          <w:p w14:paraId="30B221AD">
            <w:pPr>
              <w:pStyle w:val="47"/>
              <w:snapToGrid w:val="0"/>
              <w:spacing w:line="36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4EAD2001">
            <w:pPr>
              <w:pStyle w:val="47"/>
              <w:snapToGrid w:val="0"/>
              <w:spacing w:line="360" w:lineRule="exact"/>
              <w:jc w:val="center"/>
              <w:rPr>
                <w:rFonts w:cs="Times New Roman"/>
                <w:spacing w:val="-20"/>
                <w:sz w:val="24"/>
                <w:szCs w:val="24"/>
              </w:rPr>
            </w:pPr>
            <w:r>
              <w:rPr>
                <w:rFonts w:cs="Times New Roman"/>
                <w:spacing w:val="-20"/>
                <w:sz w:val="24"/>
                <w:szCs w:val="24"/>
              </w:rPr>
              <w:t>100</w:t>
            </w:r>
          </w:p>
        </w:tc>
        <w:tc>
          <w:tcPr>
            <w:tcW w:w="548" w:type="pct"/>
            <w:shd w:val="clear" w:color="auto" w:fill="auto"/>
            <w:vAlign w:val="center"/>
          </w:tcPr>
          <w:p w14:paraId="7595F41B">
            <w:pPr>
              <w:pStyle w:val="47"/>
              <w:snapToGrid w:val="0"/>
              <w:spacing w:line="360" w:lineRule="exact"/>
              <w:jc w:val="center"/>
              <w:rPr>
                <w:rFonts w:cs="Times New Roman"/>
                <w:spacing w:val="-20"/>
                <w:sz w:val="24"/>
                <w:szCs w:val="24"/>
              </w:rPr>
            </w:pPr>
            <w:r>
              <w:rPr>
                <w:rFonts w:cs="Times New Roman"/>
                <w:spacing w:val="-20"/>
                <w:sz w:val="24"/>
                <w:szCs w:val="24"/>
              </w:rPr>
              <w:t>100</w:t>
            </w:r>
          </w:p>
        </w:tc>
      </w:tr>
      <w:bookmarkEnd w:id="103"/>
      <w:tr w14:paraId="75F1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2F180677">
            <w:pPr>
              <w:pStyle w:val="47"/>
              <w:numPr>
                <w:ilvl w:val="0"/>
                <w:numId w:val="15"/>
              </w:numPr>
              <w:snapToGrid w:val="0"/>
              <w:spacing w:line="400" w:lineRule="exact"/>
              <w:jc w:val="center"/>
              <w:rPr>
                <w:rFonts w:cs="Times New Roman"/>
                <w:spacing w:val="-20"/>
                <w:sz w:val="24"/>
                <w:szCs w:val="24"/>
              </w:rPr>
            </w:pPr>
            <w:bookmarkStart w:id="104" w:name="_Hlk120797050"/>
          </w:p>
        </w:tc>
        <w:tc>
          <w:tcPr>
            <w:tcW w:w="434" w:type="pct"/>
            <w:vMerge w:val="restart"/>
            <w:shd w:val="clear" w:color="auto" w:fill="auto"/>
            <w:vAlign w:val="center"/>
          </w:tcPr>
          <w:p w14:paraId="7EEA10D0">
            <w:pPr>
              <w:pStyle w:val="47"/>
              <w:snapToGrid w:val="0"/>
              <w:spacing w:line="360" w:lineRule="exact"/>
              <w:jc w:val="center"/>
              <w:rPr>
                <w:rFonts w:cs="Times New Roman"/>
                <w:spacing w:val="-20"/>
                <w:sz w:val="24"/>
                <w:szCs w:val="24"/>
              </w:rPr>
            </w:pPr>
            <w:r>
              <w:rPr>
                <w:rFonts w:cs="Times New Roman"/>
                <w:spacing w:val="-20"/>
                <w:sz w:val="24"/>
                <w:szCs w:val="24"/>
              </w:rPr>
              <w:t>保障能力</w:t>
            </w:r>
          </w:p>
        </w:tc>
        <w:tc>
          <w:tcPr>
            <w:tcW w:w="490" w:type="pct"/>
            <w:vMerge w:val="restart"/>
            <w:shd w:val="clear" w:color="auto" w:fill="auto"/>
            <w:vAlign w:val="center"/>
          </w:tcPr>
          <w:p w14:paraId="31994917">
            <w:pPr>
              <w:pStyle w:val="47"/>
              <w:snapToGrid w:val="0"/>
              <w:spacing w:line="360" w:lineRule="exact"/>
              <w:jc w:val="center"/>
              <w:rPr>
                <w:rFonts w:cs="Times New Roman"/>
                <w:spacing w:val="-20"/>
                <w:sz w:val="24"/>
                <w:szCs w:val="24"/>
              </w:rPr>
            </w:pPr>
            <w:r>
              <w:rPr>
                <w:rFonts w:cs="Times New Roman"/>
                <w:spacing w:val="-20"/>
                <w:sz w:val="24"/>
                <w:szCs w:val="24"/>
              </w:rPr>
              <w:t>制度体系建设</w:t>
            </w:r>
          </w:p>
        </w:tc>
        <w:tc>
          <w:tcPr>
            <w:tcW w:w="1524" w:type="pct"/>
            <w:shd w:val="clear" w:color="auto" w:fill="auto"/>
            <w:vAlign w:val="center"/>
          </w:tcPr>
          <w:p w14:paraId="68E0F4EC">
            <w:pPr>
              <w:pStyle w:val="47"/>
              <w:snapToGrid w:val="0"/>
              <w:spacing w:line="360" w:lineRule="exact"/>
              <w:jc w:val="center"/>
              <w:rPr>
                <w:rFonts w:cs="Times New Roman"/>
                <w:spacing w:val="-20"/>
                <w:sz w:val="24"/>
                <w:szCs w:val="24"/>
              </w:rPr>
            </w:pPr>
            <w:r>
              <w:rPr>
                <w:rFonts w:hint="eastAsia" w:cs="Times New Roman"/>
                <w:spacing w:val="-20"/>
                <w:sz w:val="24"/>
                <w:szCs w:val="24"/>
              </w:rPr>
              <w:t>“</w:t>
            </w:r>
            <w:r>
              <w:rPr>
                <w:rFonts w:cs="Times New Roman"/>
                <w:spacing w:val="-20"/>
                <w:sz w:val="24"/>
                <w:szCs w:val="24"/>
              </w:rPr>
              <w:t>无废城市</w:t>
            </w:r>
            <w:r>
              <w:rPr>
                <w:rFonts w:hint="eastAsia" w:cs="Times New Roman"/>
                <w:spacing w:val="-20"/>
                <w:sz w:val="24"/>
                <w:szCs w:val="24"/>
              </w:rPr>
              <w:t>”</w:t>
            </w:r>
            <w:r>
              <w:rPr>
                <w:rFonts w:cs="Times New Roman"/>
                <w:spacing w:val="-20"/>
                <w:sz w:val="24"/>
                <w:szCs w:val="24"/>
              </w:rPr>
              <w:t>建设地方性法规或政策性文件及有关规划制定</w:t>
            </w:r>
            <w:r>
              <w:rPr>
                <w:rFonts w:ascii="Segoe UI Symbol" w:hAnsi="Segoe UI Symbol" w:cs="Segoe UI Symbol"/>
                <w:spacing w:val="-20"/>
                <w:sz w:val="24"/>
                <w:szCs w:val="24"/>
              </w:rPr>
              <w:t>★</w:t>
            </w:r>
          </w:p>
        </w:tc>
        <w:tc>
          <w:tcPr>
            <w:tcW w:w="271" w:type="pct"/>
            <w:vAlign w:val="center"/>
          </w:tcPr>
          <w:p w14:paraId="4FD2D68D">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01881B29">
            <w:pPr>
              <w:pStyle w:val="47"/>
              <w:snapToGrid w:val="0"/>
              <w:spacing w:line="360" w:lineRule="exact"/>
              <w:jc w:val="center"/>
              <w:rPr>
                <w:rFonts w:cs="Times New Roman"/>
                <w:spacing w:val="-20"/>
                <w:sz w:val="24"/>
                <w:szCs w:val="24"/>
              </w:rPr>
            </w:pPr>
            <w:r>
              <w:rPr>
                <w:rFonts w:cs="Times New Roman"/>
                <w:spacing w:val="-20"/>
                <w:sz w:val="24"/>
                <w:szCs w:val="24"/>
              </w:rPr>
              <w:t>负责</w:t>
            </w:r>
            <w:r>
              <w:rPr>
                <w:rFonts w:hint="eastAsia" w:cs="Times New Roman"/>
                <w:spacing w:val="-20"/>
                <w:sz w:val="24"/>
                <w:szCs w:val="24"/>
              </w:rPr>
              <w:t>“</w:t>
            </w:r>
            <w:r>
              <w:rPr>
                <w:rFonts w:cs="Times New Roman"/>
                <w:spacing w:val="-20"/>
                <w:sz w:val="24"/>
                <w:szCs w:val="24"/>
              </w:rPr>
              <w:t>无废城市</w:t>
            </w:r>
            <w:r>
              <w:rPr>
                <w:rFonts w:hint="eastAsia" w:cs="Times New Roman"/>
                <w:spacing w:val="-20"/>
                <w:sz w:val="24"/>
                <w:szCs w:val="24"/>
              </w:rPr>
              <w:t>”</w:t>
            </w:r>
            <w:r>
              <w:rPr>
                <w:rFonts w:cs="Times New Roman"/>
                <w:spacing w:val="-20"/>
                <w:sz w:val="24"/>
                <w:szCs w:val="24"/>
              </w:rPr>
              <w:t>建设的相关部门</w:t>
            </w:r>
          </w:p>
        </w:tc>
        <w:tc>
          <w:tcPr>
            <w:tcW w:w="527" w:type="pct"/>
            <w:shd w:val="clear" w:color="auto" w:fill="auto"/>
            <w:vAlign w:val="center"/>
          </w:tcPr>
          <w:p w14:paraId="75FCF101">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548" w:type="pct"/>
            <w:shd w:val="clear" w:color="auto" w:fill="auto"/>
            <w:vAlign w:val="center"/>
          </w:tcPr>
          <w:p w14:paraId="276999C3">
            <w:pPr>
              <w:pStyle w:val="47"/>
              <w:snapToGrid w:val="0"/>
              <w:spacing w:line="360" w:lineRule="exact"/>
              <w:jc w:val="center"/>
              <w:rPr>
                <w:rFonts w:cs="Times New Roman"/>
                <w:spacing w:val="-20"/>
                <w:sz w:val="24"/>
                <w:szCs w:val="24"/>
              </w:rPr>
            </w:pPr>
            <w:r>
              <w:rPr>
                <w:rFonts w:cs="Times New Roman"/>
                <w:spacing w:val="-20"/>
                <w:sz w:val="24"/>
                <w:szCs w:val="24"/>
              </w:rPr>
              <w:t>执行市局制定的相关文件及有关规定</w:t>
            </w:r>
          </w:p>
        </w:tc>
      </w:tr>
      <w:tr w14:paraId="290C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7A066558">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2739F7D5">
            <w:pPr>
              <w:pStyle w:val="47"/>
              <w:snapToGrid w:val="0"/>
              <w:spacing w:line="360" w:lineRule="exact"/>
              <w:jc w:val="center"/>
              <w:rPr>
                <w:rFonts w:cs="Times New Roman"/>
                <w:spacing w:val="-20"/>
                <w:sz w:val="24"/>
                <w:szCs w:val="24"/>
              </w:rPr>
            </w:pPr>
          </w:p>
        </w:tc>
        <w:tc>
          <w:tcPr>
            <w:tcW w:w="490" w:type="pct"/>
            <w:vMerge w:val="continue"/>
            <w:vAlign w:val="center"/>
          </w:tcPr>
          <w:p w14:paraId="4B283BE0">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21CFDBC1">
            <w:pPr>
              <w:pStyle w:val="47"/>
              <w:snapToGrid w:val="0"/>
              <w:spacing w:line="360" w:lineRule="exact"/>
              <w:jc w:val="center"/>
              <w:rPr>
                <w:rFonts w:cs="Times New Roman"/>
                <w:spacing w:val="-20"/>
                <w:sz w:val="24"/>
                <w:szCs w:val="24"/>
              </w:rPr>
            </w:pPr>
            <w:r>
              <w:rPr>
                <w:rFonts w:hint="eastAsia" w:cs="Times New Roman"/>
                <w:spacing w:val="-20"/>
                <w:sz w:val="24"/>
                <w:szCs w:val="24"/>
              </w:rPr>
              <w:t>“</w:t>
            </w:r>
            <w:r>
              <w:rPr>
                <w:rFonts w:cs="Times New Roman"/>
                <w:spacing w:val="-20"/>
                <w:sz w:val="24"/>
                <w:szCs w:val="24"/>
              </w:rPr>
              <w:t>无废城市</w:t>
            </w:r>
            <w:r>
              <w:rPr>
                <w:rFonts w:hint="eastAsia" w:cs="Times New Roman"/>
                <w:spacing w:val="-20"/>
                <w:sz w:val="24"/>
                <w:szCs w:val="24"/>
              </w:rPr>
              <w:t>”</w:t>
            </w:r>
            <w:r>
              <w:rPr>
                <w:rFonts w:cs="Times New Roman"/>
                <w:spacing w:val="-20"/>
                <w:sz w:val="24"/>
                <w:szCs w:val="24"/>
              </w:rPr>
              <w:t>建设协调机制</w:t>
            </w:r>
            <w:r>
              <w:rPr>
                <w:rFonts w:ascii="Segoe UI Symbol" w:hAnsi="Segoe UI Symbol" w:cs="Segoe UI Symbol"/>
                <w:spacing w:val="-20"/>
                <w:sz w:val="24"/>
                <w:szCs w:val="24"/>
              </w:rPr>
              <w:t>★</w:t>
            </w:r>
          </w:p>
        </w:tc>
        <w:tc>
          <w:tcPr>
            <w:tcW w:w="271" w:type="pct"/>
            <w:vAlign w:val="center"/>
          </w:tcPr>
          <w:p w14:paraId="20F0557E">
            <w:pPr>
              <w:pStyle w:val="47"/>
              <w:snapToGrid w:val="0"/>
              <w:spacing w:line="36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7D813545">
            <w:pPr>
              <w:pStyle w:val="47"/>
              <w:snapToGrid w:val="0"/>
              <w:spacing w:line="360" w:lineRule="exact"/>
              <w:jc w:val="center"/>
              <w:rPr>
                <w:rFonts w:cs="Times New Roman"/>
                <w:spacing w:val="-20"/>
                <w:sz w:val="24"/>
                <w:szCs w:val="24"/>
              </w:rPr>
            </w:pPr>
            <w:r>
              <w:rPr>
                <w:rFonts w:cs="Times New Roman"/>
                <w:spacing w:val="-20"/>
                <w:sz w:val="24"/>
                <w:szCs w:val="24"/>
              </w:rPr>
              <w:t>负责</w:t>
            </w:r>
            <w:r>
              <w:rPr>
                <w:rFonts w:hint="eastAsia" w:cs="Times New Roman"/>
                <w:spacing w:val="-20"/>
                <w:sz w:val="24"/>
                <w:szCs w:val="24"/>
              </w:rPr>
              <w:t>“</w:t>
            </w:r>
            <w:r>
              <w:rPr>
                <w:rFonts w:cs="Times New Roman"/>
                <w:spacing w:val="-20"/>
                <w:sz w:val="24"/>
                <w:szCs w:val="24"/>
              </w:rPr>
              <w:t>无废城市</w:t>
            </w:r>
            <w:r>
              <w:rPr>
                <w:rFonts w:hint="eastAsia" w:cs="Times New Roman"/>
                <w:spacing w:val="-20"/>
                <w:sz w:val="24"/>
                <w:szCs w:val="24"/>
              </w:rPr>
              <w:t>”</w:t>
            </w:r>
            <w:r>
              <w:rPr>
                <w:rFonts w:cs="Times New Roman"/>
                <w:spacing w:val="-20"/>
                <w:sz w:val="24"/>
                <w:szCs w:val="24"/>
              </w:rPr>
              <w:t>建设的相关部门</w:t>
            </w:r>
          </w:p>
        </w:tc>
        <w:tc>
          <w:tcPr>
            <w:tcW w:w="527" w:type="pct"/>
            <w:shd w:val="clear" w:color="auto" w:fill="auto"/>
            <w:vAlign w:val="center"/>
          </w:tcPr>
          <w:p w14:paraId="5F99AEFB">
            <w:pPr>
              <w:pStyle w:val="47"/>
              <w:snapToGrid w:val="0"/>
              <w:spacing w:line="360" w:lineRule="exact"/>
              <w:jc w:val="center"/>
              <w:rPr>
                <w:rFonts w:cs="Times New Roman"/>
                <w:spacing w:val="-20"/>
                <w:sz w:val="24"/>
                <w:szCs w:val="24"/>
              </w:rPr>
            </w:pPr>
            <w:r>
              <w:rPr>
                <w:rFonts w:cs="Times New Roman"/>
                <w:spacing w:val="-20"/>
                <w:sz w:val="24"/>
                <w:szCs w:val="24"/>
              </w:rPr>
              <w:t>待建立</w:t>
            </w:r>
          </w:p>
        </w:tc>
        <w:tc>
          <w:tcPr>
            <w:tcW w:w="548" w:type="pct"/>
            <w:shd w:val="clear" w:color="auto" w:fill="auto"/>
            <w:vAlign w:val="center"/>
          </w:tcPr>
          <w:p w14:paraId="2AED6F7A">
            <w:pPr>
              <w:pStyle w:val="47"/>
              <w:snapToGrid w:val="0"/>
              <w:spacing w:line="360" w:lineRule="exact"/>
              <w:jc w:val="center"/>
              <w:rPr>
                <w:rFonts w:cs="Times New Roman"/>
                <w:spacing w:val="-20"/>
                <w:sz w:val="24"/>
                <w:szCs w:val="24"/>
              </w:rPr>
            </w:pPr>
            <w:r>
              <w:rPr>
                <w:rFonts w:cs="Times New Roman"/>
                <w:spacing w:val="-20"/>
                <w:sz w:val="24"/>
                <w:szCs w:val="24"/>
              </w:rPr>
              <w:t>建立完善联席会议机制</w:t>
            </w:r>
          </w:p>
        </w:tc>
      </w:tr>
      <w:tr w14:paraId="7480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462B2660">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55A4AC73">
            <w:pPr>
              <w:pStyle w:val="47"/>
              <w:snapToGrid w:val="0"/>
              <w:spacing w:line="360" w:lineRule="exact"/>
              <w:jc w:val="center"/>
              <w:rPr>
                <w:rFonts w:cs="Times New Roman"/>
                <w:spacing w:val="-20"/>
                <w:sz w:val="24"/>
                <w:szCs w:val="24"/>
              </w:rPr>
            </w:pPr>
          </w:p>
        </w:tc>
        <w:tc>
          <w:tcPr>
            <w:tcW w:w="490" w:type="pct"/>
            <w:vMerge w:val="continue"/>
            <w:vAlign w:val="center"/>
          </w:tcPr>
          <w:p w14:paraId="633E87EC">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4F7E21FE">
            <w:pPr>
              <w:pStyle w:val="47"/>
              <w:snapToGrid w:val="0"/>
              <w:spacing w:line="300" w:lineRule="exact"/>
              <w:jc w:val="center"/>
              <w:rPr>
                <w:rFonts w:cs="Times New Roman"/>
                <w:spacing w:val="-20"/>
                <w:sz w:val="24"/>
                <w:szCs w:val="24"/>
              </w:rPr>
            </w:pPr>
            <w:r>
              <w:rPr>
                <w:rFonts w:hint="eastAsia" w:ascii="方正仿宋_GBK" w:cs="Times New Roman"/>
                <w:spacing w:val="-20"/>
                <w:sz w:val="24"/>
                <w:szCs w:val="24"/>
              </w:rPr>
              <w:t>“无废城市”</w:t>
            </w:r>
            <w:r>
              <w:rPr>
                <w:rFonts w:cs="Times New Roman"/>
                <w:spacing w:val="-20"/>
                <w:sz w:val="24"/>
                <w:szCs w:val="24"/>
              </w:rPr>
              <w:t>建设成效纳入政绩</w:t>
            </w:r>
          </w:p>
          <w:p w14:paraId="2A38E7F0">
            <w:pPr>
              <w:pStyle w:val="47"/>
              <w:snapToGrid w:val="0"/>
              <w:spacing w:line="300" w:lineRule="exact"/>
              <w:jc w:val="center"/>
              <w:rPr>
                <w:rFonts w:cs="Times New Roman"/>
                <w:spacing w:val="-20"/>
                <w:sz w:val="24"/>
                <w:szCs w:val="24"/>
              </w:rPr>
            </w:pPr>
            <w:r>
              <w:rPr>
                <w:rFonts w:cs="Times New Roman"/>
                <w:spacing w:val="-20"/>
                <w:sz w:val="24"/>
                <w:szCs w:val="24"/>
              </w:rPr>
              <w:t>考核情况</w:t>
            </w:r>
            <w:r>
              <w:rPr>
                <w:rFonts w:ascii="Segoe UI Symbol" w:hAnsi="Segoe UI Symbol" w:cs="Segoe UI Symbol"/>
                <w:spacing w:val="-20"/>
                <w:sz w:val="24"/>
                <w:szCs w:val="24"/>
              </w:rPr>
              <w:t>☆</w:t>
            </w:r>
          </w:p>
        </w:tc>
        <w:tc>
          <w:tcPr>
            <w:tcW w:w="271" w:type="pct"/>
            <w:vAlign w:val="center"/>
          </w:tcPr>
          <w:p w14:paraId="1E05BB1E">
            <w:pPr>
              <w:pStyle w:val="47"/>
              <w:snapToGrid w:val="0"/>
              <w:spacing w:line="360" w:lineRule="exact"/>
              <w:jc w:val="center"/>
              <w:rPr>
                <w:rFonts w:cs="Times New Roman"/>
                <w:spacing w:val="-20"/>
                <w:sz w:val="24"/>
                <w:szCs w:val="24"/>
              </w:rPr>
            </w:pPr>
            <w:r>
              <w:rPr>
                <w:rFonts w:eastAsia="等线" w:cs="Times New Roman"/>
                <w:spacing w:val="-20"/>
                <w:sz w:val="24"/>
                <w:szCs w:val="24"/>
              </w:rPr>
              <w:t>/</w:t>
            </w:r>
          </w:p>
        </w:tc>
        <w:tc>
          <w:tcPr>
            <w:tcW w:w="933" w:type="pct"/>
            <w:shd w:val="clear" w:color="auto" w:fill="auto"/>
            <w:vAlign w:val="center"/>
          </w:tcPr>
          <w:p w14:paraId="1EBB3D60">
            <w:pPr>
              <w:pStyle w:val="47"/>
              <w:snapToGrid w:val="0"/>
              <w:spacing w:line="360" w:lineRule="exact"/>
              <w:jc w:val="center"/>
              <w:rPr>
                <w:rFonts w:cs="Times New Roman"/>
                <w:spacing w:val="-20"/>
                <w:sz w:val="24"/>
                <w:szCs w:val="24"/>
              </w:rPr>
            </w:pPr>
            <w:r>
              <w:rPr>
                <w:rFonts w:cs="Times New Roman"/>
                <w:spacing w:val="-20"/>
                <w:sz w:val="24"/>
                <w:szCs w:val="24"/>
              </w:rPr>
              <w:t>区委组织部门</w:t>
            </w:r>
          </w:p>
          <w:p w14:paraId="4B7EE141">
            <w:pPr>
              <w:pStyle w:val="47"/>
              <w:snapToGrid w:val="0"/>
              <w:spacing w:line="360" w:lineRule="exact"/>
              <w:jc w:val="center"/>
              <w:rPr>
                <w:rFonts w:cs="Times New Roman"/>
                <w:spacing w:val="-20"/>
                <w:sz w:val="24"/>
                <w:szCs w:val="24"/>
              </w:rPr>
            </w:pPr>
            <w:r>
              <w:rPr>
                <w:rFonts w:cs="Times New Roman"/>
                <w:spacing w:val="-20"/>
                <w:sz w:val="24"/>
                <w:szCs w:val="24"/>
              </w:rPr>
              <w:t>监察部门</w:t>
            </w:r>
          </w:p>
        </w:tc>
        <w:tc>
          <w:tcPr>
            <w:tcW w:w="527" w:type="pct"/>
            <w:shd w:val="clear" w:color="auto" w:fill="auto"/>
            <w:vAlign w:val="center"/>
          </w:tcPr>
          <w:p w14:paraId="7F2402A4">
            <w:pPr>
              <w:pStyle w:val="47"/>
              <w:snapToGrid w:val="0"/>
              <w:spacing w:line="360" w:lineRule="exact"/>
              <w:jc w:val="center"/>
              <w:rPr>
                <w:rFonts w:cs="Times New Roman"/>
                <w:spacing w:val="-20"/>
                <w:sz w:val="24"/>
                <w:szCs w:val="24"/>
              </w:rPr>
            </w:pPr>
            <w:r>
              <w:rPr>
                <w:rFonts w:cs="Times New Roman"/>
                <w:spacing w:val="-20"/>
                <w:sz w:val="24"/>
                <w:szCs w:val="24"/>
              </w:rPr>
              <w:t>未纳入</w:t>
            </w:r>
          </w:p>
        </w:tc>
        <w:tc>
          <w:tcPr>
            <w:tcW w:w="548" w:type="pct"/>
            <w:shd w:val="clear" w:color="auto" w:fill="auto"/>
            <w:vAlign w:val="center"/>
          </w:tcPr>
          <w:p w14:paraId="3D616F35">
            <w:pPr>
              <w:pStyle w:val="47"/>
              <w:snapToGrid w:val="0"/>
              <w:spacing w:line="240" w:lineRule="exact"/>
              <w:jc w:val="center"/>
              <w:rPr>
                <w:rFonts w:cs="Times New Roman"/>
                <w:spacing w:val="-20"/>
                <w:sz w:val="24"/>
                <w:szCs w:val="24"/>
              </w:rPr>
            </w:pPr>
            <w:r>
              <w:rPr>
                <w:rFonts w:cs="Times New Roman"/>
                <w:spacing w:val="-20"/>
                <w:sz w:val="24"/>
                <w:szCs w:val="24"/>
              </w:rPr>
              <w:t>纳入污染防治攻坚考核体系、高质量发展考核</w:t>
            </w:r>
          </w:p>
        </w:tc>
      </w:tr>
      <w:tr w14:paraId="5690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525D13B5">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08FC24A5">
            <w:pPr>
              <w:pStyle w:val="47"/>
              <w:snapToGrid w:val="0"/>
              <w:spacing w:line="360" w:lineRule="exact"/>
              <w:jc w:val="center"/>
              <w:rPr>
                <w:rFonts w:cs="Times New Roman"/>
                <w:spacing w:val="-20"/>
                <w:sz w:val="24"/>
                <w:szCs w:val="24"/>
              </w:rPr>
            </w:pPr>
          </w:p>
        </w:tc>
        <w:tc>
          <w:tcPr>
            <w:tcW w:w="490" w:type="pct"/>
            <w:vMerge w:val="continue"/>
            <w:vAlign w:val="center"/>
          </w:tcPr>
          <w:p w14:paraId="41E44F6F">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550C67BC">
            <w:pPr>
              <w:pStyle w:val="47"/>
              <w:snapToGrid w:val="0"/>
              <w:spacing w:line="300" w:lineRule="exact"/>
              <w:jc w:val="center"/>
              <w:rPr>
                <w:rFonts w:cs="Times New Roman"/>
                <w:spacing w:val="-20"/>
                <w:sz w:val="24"/>
                <w:szCs w:val="24"/>
              </w:rPr>
            </w:pPr>
            <w:r>
              <w:rPr>
                <w:rFonts w:cs="Times New Roman"/>
                <w:spacing w:val="-20"/>
                <w:sz w:val="24"/>
                <w:szCs w:val="24"/>
              </w:rPr>
              <w:t>开展</w:t>
            </w:r>
            <w:r>
              <w:rPr>
                <w:rFonts w:hint="eastAsia" w:cs="Times New Roman"/>
                <w:spacing w:val="-20"/>
                <w:sz w:val="24"/>
                <w:szCs w:val="24"/>
              </w:rPr>
              <w:t>“</w:t>
            </w:r>
            <w:r>
              <w:rPr>
                <w:rFonts w:cs="Times New Roman"/>
                <w:spacing w:val="-20"/>
                <w:sz w:val="24"/>
                <w:szCs w:val="24"/>
              </w:rPr>
              <w:t>无废城市细胞</w:t>
            </w:r>
            <w:r>
              <w:rPr>
                <w:rFonts w:hint="eastAsia" w:cs="Times New Roman"/>
                <w:spacing w:val="-20"/>
                <w:sz w:val="24"/>
                <w:szCs w:val="24"/>
              </w:rPr>
              <w:t>”</w:t>
            </w:r>
            <w:r>
              <w:rPr>
                <w:rFonts w:cs="Times New Roman"/>
                <w:spacing w:val="-20"/>
                <w:sz w:val="24"/>
                <w:szCs w:val="24"/>
              </w:rPr>
              <w:t>建设的单位数量（机关、企事业单位、饭店、商场、集贸市场、社区、村镇）</w:t>
            </w:r>
            <w:r>
              <w:rPr>
                <w:rFonts w:ascii="Segoe UI Symbol" w:hAnsi="Segoe UI Symbol" w:cs="Segoe UI Symbol"/>
                <w:spacing w:val="-20"/>
                <w:sz w:val="24"/>
                <w:szCs w:val="24"/>
              </w:rPr>
              <w:t>☆</w:t>
            </w:r>
          </w:p>
        </w:tc>
        <w:tc>
          <w:tcPr>
            <w:tcW w:w="271" w:type="pct"/>
            <w:vAlign w:val="center"/>
          </w:tcPr>
          <w:p w14:paraId="64090ACC">
            <w:pPr>
              <w:pStyle w:val="47"/>
              <w:snapToGrid w:val="0"/>
              <w:spacing w:line="30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09A303CF">
            <w:pPr>
              <w:pStyle w:val="47"/>
              <w:snapToGrid w:val="0"/>
              <w:spacing w:line="300" w:lineRule="exact"/>
              <w:jc w:val="center"/>
              <w:rPr>
                <w:rFonts w:cs="Times New Roman"/>
                <w:spacing w:val="-20"/>
                <w:sz w:val="24"/>
                <w:szCs w:val="24"/>
              </w:rPr>
            </w:pPr>
            <w:r>
              <w:rPr>
                <w:rFonts w:cs="Times New Roman"/>
                <w:spacing w:val="-20"/>
                <w:sz w:val="24"/>
                <w:szCs w:val="24"/>
              </w:rPr>
              <w:t>各相关部门</w:t>
            </w:r>
          </w:p>
        </w:tc>
        <w:tc>
          <w:tcPr>
            <w:tcW w:w="527" w:type="pct"/>
            <w:shd w:val="clear" w:color="auto" w:fill="auto"/>
            <w:vAlign w:val="center"/>
          </w:tcPr>
          <w:p w14:paraId="02015721">
            <w:pPr>
              <w:pStyle w:val="47"/>
              <w:snapToGrid w:val="0"/>
              <w:spacing w:line="300" w:lineRule="exact"/>
              <w:jc w:val="center"/>
              <w:rPr>
                <w:rFonts w:cs="Times New Roman"/>
                <w:spacing w:val="-20"/>
                <w:sz w:val="24"/>
                <w:szCs w:val="24"/>
              </w:rPr>
            </w:pPr>
            <w:r>
              <w:rPr>
                <w:rFonts w:cs="Times New Roman"/>
                <w:spacing w:val="-20"/>
                <w:sz w:val="24"/>
                <w:szCs w:val="24"/>
              </w:rPr>
              <w:t>未建立</w:t>
            </w:r>
          </w:p>
        </w:tc>
        <w:tc>
          <w:tcPr>
            <w:tcW w:w="548" w:type="pct"/>
            <w:shd w:val="clear" w:color="auto" w:fill="auto"/>
            <w:vAlign w:val="center"/>
          </w:tcPr>
          <w:p w14:paraId="3A119A72">
            <w:pPr>
              <w:pStyle w:val="47"/>
              <w:snapToGrid w:val="0"/>
              <w:spacing w:line="300" w:lineRule="exact"/>
              <w:jc w:val="center"/>
              <w:rPr>
                <w:rFonts w:cs="Times New Roman"/>
                <w:spacing w:val="-20"/>
                <w:sz w:val="24"/>
                <w:szCs w:val="24"/>
              </w:rPr>
            </w:pPr>
            <w:r>
              <w:rPr>
                <w:rFonts w:cs="Times New Roman"/>
                <w:spacing w:val="-20"/>
                <w:sz w:val="24"/>
                <w:szCs w:val="24"/>
              </w:rPr>
              <w:t>60</w:t>
            </w:r>
          </w:p>
        </w:tc>
      </w:tr>
      <w:tr w14:paraId="6EEC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32AAAE7E">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15B53A77">
            <w:pPr>
              <w:pStyle w:val="47"/>
              <w:snapToGrid w:val="0"/>
              <w:spacing w:line="360" w:lineRule="exact"/>
              <w:jc w:val="center"/>
              <w:rPr>
                <w:rFonts w:cs="Times New Roman"/>
                <w:spacing w:val="-20"/>
                <w:sz w:val="24"/>
                <w:szCs w:val="24"/>
              </w:rPr>
            </w:pPr>
          </w:p>
        </w:tc>
        <w:tc>
          <w:tcPr>
            <w:tcW w:w="490" w:type="pct"/>
            <w:vMerge w:val="restart"/>
            <w:shd w:val="clear" w:color="auto" w:fill="auto"/>
            <w:vAlign w:val="center"/>
          </w:tcPr>
          <w:p w14:paraId="4EB578A8">
            <w:pPr>
              <w:pStyle w:val="47"/>
              <w:snapToGrid w:val="0"/>
              <w:spacing w:line="360" w:lineRule="exact"/>
              <w:jc w:val="center"/>
              <w:rPr>
                <w:rFonts w:cs="Times New Roman"/>
                <w:spacing w:val="-20"/>
                <w:sz w:val="24"/>
                <w:szCs w:val="24"/>
              </w:rPr>
            </w:pPr>
            <w:r>
              <w:rPr>
                <w:rFonts w:cs="Times New Roman"/>
                <w:spacing w:val="-20"/>
                <w:sz w:val="24"/>
                <w:szCs w:val="24"/>
              </w:rPr>
              <w:t>市场体系建设</w:t>
            </w:r>
          </w:p>
        </w:tc>
        <w:tc>
          <w:tcPr>
            <w:tcW w:w="1524" w:type="pct"/>
            <w:shd w:val="clear" w:color="auto" w:fill="auto"/>
            <w:vAlign w:val="center"/>
          </w:tcPr>
          <w:p w14:paraId="6A3722D5">
            <w:pPr>
              <w:pStyle w:val="47"/>
              <w:snapToGrid w:val="0"/>
              <w:spacing w:line="300" w:lineRule="exact"/>
              <w:jc w:val="center"/>
              <w:rPr>
                <w:rFonts w:cs="Times New Roman"/>
                <w:spacing w:val="-20"/>
                <w:sz w:val="24"/>
                <w:szCs w:val="24"/>
              </w:rPr>
            </w:pPr>
            <w:r>
              <w:rPr>
                <w:rFonts w:hint="eastAsia" w:cs="Times New Roman"/>
                <w:spacing w:val="-20"/>
                <w:sz w:val="24"/>
                <w:szCs w:val="24"/>
              </w:rPr>
              <w:t>“</w:t>
            </w:r>
            <w:r>
              <w:rPr>
                <w:rFonts w:cs="Times New Roman"/>
                <w:spacing w:val="-20"/>
                <w:sz w:val="24"/>
                <w:szCs w:val="24"/>
              </w:rPr>
              <w:t>无废城市</w:t>
            </w:r>
            <w:r>
              <w:rPr>
                <w:rFonts w:hint="eastAsia" w:cs="Times New Roman"/>
                <w:spacing w:val="-20"/>
                <w:sz w:val="24"/>
                <w:szCs w:val="24"/>
              </w:rPr>
              <w:t>”</w:t>
            </w:r>
            <w:r>
              <w:rPr>
                <w:rFonts w:cs="Times New Roman"/>
                <w:spacing w:val="-20"/>
                <w:sz w:val="24"/>
                <w:szCs w:val="24"/>
              </w:rPr>
              <w:t>建设项目投资总额</w:t>
            </w:r>
            <w:r>
              <w:rPr>
                <w:rFonts w:ascii="Segoe UI Symbol" w:hAnsi="Segoe UI Symbol" w:cs="Segoe UI Symbol"/>
                <w:spacing w:val="-20"/>
                <w:sz w:val="24"/>
                <w:szCs w:val="24"/>
              </w:rPr>
              <w:t>★</w:t>
            </w:r>
          </w:p>
        </w:tc>
        <w:tc>
          <w:tcPr>
            <w:tcW w:w="271" w:type="pct"/>
            <w:shd w:val="clear" w:color="auto" w:fill="auto"/>
            <w:vAlign w:val="center"/>
          </w:tcPr>
          <w:p w14:paraId="13F99563">
            <w:pPr>
              <w:pStyle w:val="47"/>
              <w:snapToGrid w:val="0"/>
              <w:spacing w:line="300" w:lineRule="exact"/>
              <w:jc w:val="center"/>
              <w:rPr>
                <w:rFonts w:cs="Times New Roman"/>
                <w:spacing w:val="-20"/>
                <w:sz w:val="24"/>
                <w:szCs w:val="24"/>
              </w:rPr>
            </w:pPr>
            <w:r>
              <w:rPr>
                <w:rFonts w:cs="Times New Roman"/>
                <w:spacing w:val="-20"/>
                <w:sz w:val="24"/>
                <w:szCs w:val="24"/>
              </w:rPr>
              <w:t>亿元</w:t>
            </w:r>
          </w:p>
        </w:tc>
        <w:tc>
          <w:tcPr>
            <w:tcW w:w="933" w:type="pct"/>
            <w:shd w:val="clear" w:color="auto" w:fill="auto"/>
            <w:vAlign w:val="center"/>
          </w:tcPr>
          <w:p w14:paraId="46B64CFD">
            <w:pPr>
              <w:pStyle w:val="47"/>
              <w:snapToGrid w:val="0"/>
              <w:spacing w:line="300" w:lineRule="exact"/>
              <w:jc w:val="center"/>
              <w:rPr>
                <w:rFonts w:cs="Times New Roman"/>
                <w:spacing w:val="-20"/>
                <w:sz w:val="24"/>
                <w:szCs w:val="24"/>
              </w:rPr>
            </w:pPr>
            <w:r>
              <w:rPr>
                <w:rFonts w:cs="Times New Roman"/>
                <w:spacing w:val="-20"/>
                <w:sz w:val="24"/>
                <w:szCs w:val="24"/>
              </w:rPr>
              <w:t>玄武生态环境局</w:t>
            </w:r>
          </w:p>
          <w:p w14:paraId="2466D9E0">
            <w:pPr>
              <w:pStyle w:val="47"/>
              <w:snapToGrid w:val="0"/>
              <w:spacing w:line="300" w:lineRule="exact"/>
              <w:jc w:val="center"/>
              <w:rPr>
                <w:rFonts w:cs="Times New Roman"/>
                <w:spacing w:val="-20"/>
                <w:sz w:val="24"/>
                <w:szCs w:val="24"/>
              </w:rPr>
            </w:pPr>
            <w:r>
              <w:rPr>
                <w:rFonts w:cs="Times New Roman"/>
                <w:spacing w:val="-20"/>
                <w:sz w:val="24"/>
                <w:szCs w:val="24"/>
              </w:rPr>
              <w:t>区发改委</w:t>
            </w:r>
          </w:p>
          <w:p w14:paraId="166BF135">
            <w:pPr>
              <w:pStyle w:val="47"/>
              <w:snapToGrid w:val="0"/>
              <w:spacing w:line="300" w:lineRule="exact"/>
              <w:jc w:val="center"/>
              <w:rPr>
                <w:rFonts w:cs="Times New Roman"/>
                <w:spacing w:val="-20"/>
                <w:sz w:val="24"/>
                <w:szCs w:val="24"/>
              </w:rPr>
            </w:pPr>
            <w:r>
              <w:rPr>
                <w:rFonts w:cs="Times New Roman"/>
                <w:spacing w:val="-20"/>
                <w:sz w:val="24"/>
                <w:szCs w:val="24"/>
              </w:rPr>
              <w:t>区财政局</w:t>
            </w:r>
          </w:p>
          <w:p w14:paraId="10FF533B">
            <w:pPr>
              <w:pStyle w:val="47"/>
              <w:snapToGrid w:val="0"/>
              <w:spacing w:line="300" w:lineRule="exact"/>
              <w:jc w:val="center"/>
              <w:rPr>
                <w:rFonts w:cs="Times New Roman"/>
                <w:spacing w:val="-20"/>
                <w:sz w:val="24"/>
                <w:szCs w:val="24"/>
              </w:rPr>
            </w:pPr>
            <w:r>
              <w:rPr>
                <w:rFonts w:cs="Times New Roman"/>
                <w:spacing w:val="-20"/>
                <w:sz w:val="24"/>
                <w:szCs w:val="24"/>
              </w:rPr>
              <w:t>相关建设主体</w:t>
            </w:r>
          </w:p>
        </w:tc>
        <w:tc>
          <w:tcPr>
            <w:tcW w:w="527" w:type="pct"/>
            <w:shd w:val="clear" w:color="auto" w:fill="auto"/>
            <w:vAlign w:val="center"/>
          </w:tcPr>
          <w:p w14:paraId="2E1A1CAC">
            <w:pPr>
              <w:pStyle w:val="47"/>
              <w:snapToGrid w:val="0"/>
              <w:spacing w:line="300" w:lineRule="exact"/>
              <w:jc w:val="center"/>
              <w:rPr>
                <w:rFonts w:cs="Times New Roman"/>
                <w:spacing w:val="-20"/>
                <w:sz w:val="24"/>
                <w:szCs w:val="24"/>
              </w:rPr>
            </w:pPr>
            <w:r>
              <w:rPr>
                <w:rFonts w:cs="Times New Roman"/>
                <w:spacing w:val="-20"/>
                <w:sz w:val="24"/>
                <w:szCs w:val="24"/>
              </w:rPr>
              <w:t>0.8</w:t>
            </w:r>
          </w:p>
        </w:tc>
        <w:tc>
          <w:tcPr>
            <w:tcW w:w="548" w:type="pct"/>
            <w:shd w:val="clear" w:color="auto" w:fill="auto"/>
            <w:vAlign w:val="center"/>
          </w:tcPr>
          <w:p w14:paraId="6CF190E9">
            <w:pPr>
              <w:pStyle w:val="47"/>
              <w:snapToGrid w:val="0"/>
              <w:spacing w:line="300" w:lineRule="exact"/>
              <w:jc w:val="center"/>
              <w:rPr>
                <w:rFonts w:cs="Times New Roman"/>
                <w:spacing w:val="-20"/>
                <w:sz w:val="24"/>
                <w:szCs w:val="24"/>
              </w:rPr>
            </w:pPr>
            <w:r>
              <w:rPr>
                <w:rFonts w:cs="Times New Roman"/>
                <w:spacing w:val="-20"/>
                <w:sz w:val="24"/>
                <w:szCs w:val="24"/>
              </w:rPr>
              <w:t>1（可根据实际情况动态变化）</w:t>
            </w:r>
          </w:p>
        </w:tc>
      </w:tr>
      <w:tr w14:paraId="499A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4D5EB333">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726A27B1">
            <w:pPr>
              <w:pStyle w:val="47"/>
              <w:snapToGrid w:val="0"/>
              <w:spacing w:line="360" w:lineRule="exact"/>
              <w:jc w:val="center"/>
              <w:rPr>
                <w:rFonts w:cs="Times New Roman"/>
                <w:spacing w:val="-20"/>
                <w:sz w:val="24"/>
                <w:szCs w:val="24"/>
              </w:rPr>
            </w:pPr>
          </w:p>
        </w:tc>
        <w:tc>
          <w:tcPr>
            <w:tcW w:w="490" w:type="pct"/>
            <w:vMerge w:val="continue"/>
            <w:shd w:val="clear" w:color="auto" w:fill="auto"/>
            <w:vAlign w:val="center"/>
          </w:tcPr>
          <w:p w14:paraId="09846BBD">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3D8D61DB">
            <w:pPr>
              <w:pStyle w:val="47"/>
              <w:snapToGrid w:val="0"/>
              <w:spacing w:line="300" w:lineRule="exact"/>
              <w:jc w:val="center"/>
              <w:rPr>
                <w:rFonts w:cs="Times New Roman"/>
                <w:spacing w:val="-20"/>
                <w:sz w:val="24"/>
                <w:szCs w:val="24"/>
              </w:rPr>
            </w:pPr>
            <w:r>
              <w:rPr>
                <w:rFonts w:cs="Times New Roman"/>
                <w:spacing w:val="-20"/>
                <w:sz w:val="24"/>
                <w:szCs w:val="24"/>
              </w:rPr>
              <w:t>纳入企业环境信用评价范围的固体废物相关企业数量占比</w:t>
            </w:r>
            <w:r>
              <w:rPr>
                <w:rFonts w:ascii="Segoe UI Symbol" w:hAnsi="Segoe UI Symbol" w:cs="Segoe UI Symbol"/>
                <w:spacing w:val="-20"/>
                <w:sz w:val="24"/>
                <w:szCs w:val="24"/>
              </w:rPr>
              <w:t>☆</w:t>
            </w:r>
          </w:p>
        </w:tc>
        <w:tc>
          <w:tcPr>
            <w:tcW w:w="271" w:type="pct"/>
            <w:shd w:val="clear" w:color="auto" w:fill="auto"/>
            <w:vAlign w:val="center"/>
          </w:tcPr>
          <w:p w14:paraId="7C9CF6C9">
            <w:pPr>
              <w:pStyle w:val="47"/>
              <w:snapToGrid w:val="0"/>
              <w:spacing w:line="300" w:lineRule="exact"/>
              <w:jc w:val="center"/>
              <w:rPr>
                <w:rFonts w:cs="Times New Roman"/>
                <w:spacing w:val="-20"/>
                <w:sz w:val="24"/>
                <w:szCs w:val="24"/>
              </w:rPr>
            </w:pPr>
            <w:r>
              <w:rPr>
                <w:rFonts w:eastAsia="等线" w:cs="Times New Roman"/>
                <w:spacing w:val="-20"/>
                <w:sz w:val="24"/>
                <w:szCs w:val="24"/>
              </w:rPr>
              <w:t>%</w:t>
            </w:r>
          </w:p>
        </w:tc>
        <w:tc>
          <w:tcPr>
            <w:tcW w:w="933" w:type="pct"/>
            <w:shd w:val="clear" w:color="auto" w:fill="auto"/>
            <w:vAlign w:val="center"/>
          </w:tcPr>
          <w:p w14:paraId="7E2E810A">
            <w:pPr>
              <w:pStyle w:val="47"/>
              <w:snapToGrid w:val="0"/>
              <w:spacing w:line="30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7E4DEF34">
            <w:pPr>
              <w:pStyle w:val="47"/>
              <w:snapToGrid w:val="0"/>
              <w:spacing w:line="300" w:lineRule="exact"/>
              <w:jc w:val="center"/>
              <w:rPr>
                <w:rFonts w:cs="Times New Roman"/>
                <w:spacing w:val="-20"/>
                <w:sz w:val="24"/>
                <w:szCs w:val="24"/>
              </w:rPr>
            </w:pPr>
            <w:r>
              <w:rPr>
                <w:rFonts w:cs="Times New Roman"/>
                <w:spacing w:val="-20"/>
                <w:sz w:val="24"/>
                <w:szCs w:val="24"/>
              </w:rPr>
              <w:t>60</w:t>
            </w:r>
          </w:p>
        </w:tc>
        <w:tc>
          <w:tcPr>
            <w:tcW w:w="548" w:type="pct"/>
            <w:shd w:val="clear" w:color="auto" w:fill="auto"/>
            <w:vAlign w:val="center"/>
          </w:tcPr>
          <w:p w14:paraId="2CA0CD92">
            <w:pPr>
              <w:pStyle w:val="47"/>
              <w:snapToGrid w:val="0"/>
              <w:spacing w:line="300" w:lineRule="exact"/>
              <w:jc w:val="center"/>
              <w:rPr>
                <w:rFonts w:cs="Times New Roman"/>
                <w:spacing w:val="-20"/>
                <w:sz w:val="24"/>
                <w:szCs w:val="24"/>
              </w:rPr>
            </w:pPr>
            <w:r>
              <w:rPr>
                <w:rFonts w:cs="Times New Roman"/>
                <w:spacing w:val="-20"/>
                <w:sz w:val="24"/>
                <w:szCs w:val="24"/>
              </w:rPr>
              <w:t>80</w:t>
            </w:r>
          </w:p>
        </w:tc>
      </w:tr>
      <w:tr w14:paraId="60A6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031C15C4">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1A346A86">
            <w:pPr>
              <w:pStyle w:val="47"/>
              <w:snapToGrid w:val="0"/>
              <w:spacing w:line="360" w:lineRule="exact"/>
              <w:jc w:val="center"/>
              <w:rPr>
                <w:rFonts w:cs="Times New Roman"/>
                <w:spacing w:val="-20"/>
                <w:sz w:val="24"/>
                <w:szCs w:val="24"/>
              </w:rPr>
            </w:pPr>
          </w:p>
        </w:tc>
        <w:tc>
          <w:tcPr>
            <w:tcW w:w="490" w:type="pct"/>
            <w:vMerge w:val="restart"/>
            <w:shd w:val="clear" w:color="auto" w:fill="auto"/>
            <w:vAlign w:val="center"/>
          </w:tcPr>
          <w:p w14:paraId="799C1AE9">
            <w:pPr>
              <w:pStyle w:val="47"/>
              <w:snapToGrid w:val="0"/>
              <w:spacing w:line="360" w:lineRule="exact"/>
              <w:jc w:val="center"/>
              <w:rPr>
                <w:rFonts w:cs="Times New Roman"/>
                <w:spacing w:val="-20"/>
                <w:sz w:val="24"/>
                <w:szCs w:val="24"/>
              </w:rPr>
            </w:pPr>
            <w:r>
              <w:rPr>
                <w:rFonts w:cs="Times New Roman"/>
                <w:spacing w:val="-20"/>
                <w:sz w:val="24"/>
                <w:szCs w:val="24"/>
              </w:rPr>
              <w:t>监管体系建设</w:t>
            </w:r>
          </w:p>
        </w:tc>
        <w:tc>
          <w:tcPr>
            <w:tcW w:w="1524" w:type="pct"/>
            <w:shd w:val="clear" w:color="auto" w:fill="auto"/>
            <w:vAlign w:val="center"/>
          </w:tcPr>
          <w:p w14:paraId="78881EA8">
            <w:pPr>
              <w:pStyle w:val="47"/>
              <w:snapToGrid w:val="0"/>
              <w:spacing w:line="300" w:lineRule="exact"/>
              <w:jc w:val="center"/>
              <w:rPr>
                <w:rFonts w:cs="Times New Roman"/>
                <w:spacing w:val="-20"/>
                <w:sz w:val="24"/>
                <w:szCs w:val="24"/>
              </w:rPr>
            </w:pPr>
            <w:r>
              <w:rPr>
                <w:rFonts w:cs="Times New Roman"/>
                <w:spacing w:val="-20"/>
                <w:sz w:val="24"/>
                <w:szCs w:val="24"/>
              </w:rPr>
              <w:t>固体废物管理信息化监管情况</w:t>
            </w:r>
            <w:r>
              <w:rPr>
                <w:rFonts w:ascii="Segoe UI Symbol" w:hAnsi="Segoe UI Symbol" w:cs="Segoe UI Symbol"/>
                <w:spacing w:val="-20"/>
                <w:sz w:val="24"/>
                <w:szCs w:val="24"/>
              </w:rPr>
              <w:t>★</w:t>
            </w:r>
          </w:p>
        </w:tc>
        <w:tc>
          <w:tcPr>
            <w:tcW w:w="271" w:type="pct"/>
            <w:vAlign w:val="center"/>
          </w:tcPr>
          <w:p w14:paraId="14048DDB">
            <w:pPr>
              <w:pStyle w:val="47"/>
              <w:snapToGrid w:val="0"/>
              <w:spacing w:line="30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4A54AB29">
            <w:pPr>
              <w:pStyle w:val="47"/>
              <w:snapToGrid w:val="0"/>
              <w:spacing w:line="300" w:lineRule="exact"/>
              <w:jc w:val="center"/>
              <w:rPr>
                <w:rFonts w:cs="Times New Roman"/>
                <w:spacing w:val="-20"/>
                <w:sz w:val="24"/>
                <w:szCs w:val="24"/>
              </w:rPr>
            </w:pPr>
            <w:r>
              <w:rPr>
                <w:rFonts w:cs="Times New Roman"/>
                <w:spacing w:val="-20"/>
                <w:sz w:val="24"/>
                <w:szCs w:val="24"/>
              </w:rPr>
              <w:t>各相关部门</w:t>
            </w:r>
          </w:p>
        </w:tc>
        <w:tc>
          <w:tcPr>
            <w:tcW w:w="527" w:type="pct"/>
            <w:shd w:val="clear" w:color="auto" w:fill="auto"/>
            <w:vAlign w:val="center"/>
          </w:tcPr>
          <w:p w14:paraId="6D8330DB">
            <w:pPr>
              <w:pStyle w:val="47"/>
              <w:snapToGrid w:val="0"/>
              <w:spacing w:line="300" w:lineRule="exact"/>
              <w:jc w:val="center"/>
              <w:rPr>
                <w:rFonts w:cs="Times New Roman"/>
                <w:spacing w:val="-20"/>
                <w:sz w:val="24"/>
                <w:szCs w:val="24"/>
              </w:rPr>
            </w:pPr>
            <w:r>
              <w:rPr>
                <w:rFonts w:cs="Times New Roman"/>
                <w:spacing w:val="-20"/>
                <w:sz w:val="24"/>
                <w:szCs w:val="24"/>
              </w:rPr>
              <w:t>部分建成</w:t>
            </w:r>
          </w:p>
        </w:tc>
        <w:tc>
          <w:tcPr>
            <w:tcW w:w="548" w:type="pct"/>
            <w:shd w:val="clear" w:color="auto" w:fill="auto"/>
            <w:vAlign w:val="center"/>
          </w:tcPr>
          <w:p w14:paraId="129FA830">
            <w:pPr>
              <w:pStyle w:val="47"/>
              <w:snapToGrid w:val="0"/>
              <w:spacing w:line="300" w:lineRule="exact"/>
              <w:jc w:val="center"/>
              <w:rPr>
                <w:rFonts w:cs="Times New Roman"/>
                <w:spacing w:val="-20"/>
                <w:sz w:val="24"/>
                <w:szCs w:val="24"/>
              </w:rPr>
            </w:pPr>
            <w:r>
              <w:rPr>
                <w:rFonts w:cs="Times New Roman"/>
                <w:spacing w:val="-20"/>
                <w:sz w:val="24"/>
                <w:szCs w:val="24"/>
              </w:rPr>
              <w:t>基本建成</w:t>
            </w:r>
          </w:p>
        </w:tc>
      </w:tr>
      <w:tr w14:paraId="1D40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1795B545">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5940F556">
            <w:pPr>
              <w:pStyle w:val="47"/>
              <w:snapToGrid w:val="0"/>
              <w:spacing w:line="360" w:lineRule="exact"/>
              <w:jc w:val="center"/>
              <w:rPr>
                <w:rFonts w:cs="Times New Roman"/>
                <w:spacing w:val="-20"/>
                <w:sz w:val="24"/>
                <w:szCs w:val="24"/>
              </w:rPr>
            </w:pPr>
          </w:p>
        </w:tc>
        <w:tc>
          <w:tcPr>
            <w:tcW w:w="490" w:type="pct"/>
            <w:vMerge w:val="continue"/>
            <w:vAlign w:val="center"/>
          </w:tcPr>
          <w:p w14:paraId="2B919529">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2C1C1EB8">
            <w:pPr>
              <w:pStyle w:val="47"/>
              <w:snapToGrid w:val="0"/>
              <w:spacing w:line="300" w:lineRule="exact"/>
              <w:jc w:val="center"/>
              <w:rPr>
                <w:rFonts w:cs="Times New Roman"/>
                <w:spacing w:val="-20"/>
                <w:sz w:val="24"/>
                <w:szCs w:val="24"/>
              </w:rPr>
            </w:pPr>
            <w:r>
              <w:rPr>
                <w:rFonts w:cs="Times New Roman"/>
                <w:spacing w:val="-20"/>
                <w:sz w:val="24"/>
                <w:szCs w:val="24"/>
              </w:rPr>
              <w:t>固体废物环境污染刑事案件立案率</w:t>
            </w:r>
            <w:r>
              <w:rPr>
                <w:rFonts w:ascii="Segoe UI Symbol" w:hAnsi="Segoe UI Symbol" w:cs="Segoe UI Symbol"/>
                <w:spacing w:val="-20"/>
                <w:sz w:val="24"/>
                <w:szCs w:val="24"/>
              </w:rPr>
              <w:t>★</w:t>
            </w:r>
          </w:p>
        </w:tc>
        <w:tc>
          <w:tcPr>
            <w:tcW w:w="271" w:type="pct"/>
            <w:vAlign w:val="center"/>
          </w:tcPr>
          <w:p w14:paraId="46626D2A">
            <w:pPr>
              <w:pStyle w:val="47"/>
              <w:snapToGrid w:val="0"/>
              <w:spacing w:line="30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5A38EAB5">
            <w:pPr>
              <w:pStyle w:val="47"/>
              <w:snapToGrid w:val="0"/>
              <w:spacing w:line="300" w:lineRule="exact"/>
              <w:jc w:val="center"/>
              <w:rPr>
                <w:rFonts w:cs="Times New Roman"/>
                <w:spacing w:val="-20"/>
                <w:sz w:val="24"/>
                <w:szCs w:val="24"/>
              </w:rPr>
            </w:pPr>
            <w:r>
              <w:rPr>
                <w:rFonts w:cs="Times New Roman"/>
                <w:spacing w:val="-20"/>
                <w:sz w:val="24"/>
                <w:szCs w:val="24"/>
              </w:rPr>
              <w:t>公安玄武分局</w:t>
            </w:r>
          </w:p>
          <w:p w14:paraId="1B51ADE1">
            <w:pPr>
              <w:pStyle w:val="47"/>
              <w:snapToGrid w:val="0"/>
              <w:spacing w:line="30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180D3B2A">
            <w:pPr>
              <w:pStyle w:val="47"/>
              <w:snapToGrid w:val="0"/>
              <w:spacing w:line="300" w:lineRule="exact"/>
              <w:jc w:val="center"/>
              <w:rPr>
                <w:rFonts w:cs="Times New Roman"/>
                <w:spacing w:val="-20"/>
                <w:sz w:val="24"/>
                <w:szCs w:val="24"/>
              </w:rPr>
            </w:pPr>
            <w:r>
              <w:rPr>
                <w:rFonts w:cs="Times New Roman"/>
                <w:spacing w:val="-20"/>
                <w:sz w:val="24"/>
                <w:szCs w:val="24"/>
              </w:rPr>
              <w:t>/</w:t>
            </w:r>
          </w:p>
        </w:tc>
        <w:tc>
          <w:tcPr>
            <w:tcW w:w="548" w:type="pct"/>
            <w:shd w:val="clear" w:color="auto" w:fill="auto"/>
            <w:vAlign w:val="center"/>
          </w:tcPr>
          <w:p w14:paraId="679F4FD7">
            <w:pPr>
              <w:pStyle w:val="47"/>
              <w:snapToGrid w:val="0"/>
              <w:spacing w:line="300" w:lineRule="exact"/>
              <w:jc w:val="center"/>
              <w:rPr>
                <w:rFonts w:cs="Times New Roman"/>
                <w:spacing w:val="-20"/>
                <w:sz w:val="24"/>
                <w:szCs w:val="24"/>
              </w:rPr>
            </w:pPr>
            <w:r>
              <w:rPr>
                <w:rFonts w:cs="Times New Roman"/>
                <w:spacing w:val="-20"/>
                <w:sz w:val="24"/>
                <w:szCs w:val="24"/>
              </w:rPr>
              <w:t>100</w:t>
            </w:r>
          </w:p>
        </w:tc>
      </w:tr>
      <w:tr w14:paraId="2B16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26F19162">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6CF3CDEC">
            <w:pPr>
              <w:pStyle w:val="47"/>
              <w:snapToGrid w:val="0"/>
              <w:spacing w:line="360" w:lineRule="exact"/>
              <w:jc w:val="center"/>
              <w:rPr>
                <w:rFonts w:cs="Times New Roman"/>
                <w:spacing w:val="-20"/>
                <w:sz w:val="24"/>
                <w:szCs w:val="24"/>
              </w:rPr>
            </w:pPr>
          </w:p>
        </w:tc>
        <w:tc>
          <w:tcPr>
            <w:tcW w:w="490" w:type="pct"/>
            <w:vMerge w:val="continue"/>
            <w:vAlign w:val="center"/>
          </w:tcPr>
          <w:p w14:paraId="60473BCD">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019D55AD">
            <w:pPr>
              <w:pStyle w:val="47"/>
              <w:snapToGrid w:val="0"/>
              <w:spacing w:line="300" w:lineRule="exact"/>
              <w:jc w:val="center"/>
              <w:rPr>
                <w:rFonts w:cs="Times New Roman"/>
                <w:spacing w:val="-20"/>
                <w:sz w:val="24"/>
                <w:szCs w:val="24"/>
              </w:rPr>
            </w:pPr>
            <w:bookmarkStart w:id="105" w:name="_Hlk129181942"/>
            <w:r>
              <w:rPr>
                <w:rFonts w:cs="Times New Roman"/>
                <w:spacing w:val="-20"/>
                <w:sz w:val="24"/>
                <w:szCs w:val="24"/>
              </w:rPr>
              <w:t>危险废物规范化管理抽查合格率</w:t>
            </w:r>
            <w:bookmarkEnd w:id="105"/>
            <w:r>
              <w:rPr>
                <w:rFonts w:ascii="Segoe UI Symbol" w:hAnsi="Segoe UI Symbol" w:cs="Segoe UI Symbol"/>
                <w:spacing w:val="-20"/>
                <w:sz w:val="24"/>
                <w:szCs w:val="24"/>
              </w:rPr>
              <w:t>☆</w:t>
            </w:r>
          </w:p>
        </w:tc>
        <w:tc>
          <w:tcPr>
            <w:tcW w:w="271" w:type="pct"/>
            <w:vAlign w:val="center"/>
          </w:tcPr>
          <w:p w14:paraId="0A70CD15">
            <w:pPr>
              <w:pStyle w:val="47"/>
              <w:snapToGrid w:val="0"/>
              <w:spacing w:line="300" w:lineRule="exact"/>
              <w:jc w:val="center"/>
              <w:rPr>
                <w:rFonts w:cs="Times New Roman"/>
                <w:spacing w:val="-20"/>
                <w:sz w:val="24"/>
                <w:szCs w:val="24"/>
              </w:rPr>
            </w:pPr>
            <w:r>
              <w:rPr>
                <w:rFonts w:eastAsia="等线" w:cs="Times New Roman"/>
                <w:spacing w:val="-20"/>
                <w:sz w:val="24"/>
                <w:szCs w:val="24"/>
              </w:rPr>
              <w:t>%</w:t>
            </w:r>
          </w:p>
        </w:tc>
        <w:tc>
          <w:tcPr>
            <w:tcW w:w="933" w:type="pct"/>
            <w:shd w:val="clear" w:color="auto" w:fill="auto"/>
            <w:vAlign w:val="center"/>
          </w:tcPr>
          <w:p w14:paraId="52449334">
            <w:pPr>
              <w:pStyle w:val="47"/>
              <w:snapToGrid w:val="0"/>
              <w:spacing w:line="30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341F4DA6">
            <w:pPr>
              <w:pStyle w:val="47"/>
              <w:snapToGrid w:val="0"/>
              <w:spacing w:line="300" w:lineRule="exact"/>
              <w:jc w:val="center"/>
              <w:rPr>
                <w:rFonts w:cs="Times New Roman"/>
                <w:spacing w:val="-20"/>
                <w:sz w:val="24"/>
                <w:szCs w:val="24"/>
              </w:rPr>
            </w:pPr>
            <w:r>
              <w:rPr>
                <w:rFonts w:eastAsia="等线" w:cs="Times New Roman"/>
                <w:spacing w:val="-20"/>
                <w:sz w:val="24"/>
                <w:szCs w:val="24"/>
              </w:rPr>
              <w:t>90</w:t>
            </w:r>
          </w:p>
        </w:tc>
        <w:tc>
          <w:tcPr>
            <w:tcW w:w="548" w:type="pct"/>
            <w:shd w:val="clear" w:color="auto" w:fill="auto"/>
            <w:vAlign w:val="center"/>
          </w:tcPr>
          <w:p w14:paraId="37F328BA">
            <w:pPr>
              <w:pStyle w:val="47"/>
              <w:snapToGrid w:val="0"/>
              <w:spacing w:line="300" w:lineRule="exact"/>
              <w:jc w:val="center"/>
              <w:rPr>
                <w:rFonts w:cs="Times New Roman"/>
                <w:spacing w:val="-20"/>
                <w:sz w:val="24"/>
                <w:szCs w:val="24"/>
              </w:rPr>
            </w:pPr>
            <w:r>
              <w:rPr>
                <w:rFonts w:eastAsia="等线" w:cs="Times New Roman"/>
                <w:spacing w:val="-20"/>
                <w:sz w:val="24"/>
                <w:szCs w:val="24"/>
              </w:rPr>
              <w:t>95</w:t>
            </w:r>
          </w:p>
        </w:tc>
      </w:tr>
      <w:tr w14:paraId="7E14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4973F480">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6ECB2A14">
            <w:pPr>
              <w:pStyle w:val="47"/>
              <w:snapToGrid w:val="0"/>
              <w:spacing w:line="360" w:lineRule="exact"/>
              <w:jc w:val="center"/>
              <w:rPr>
                <w:rFonts w:cs="Times New Roman"/>
                <w:spacing w:val="-20"/>
                <w:sz w:val="24"/>
                <w:szCs w:val="24"/>
              </w:rPr>
            </w:pPr>
          </w:p>
        </w:tc>
        <w:tc>
          <w:tcPr>
            <w:tcW w:w="490" w:type="pct"/>
            <w:vMerge w:val="continue"/>
            <w:vAlign w:val="center"/>
          </w:tcPr>
          <w:p w14:paraId="2261DCA8">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17C87D12">
            <w:pPr>
              <w:pStyle w:val="47"/>
              <w:snapToGrid w:val="0"/>
              <w:spacing w:line="300" w:lineRule="exact"/>
              <w:jc w:val="center"/>
              <w:rPr>
                <w:rFonts w:cs="Times New Roman"/>
                <w:spacing w:val="-20"/>
                <w:sz w:val="24"/>
                <w:szCs w:val="24"/>
              </w:rPr>
            </w:pPr>
            <w:r>
              <w:rPr>
                <w:rFonts w:cs="Times New Roman"/>
                <w:spacing w:val="1"/>
                <w:w w:val="90"/>
                <w:kern w:val="0"/>
                <w:sz w:val="24"/>
                <w:szCs w:val="24"/>
                <w:fitText w:val="4080" w:id="279920509"/>
              </w:rPr>
              <w:t>涉固体废物信访、投诉、举报案件办结率</w:t>
            </w:r>
            <w:r>
              <w:rPr>
                <w:rFonts w:ascii="Segoe UI Symbol" w:hAnsi="Segoe UI Symbol" w:cs="Segoe UI Symbol"/>
                <w:spacing w:val="0"/>
                <w:w w:val="90"/>
                <w:kern w:val="0"/>
                <w:sz w:val="24"/>
                <w:szCs w:val="24"/>
                <w:fitText w:val="4080" w:id="279920509"/>
              </w:rPr>
              <w:t>☆</w:t>
            </w:r>
          </w:p>
        </w:tc>
        <w:tc>
          <w:tcPr>
            <w:tcW w:w="271" w:type="pct"/>
            <w:vAlign w:val="center"/>
          </w:tcPr>
          <w:p w14:paraId="3F209821">
            <w:pPr>
              <w:pStyle w:val="47"/>
              <w:snapToGrid w:val="0"/>
              <w:spacing w:line="300" w:lineRule="exact"/>
              <w:jc w:val="center"/>
              <w:rPr>
                <w:rFonts w:cs="Times New Roman"/>
                <w:spacing w:val="-20"/>
                <w:sz w:val="24"/>
                <w:szCs w:val="24"/>
              </w:rPr>
            </w:pPr>
            <w:r>
              <w:rPr>
                <w:rFonts w:eastAsia="等线" w:cs="Times New Roman"/>
                <w:spacing w:val="-20"/>
                <w:sz w:val="24"/>
                <w:szCs w:val="24"/>
              </w:rPr>
              <w:t>%</w:t>
            </w:r>
          </w:p>
        </w:tc>
        <w:tc>
          <w:tcPr>
            <w:tcW w:w="933" w:type="pct"/>
            <w:shd w:val="clear" w:color="auto" w:fill="auto"/>
            <w:vAlign w:val="center"/>
          </w:tcPr>
          <w:p w14:paraId="1032F074">
            <w:pPr>
              <w:pStyle w:val="47"/>
              <w:snapToGrid w:val="0"/>
              <w:spacing w:line="30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3867161C">
            <w:pPr>
              <w:pStyle w:val="47"/>
              <w:snapToGrid w:val="0"/>
              <w:spacing w:line="300" w:lineRule="exact"/>
              <w:jc w:val="center"/>
              <w:rPr>
                <w:rFonts w:cs="Times New Roman"/>
                <w:spacing w:val="-20"/>
                <w:sz w:val="24"/>
                <w:szCs w:val="24"/>
              </w:rPr>
            </w:pPr>
            <w:r>
              <w:rPr>
                <w:rFonts w:eastAsia="等线" w:cs="Times New Roman"/>
                <w:spacing w:val="-20"/>
                <w:sz w:val="24"/>
                <w:szCs w:val="24"/>
              </w:rPr>
              <w:t>100</w:t>
            </w:r>
          </w:p>
        </w:tc>
        <w:tc>
          <w:tcPr>
            <w:tcW w:w="548" w:type="pct"/>
            <w:shd w:val="clear" w:color="auto" w:fill="auto"/>
            <w:vAlign w:val="center"/>
          </w:tcPr>
          <w:p w14:paraId="21F2531F">
            <w:pPr>
              <w:pStyle w:val="47"/>
              <w:snapToGrid w:val="0"/>
              <w:spacing w:line="300" w:lineRule="exact"/>
              <w:jc w:val="center"/>
              <w:rPr>
                <w:rFonts w:cs="Times New Roman"/>
                <w:spacing w:val="-20"/>
                <w:sz w:val="24"/>
                <w:szCs w:val="24"/>
              </w:rPr>
            </w:pPr>
            <w:r>
              <w:rPr>
                <w:rFonts w:eastAsia="等线" w:cs="Times New Roman"/>
                <w:spacing w:val="-20"/>
                <w:sz w:val="24"/>
                <w:szCs w:val="24"/>
              </w:rPr>
              <w:t>100</w:t>
            </w:r>
          </w:p>
        </w:tc>
      </w:tr>
      <w:tr w14:paraId="3735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4872115B">
            <w:pPr>
              <w:pStyle w:val="47"/>
              <w:numPr>
                <w:ilvl w:val="0"/>
                <w:numId w:val="15"/>
              </w:numPr>
              <w:snapToGrid w:val="0"/>
              <w:spacing w:line="400" w:lineRule="exact"/>
              <w:jc w:val="center"/>
              <w:rPr>
                <w:rFonts w:cs="Times New Roman"/>
                <w:spacing w:val="-20"/>
                <w:sz w:val="24"/>
                <w:szCs w:val="24"/>
              </w:rPr>
            </w:pPr>
          </w:p>
        </w:tc>
        <w:tc>
          <w:tcPr>
            <w:tcW w:w="434" w:type="pct"/>
            <w:vMerge w:val="continue"/>
            <w:vAlign w:val="center"/>
          </w:tcPr>
          <w:p w14:paraId="6B313351">
            <w:pPr>
              <w:pStyle w:val="47"/>
              <w:snapToGrid w:val="0"/>
              <w:spacing w:line="360" w:lineRule="exact"/>
              <w:jc w:val="center"/>
              <w:rPr>
                <w:rFonts w:cs="Times New Roman"/>
                <w:spacing w:val="-20"/>
                <w:sz w:val="24"/>
                <w:szCs w:val="24"/>
              </w:rPr>
            </w:pPr>
          </w:p>
        </w:tc>
        <w:tc>
          <w:tcPr>
            <w:tcW w:w="490" w:type="pct"/>
            <w:vMerge w:val="continue"/>
            <w:vAlign w:val="center"/>
          </w:tcPr>
          <w:p w14:paraId="7FA9356E">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58B91D02">
            <w:pPr>
              <w:pStyle w:val="47"/>
              <w:snapToGrid w:val="0"/>
              <w:spacing w:line="300" w:lineRule="exact"/>
              <w:jc w:val="center"/>
              <w:rPr>
                <w:rFonts w:cs="Times New Roman"/>
                <w:spacing w:val="-20"/>
                <w:sz w:val="24"/>
                <w:szCs w:val="24"/>
              </w:rPr>
            </w:pPr>
            <w:r>
              <w:rPr>
                <w:rFonts w:cs="Times New Roman"/>
                <w:spacing w:val="-20"/>
                <w:sz w:val="24"/>
                <w:szCs w:val="24"/>
              </w:rPr>
              <w:t>固体废物环境污染案件开展生态环境损害赔偿工作的覆盖率</w:t>
            </w:r>
            <w:r>
              <w:rPr>
                <w:rFonts w:ascii="Segoe UI Symbol" w:hAnsi="Segoe UI Symbol" w:cs="Segoe UI Symbol"/>
                <w:spacing w:val="-20"/>
                <w:sz w:val="24"/>
                <w:szCs w:val="24"/>
              </w:rPr>
              <w:t>☆</w:t>
            </w:r>
          </w:p>
        </w:tc>
        <w:tc>
          <w:tcPr>
            <w:tcW w:w="271" w:type="pct"/>
            <w:vAlign w:val="center"/>
          </w:tcPr>
          <w:p w14:paraId="306C0AB2">
            <w:pPr>
              <w:pStyle w:val="47"/>
              <w:snapToGrid w:val="0"/>
              <w:spacing w:line="30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086E5268">
            <w:pPr>
              <w:pStyle w:val="47"/>
              <w:snapToGrid w:val="0"/>
              <w:spacing w:line="300" w:lineRule="exact"/>
              <w:jc w:val="center"/>
              <w:rPr>
                <w:rFonts w:cs="Times New Roman"/>
                <w:spacing w:val="-20"/>
                <w:sz w:val="24"/>
                <w:szCs w:val="24"/>
              </w:rPr>
            </w:pPr>
            <w:r>
              <w:rPr>
                <w:rFonts w:cs="Times New Roman"/>
                <w:spacing w:val="-20"/>
                <w:sz w:val="24"/>
                <w:szCs w:val="24"/>
              </w:rPr>
              <w:t>玄武生态环境局</w:t>
            </w:r>
          </w:p>
        </w:tc>
        <w:tc>
          <w:tcPr>
            <w:tcW w:w="527" w:type="pct"/>
            <w:shd w:val="clear" w:color="auto" w:fill="auto"/>
            <w:vAlign w:val="center"/>
          </w:tcPr>
          <w:p w14:paraId="2A75871F">
            <w:pPr>
              <w:pStyle w:val="47"/>
              <w:snapToGrid w:val="0"/>
              <w:spacing w:line="300" w:lineRule="exact"/>
              <w:jc w:val="center"/>
              <w:rPr>
                <w:rFonts w:cs="Times New Roman"/>
                <w:spacing w:val="-20"/>
                <w:sz w:val="24"/>
                <w:szCs w:val="24"/>
              </w:rPr>
            </w:pPr>
            <w:r>
              <w:rPr>
                <w:rFonts w:eastAsia="等线" w:cs="Times New Roman"/>
                <w:spacing w:val="-20"/>
                <w:sz w:val="24"/>
                <w:szCs w:val="24"/>
              </w:rPr>
              <w:t>/</w:t>
            </w:r>
          </w:p>
        </w:tc>
        <w:tc>
          <w:tcPr>
            <w:tcW w:w="548" w:type="pct"/>
            <w:shd w:val="clear" w:color="auto" w:fill="auto"/>
            <w:vAlign w:val="center"/>
          </w:tcPr>
          <w:p w14:paraId="4D077F7A">
            <w:pPr>
              <w:pStyle w:val="47"/>
              <w:snapToGrid w:val="0"/>
              <w:spacing w:line="300" w:lineRule="exact"/>
              <w:jc w:val="center"/>
              <w:rPr>
                <w:rFonts w:cs="Times New Roman"/>
                <w:spacing w:val="-20"/>
                <w:sz w:val="24"/>
                <w:szCs w:val="24"/>
              </w:rPr>
            </w:pPr>
            <w:r>
              <w:rPr>
                <w:rFonts w:cs="Times New Roman"/>
                <w:spacing w:val="-20"/>
                <w:sz w:val="24"/>
                <w:szCs w:val="24"/>
              </w:rPr>
              <w:t>100</w:t>
            </w:r>
          </w:p>
        </w:tc>
      </w:tr>
      <w:bookmarkEnd w:id="104"/>
      <w:tr w14:paraId="1C9F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0063A717">
            <w:pPr>
              <w:pStyle w:val="47"/>
              <w:numPr>
                <w:ilvl w:val="0"/>
                <w:numId w:val="15"/>
              </w:numPr>
              <w:snapToGrid w:val="0"/>
              <w:spacing w:line="400" w:lineRule="exact"/>
              <w:jc w:val="center"/>
              <w:rPr>
                <w:rFonts w:cs="Times New Roman"/>
                <w:spacing w:val="-20"/>
                <w:sz w:val="24"/>
                <w:szCs w:val="24"/>
              </w:rPr>
            </w:pPr>
          </w:p>
        </w:tc>
        <w:tc>
          <w:tcPr>
            <w:tcW w:w="434" w:type="pct"/>
            <w:vMerge w:val="restart"/>
            <w:shd w:val="clear" w:color="auto" w:fill="auto"/>
            <w:vAlign w:val="center"/>
          </w:tcPr>
          <w:p w14:paraId="27276047">
            <w:pPr>
              <w:pStyle w:val="47"/>
              <w:snapToGrid w:val="0"/>
              <w:spacing w:line="360" w:lineRule="exact"/>
              <w:jc w:val="center"/>
              <w:rPr>
                <w:rFonts w:cs="Times New Roman"/>
                <w:spacing w:val="-20"/>
                <w:sz w:val="24"/>
                <w:szCs w:val="24"/>
              </w:rPr>
            </w:pPr>
            <w:r>
              <w:rPr>
                <w:rFonts w:cs="Times New Roman"/>
                <w:spacing w:val="-20"/>
                <w:sz w:val="24"/>
                <w:szCs w:val="24"/>
              </w:rPr>
              <w:t>群众</w:t>
            </w:r>
          </w:p>
          <w:p w14:paraId="4EE03700">
            <w:pPr>
              <w:pStyle w:val="47"/>
              <w:snapToGrid w:val="0"/>
              <w:spacing w:line="360" w:lineRule="exact"/>
              <w:jc w:val="center"/>
              <w:rPr>
                <w:rFonts w:cs="Times New Roman"/>
                <w:spacing w:val="-20"/>
                <w:sz w:val="24"/>
                <w:szCs w:val="24"/>
              </w:rPr>
            </w:pPr>
            <w:r>
              <w:rPr>
                <w:rFonts w:cs="Times New Roman"/>
                <w:spacing w:val="-20"/>
                <w:sz w:val="24"/>
                <w:szCs w:val="24"/>
              </w:rPr>
              <w:t>获得感</w:t>
            </w:r>
          </w:p>
        </w:tc>
        <w:tc>
          <w:tcPr>
            <w:tcW w:w="490" w:type="pct"/>
            <w:vMerge w:val="restart"/>
            <w:shd w:val="clear" w:color="auto" w:fill="auto"/>
            <w:vAlign w:val="center"/>
          </w:tcPr>
          <w:p w14:paraId="52E43040">
            <w:pPr>
              <w:pStyle w:val="47"/>
              <w:snapToGrid w:val="0"/>
              <w:spacing w:line="360" w:lineRule="exact"/>
              <w:jc w:val="center"/>
              <w:rPr>
                <w:rFonts w:cs="Times New Roman"/>
                <w:spacing w:val="-20"/>
                <w:sz w:val="24"/>
                <w:szCs w:val="24"/>
              </w:rPr>
            </w:pPr>
            <w:r>
              <w:rPr>
                <w:rFonts w:cs="Times New Roman"/>
                <w:spacing w:val="-20"/>
                <w:sz w:val="24"/>
                <w:szCs w:val="24"/>
              </w:rPr>
              <w:t>群众</w:t>
            </w:r>
          </w:p>
          <w:p w14:paraId="1C5B4EB7">
            <w:pPr>
              <w:pStyle w:val="47"/>
              <w:snapToGrid w:val="0"/>
              <w:spacing w:line="360" w:lineRule="exact"/>
              <w:jc w:val="center"/>
              <w:rPr>
                <w:rFonts w:cs="Times New Roman"/>
                <w:spacing w:val="-20"/>
                <w:sz w:val="24"/>
                <w:szCs w:val="24"/>
              </w:rPr>
            </w:pPr>
            <w:r>
              <w:rPr>
                <w:rFonts w:cs="Times New Roman"/>
                <w:spacing w:val="-20"/>
                <w:sz w:val="24"/>
                <w:szCs w:val="24"/>
              </w:rPr>
              <w:t>获得感</w:t>
            </w:r>
          </w:p>
        </w:tc>
        <w:tc>
          <w:tcPr>
            <w:tcW w:w="1524" w:type="pct"/>
            <w:shd w:val="clear" w:color="auto" w:fill="auto"/>
            <w:vAlign w:val="center"/>
          </w:tcPr>
          <w:p w14:paraId="60ADFD13">
            <w:pPr>
              <w:pStyle w:val="47"/>
              <w:snapToGrid w:val="0"/>
              <w:spacing w:line="300" w:lineRule="exact"/>
              <w:jc w:val="center"/>
              <w:rPr>
                <w:rFonts w:cs="Times New Roman"/>
                <w:spacing w:val="-20"/>
                <w:sz w:val="24"/>
                <w:szCs w:val="24"/>
              </w:rPr>
            </w:pPr>
            <w:r>
              <w:rPr>
                <w:rFonts w:cs="Times New Roman"/>
                <w:spacing w:val="1"/>
                <w:w w:val="90"/>
                <w:kern w:val="0"/>
                <w:sz w:val="24"/>
                <w:szCs w:val="24"/>
                <w:fitText w:val="4080" w:id="16534056"/>
              </w:rPr>
              <w:t>公众对</w:t>
            </w:r>
            <w:r>
              <w:rPr>
                <w:rFonts w:hint="eastAsia" w:cs="Times New Roman"/>
                <w:spacing w:val="1"/>
                <w:w w:val="90"/>
                <w:kern w:val="0"/>
                <w:sz w:val="24"/>
                <w:szCs w:val="24"/>
                <w:fitText w:val="4080" w:id="16534056"/>
              </w:rPr>
              <w:t>“</w:t>
            </w:r>
            <w:r>
              <w:rPr>
                <w:rFonts w:cs="Times New Roman"/>
                <w:spacing w:val="1"/>
                <w:w w:val="90"/>
                <w:kern w:val="0"/>
                <w:sz w:val="24"/>
                <w:szCs w:val="24"/>
                <w:fitText w:val="4080" w:id="16534056"/>
              </w:rPr>
              <w:t>无废城市</w:t>
            </w:r>
            <w:r>
              <w:rPr>
                <w:rFonts w:hint="eastAsia" w:cs="Times New Roman"/>
                <w:spacing w:val="1"/>
                <w:w w:val="90"/>
                <w:kern w:val="0"/>
                <w:sz w:val="24"/>
                <w:szCs w:val="24"/>
                <w:fitText w:val="4080" w:id="16534056"/>
              </w:rPr>
              <w:t>”</w:t>
            </w:r>
            <w:r>
              <w:rPr>
                <w:rFonts w:cs="Times New Roman"/>
                <w:spacing w:val="1"/>
                <w:w w:val="90"/>
                <w:kern w:val="0"/>
                <w:sz w:val="24"/>
                <w:szCs w:val="24"/>
                <w:fitText w:val="4080" w:id="16534056"/>
              </w:rPr>
              <w:t>建设成效的满意程度</w:t>
            </w:r>
            <w:r>
              <w:rPr>
                <w:rFonts w:ascii="Segoe UI Symbol" w:hAnsi="Segoe UI Symbol" w:cs="Segoe UI Symbol"/>
                <w:spacing w:val="0"/>
                <w:w w:val="90"/>
                <w:kern w:val="0"/>
                <w:sz w:val="24"/>
                <w:szCs w:val="24"/>
                <w:fitText w:val="4080" w:id="16534056"/>
              </w:rPr>
              <w:t>★</w:t>
            </w:r>
          </w:p>
        </w:tc>
        <w:tc>
          <w:tcPr>
            <w:tcW w:w="271" w:type="pct"/>
            <w:vAlign w:val="center"/>
          </w:tcPr>
          <w:p w14:paraId="220CDDDE">
            <w:pPr>
              <w:pStyle w:val="47"/>
              <w:snapToGrid w:val="0"/>
              <w:spacing w:line="300" w:lineRule="exact"/>
              <w:jc w:val="center"/>
              <w:rPr>
                <w:rFonts w:cs="Times New Roman"/>
                <w:spacing w:val="-20"/>
                <w:sz w:val="24"/>
                <w:szCs w:val="24"/>
              </w:rPr>
            </w:pPr>
            <w:r>
              <w:rPr>
                <w:rFonts w:cs="Times New Roman"/>
                <w:spacing w:val="-20"/>
                <w:sz w:val="24"/>
                <w:szCs w:val="24"/>
              </w:rPr>
              <w:t>%</w:t>
            </w:r>
          </w:p>
        </w:tc>
        <w:tc>
          <w:tcPr>
            <w:tcW w:w="933" w:type="pct"/>
            <w:shd w:val="clear" w:color="auto" w:fill="auto"/>
            <w:vAlign w:val="center"/>
          </w:tcPr>
          <w:p w14:paraId="5DC5E7E8">
            <w:pPr>
              <w:pStyle w:val="47"/>
              <w:snapToGrid w:val="0"/>
              <w:spacing w:line="300" w:lineRule="exact"/>
              <w:jc w:val="center"/>
              <w:rPr>
                <w:rFonts w:cs="Times New Roman"/>
                <w:spacing w:val="-20"/>
                <w:sz w:val="24"/>
                <w:szCs w:val="24"/>
              </w:rPr>
            </w:pPr>
            <w:r>
              <w:rPr>
                <w:rFonts w:cs="Times New Roman"/>
                <w:sz w:val="24"/>
                <w:szCs w:val="24"/>
              </w:rPr>
              <w:t>区攻坚办无废工作组</w:t>
            </w:r>
          </w:p>
        </w:tc>
        <w:tc>
          <w:tcPr>
            <w:tcW w:w="527" w:type="pct"/>
            <w:shd w:val="clear" w:color="auto" w:fill="auto"/>
            <w:vAlign w:val="center"/>
          </w:tcPr>
          <w:p w14:paraId="5078B4C5">
            <w:pPr>
              <w:pStyle w:val="47"/>
              <w:snapToGrid w:val="0"/>
              <w:spacing w:line="300" w:lineRule="exact"/>
              <w:jc w:val="center"/>
              <w:rPr>
                <w:rFonts w:cs="Times New Roman"/>
                <w:spacing w:val="-20"/>
                <w:sz w:val="24"/>
                <w:szCs w:val="24"/>
              </w:rPr>
            </w:pPr>
            <w:r>
              <w:rPr>
                <w:rFonts w:cs="Times New Roman"/>
                <w:spacing w:val="-20"/>
                <w:sz w:val="24"/>
                <w:szCs w:val="24"/>
              </w:rPr>
              <w:t>/</w:t>
            </w:r>
          </w:p>
        </w:tc>
        <w:tc>
          <w:tcPr>
            <w:tcW w:w="548" w:type="pct"/>
            <w:shd w:val="clear" w:color="auto" w:fill="auto"/>
            <w:vAlign w:val="center"/>
          </w:tcPr>
          <w:p w14:paraId="50D6D329">
            <w:pPr>
              <w:pStyle w:val="47"/>
              <w:snapToGrid w:val="0"/>
              <w:spacing w:line="300" w:lineRule="exact"/>
              <w:jc w:val="center"/>
              <w:rPr>
                <w:rFonts w:cs="Times New Roman"/>
                <w:spacing w:val="-20"/>
                <w:sz w:val="24"/>
                <w:szCs w:val="24"/>
              </w:rPr>
            </w:pPr>
            <w:r>
              <w:rPr>
                <w:rFonts w:cs="Times New Roman"/>
                <w:spacing w:val="-20"/>
                <w:sz w:val="24"/>
                <w:szCs w:val="24"/>
              </w:rPr>
              <w:t>90</w:t>
            </w:r>
          </w:p>
        </w:tc>
      </w:tr>
      <w:tr w14:paraId="6B21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2BAD9170">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7F86E955">
            <w:pPr>
              <w:pStyle w:val="47"/>
              <w:snapToGrid w:val="0"/>
              <w:spacing w:line="360" w:lineRule="exact"/>
              <w:jc w:val="center"/>
              <w:rPr>
                <w:rFonts w:cs="Times New Roman"/>
                <w:spacing w:val="-20"/>
                <w:sz w:val="24"/>
                <w:szCs w:val="24"/>
              </w:rPr>
            </w:pPr>
          </w:p>
        </w:tc>
        <w:tc>
          <w:tcPr>
            <w:tcW w:w="490" w:type="pct"/>
            <w:vMerge w:val="continue"/>
            <w:shd w:val="clear" w:color="auto" w:fill="auto"/>
            <w:vAlign w:val="center"/>
          </w:tcPr>
          <w:p w14:paraId="07B322EC">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7A21FB1B">
            <w:pPr>
              <w:pStyle w:val="47"/>
              <w:snapToGrid w:val="0"/>
              <w:spacing w:line="300" w:lineRule="exact"/>
              <w:jc w:val="center"/>
              <w:rPr>
                <w:rFonts w:cs="Times New Roman"/>
                <w:spacing w:val="-20"/>
                <w:sz w:val="24"/>
                <w:szCs w:val="24"/>
              </w:rPr>
            </w:pPr>
            <w:r>
              <w:rPr>
                <w:rFonts w:hint="eastAsia" w:ascii="方正仿宋_GBK" w:cs="Times New Roman"/>
                <w:spacing w:val="-20"/>
                <w:sz w:val="24"/>
                <w:szCs w:val="24"/>
              </w:rPr>
              <w:t>“</w:t>
            </w:r>
            <w:r>
              <w:rPr>
                <w:rFonts w:cs="Times New Roman"/>
                <w:spacing w:val="-20"/>
                <w:sz w:val="24"/>
                <w:szCs w:val="24"/>
              </w:rPr>
              <w:t>无废城市</w:t>
            </w:r>
            <w:r>
              <w:rPr>
                <w:rFonts w:hint="eastAsia" w:ascii="方正仿宋_GBK" w:cs="Times New Roman"/>
                <w:spacing w:val="-20"/>
                <w:sz w:val="24"/>
                <w:szCs w:val="24"/>
              </w:rPr>
              <w:t>”</w:t>
            </w:r>
            <w:r>
              <w:rPr>
                <w:rFonts w:cs="Times New Roman"/>
                <w:spacing w:val="-20"/>
                <w:sz w:val="24"/>
                <w:szCs w:val="24"/>
              </w:rPr>
              <w:t>建设宣传教育培训普及率</w:t>
            </w:r>
            <w:r>
              <w:rPr>
                <w:rFonts w:ascii="Segoe UI Symbol" w:hAnsi="Segoe UI Symbol" w:cs="Segoe UI Symbol"/>
                <w:spacing w:val="-20"/>
                <w:sz w:val="24"/>
                <w:szCs w:val="24"/>
              </w:rPr>
              <w:t>☆</w:t>
            </w:r>
          </w:p>
        </w:tc>
        <w:tc>
          <w:tcPr>
            <w:tcW w:w="271" w:type="pct"/>
            <w:vAlign w:val="center"/>
          </w:tcPr>
          <w:p w14:paraId="1FD5D344">
            <w:pPr>
              <w:pStyle w:val="47"/>
              <w:snapToGrid w:val="0"/>
              <w:spacing w:line="300" w:lineRule="exact"/>
              <w:jc w:val="center"/>
              <w:rPr>
                <w:rFonts w:cs="Times New Roman"/>
                <w:spacing w:val="-20"/>
                <w:sz w:val="24"/>
                <w:szCs w:val="24"/>
              </w:rPr>
            </w:pPr>
            <w:r>
              <w:rPr>
                <w:rFonts w:eastAsia="等线" w:cs="Times New Roman"/>
                <w:spacing w:val="-20"/>
                <w:sz w:val="24"/>
                <w:szCs w:val="24"/>
              </w:rPr>
              <w:t>%</w:t>
            </w:r>
          </w:p>
        </w:tc>
        <w:tc>
          <w:tcPr>
            <w:tcW w:w="933" w:type="pct"/>
            <w:shd w:val="clear" w:color="auto" w:fill="auto"/>
            <w:vAlign w:val="center"/>
          </w:tcPr>
          <w:p w14:paraId="4C23F531">
            <w:pPr>
              <w:pStyle w:val="47"/>
              <w:snapToGrid w:val="0"/>
              <w:spacing w:line="300" w:lineRule="exact"/>
              <w:jc w:val="center"/>
              <w:rPr>
                <w:rFonts w:cs="Times New Roman"/>
                <w:spacing w:val="-20"/>
                <w:sz w:val="24"/>
                <w:szCs w:val="24"/>
              </w:rPr>
            </w:pPr>
            <w:r>
              <w:rPr>
                <w:rFonts w:cs="Times New Roman"/>
                <w:sz w:val="24"/>
                <w:szCs w:val="24"/>
              </w:rPr>
              <w:t>区攻坚办无废工作组</w:t>
            </w:r>
          </w:p>
        </w:tc>
        <w:tc>
          <w:tcPr>
            <w:tcW w:w="527" w:type="pct"/>
            <w:shd w:val="clear" w:color="auto" w:fill="auto"/>
            <w:vAlign w:val="center"/>
          </w:tcPr>
          <w:p w14:paraId="45E85D7C">
            <w:pPr>
              <w:pStyle w:val="47"/>
              <w:snapToGrid w:val="0"/>
              <w:spacing w:line="300" w:lineRule="exact"/>
              <w:jc w:val="center"/>
              <w:rPr>
                <w:rFonts w:cs="Times New Roman"/>
                <w:spacing w:val="-20"/>
                <w:sz w:val="24"/>
                <w:szCs w:val="24"/>
              </w:rPr>
            </w:pPr>
            <w:r>
              <w:rPr>
                <w:rFonts w:eastAsia="等线" w:cs="Times New Roman"/>
                <w:spacing w:val="-20"/>
                <w:sz w:val="24"/>
                <w:szCs w:val="24"/>
              </w:rPr>
              <w:t>/</w:t>
            </w:r>
          </w:p>
        </w:tc>
        <w:tc>
          <w:tcPr>
            <w:tcW w:w="548" w:type="pct"/>
            <w:shd w:val="clear" w:color="auto" w:fill="auto"/>
            <w:vAlign w:val="center"/>
          </w:tcPr>
          <w:p w14:paraId="24D48119">
            <w:pPr>
              <w:pStyle w:val="47"/>
              <w:snapToGrid w:val="0"/>
              <w:spacing w:line="300" w:lineRule="exact"/>
              <w:jc w:val="center"/>
              <w:rPr>
                <w:rFonts w:cs="Times New Roman"/>
                <w:spacing w:val="-20"/>
                <w:sz w:val="24"/>
                <w:szCs w:val="24"/>
              </w:rPr>
            </w:pPr>
            <w:r>
              <w:rPr>
                <w:rFonts w:eastAsia="等线" w:cs="Times New Roman"/>
                <w:spacing w:val="-20"/>
                <w:sz w:val="24"/>
                <w:szCs w:val="24"/>
              </w:rPr>
              <w:t>100</w:t>
            </w:r>
          </w:p>
        </w:tc>
      </w:tr>
      <w:tr w14:paraId="0B95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0" w:type="pct"/>
            <w:shd w:val="clear" w:color="auto" w:fill="auto"/>
            <w:vAlign w:val="center"/>
          </w:tcPr>
          <w:p w14:paraId="52620063">
            <w:pPr>
              <w:pStyle w:val="47"/>
              <w:numPr>
                <w:ilvl w:val="0"/>
                <w:numId w:val="15"/>
              </w:numPr>
              <w:snapToGrid w:val="0"/>
              <w:spacing w:line="400" w:lineRule="exact"/>
              <w:jc w:val="center"/>
              <w:rPr>
                <w:rFonts w:cs="Times New Roman"/>
                <w:spacing w:val="-20"/>
                <w:sz w:val="24"/>
                <w:szCs w:val="24"/>
              </w:rPr>
            </w:pPr>
          </w:p>
        </w:tc>
        <w:tc>
          <w:tcPr>
            <w:tcW w:w="434" w:type="pct"/>
            <w:vMerge w:val="continue"/>
            <w:shd w:val="clear" w:color="auto" w:fill="auto"/>
            <w:vAlign w:val="center"/>
          </w:tcPr>
          <w:p w14:paraId="3E167FB5">
            <w:pPr>
              <w:pStyle w:val="47"/>
              <w:snapToGrid w:val="0"/>
              <w:spacing w:line="360" w:lineRule="exact"/>
              <w:jc w:val="center"/>
              <w:rPr>
                <w:rFonts w:cs="Times New Roman"/>
                <w:spacing w:val="-20"/>
                <w:sz w:val="24"/>
                <w:szCs w:val="24"/>
              </w:rPr>
            </w:pPr>
          </w:p>
        </w:tc>
        <w:tc>
          <w:tcPr>
            <w:tcW w:w="490" w:type="pct"/>
            <w:vMerge w:val="continue"/>
            <w:shd w:val="clear" w:color="auto" w:fill="auto"/>
            <w:vAlign w:val="center"/>
          </w:tcPr>
          <w:p w14:paraId="47C60DB3">
            <w:pPr>
              <w:pStyle w:val="47"/>
              <w:snapToGrid w:val="0"/>
              <w:spacing w:line="360" w:lineRule="exact"/>
              <w:jc w:val="center"/>
              <w:rPr>
                <w:rFonts w:cs="Times New Roman"/>
                <w:spacing w:val="-20"/>
                <w:sz w:val="24"/>
                <w:szCs w:val="24"/>
              </w:rPr>
            </w:pPr>
          </w:p>
        </w:tc>
        <w:tc>
          <w:tcPr>
            <w:tcW w:w="1524" w:type="pct"/>
            <w:shd w:val="clear" w:color="auto" w:fill="auto"/>
            <w:vAlign w:val="center"/>
          </w:tcPr>
          <w:p w14:paraId="6466EAEB">
            <w:pPr>
              <w:pStyle w:val="47"/>
              <w:snapToGrid w:val="0"/>
              <w:spacing w:line="300" w:lineRule="exact"/>
              <w:jc w:val="center"/>
              <w:rPr>
                <w:rFonts w:cs="Times New Roman"/>
                <w:spacing w:val="-20"/>
                <w:sz w:val="24"/>
                <w:szCs w:val="24"/>
              </w:rPr>
            </w:pPr>
            <w:r>
              <w:rPr>
                <w:rFonts w:cs="Times New Roman"/>
                <w:spacing w:val="-20"/>
                <w:sz w:val="24"/>
                <w:szCs w:val="24"/>
              </w:rPr>
              <w:t>政府、企事业单位、非政府环境组织、公众对</w:t>
            </w:r>
            <w:r>
              <w:rPr>
                <w:rFonts w:hint="eastAsia" w:cs="Times New Roman"/>
                <w:spacing w:val="-20"/>
                <w:sz w:val="24"/>
                <w:szCs w:val="24"/>
              </w:rPr>
              <w:t>“</w:t>
            </w:r>
            <w:r>
              <w:rPr>
                <w:rFonts w:cs="Times New Roman"/>
                <w:spacing w:val="-20"/>
                <w:sz w:val="24"/>
                <w:szCs w:val="24"/>
              </w:rPr>
              <w:t>无废城市</w:t>
            </w:r>
            <w:r>
              <w:rPr>
                <w:rFonts w:hint="eastAsia" w:cs="Times New Roman"/>
                <w:spacing w:val="-20"/>
                <w:sz w:val="24"/>
                <w:szCs w:val="24"/>
              </w:rPr>
              <w:t>”</w:t>
            </w:r>
            <w:r>
              <w:rPr>
                <w:rFonts w:cs="Times New Roman"/>
                <w:spacing w:val="-20"/>
                <w:sz w:val="24"/>
                <w:szCs w:val="24"/>
              </w:rPr>
              <w:t>建设的参与程度</w:t>
            </w:r>
            <w:r>
              <w:rPr>
                <w:rFonts w:ascii="Segoe UI Symbol" w:hAnsi="Segoe UI Symbol" w:cs="Segoe UI Symbol"/>
                <w:spacing w:val="-20"/>
                <w:sz w:val="24"/>
                <w:szCs w:val="24"/>
              </w:rPr>
              <w:t>☆</w:t>
            </w:r>
          </w:p>
        </w:tc>
        <w:tc>
          <w:tcPr>
            <w:tcW w:w="271" w:type="pct"/>
            <w:vAlign w:val="center"/>
          </w:tcPr>
          <w:p w14:paraId="2EFA3C0E">
            <w:pPr>
              <w:pStyle w:val="47"/>
              <w:snapToGrid w:val="0"/>
              <w:spacing w:line="300" w:lineRule="exact"/>
              <w:jc w:val="center"/>
              <w:rPr>
                <w:rFonts w:cs="Times New Roman"/>
                <w:spacing w:val="-20"/>
                <w:sz w:val="24"/>
                <w:szCs w:val="24"/>
              </w:rPr>
            </w:pPr>
            <w:r>
              <w:rPr>
                <w:rFonts w:eastAsia="等线" w:cs="Times New Roman"/>
                <w:spacing w:val="-20"/>
                <w:sz w:val="24"/>
                <w:szCs w:val="24"/>
              </w:rPr>
              <w:t>%</w:t>
            </w:r>
          </w:p>
        </w:tc>
        <w:tc>
          <w:tcPr>
            <w:tcW w:w="933" w:type="pct"/>
            <w:shd w:val="clear" w:color="auto" w:fill="auto"/>
            <w:vAlign w:val="center"/>
          </w:tcPr>
          <w:p w14:paraId="12B2294C">
            <w:pPr>
              <w:pStyle w:val="47"/>
              <w:snapToGrid w:val="0"/>
              <w:spacing w:line="300" w:lineRule="exact"/>
              <w:jc w:val="center"/>
              <w:rPr>
                <w:rFonts w:cs="Times New Roman"/>
                <w:spacing w:val="-20"/>
                <w:sz w:val="24"/>
                <w:szCs w:val="24"/>
              </w:rPr>
            </w:pPr>
            <w:r>
              <w:rPr>
                <w:rFonts w:cs="Times New Roman"/>
                <w:sz w:val="24"/>
                <w:szCs w:val="24"/>
              </w:rPr>
              <w:t>区攻坚办无废工作组</w:t>
            </w:r>
          </w:p>
        </w:tc>
        <w:tc>
          <w:tcPr>
            <w:tcW w:w="527" w:type="pct"/>
            <w:shd w:val="clear" w:color="auto" w:fill="auto"/>
            <w:vAlign w:val="center"/>
          </w:tcPr>
          <w:p w14:paraId="644609CD">
            <w:pPr>
              <w:pStyle w:val="47"/>
              <w:snapToGrid w:val="0"/>
              <w:spacing w:line="300" w:lineRule="exact"/>
              <w:jc w:val="center"/>
              <w:rPr>
                <w:rFonts w:cs="Times New Roman"/>
                <w:spacing w:val="-20"/>
                <w:sz w:val="24"/>
                <w:szCs w:val="24"/>
              </w:rPr>
            </w:pPr>
            <w:r>
              <w:rPr>
                <w:rFonts w:eastAsia="等线" w:cs="Times New Roman"/>
                <w:spacing w:val="-20"/>
                <w:sz w:val="24"/>
                <w:szCs w:val="24"/>
              </w:rPr>
              <w:t>/</w:t>
            </w:r>
          </w:p>
        </w:tc>
        <w:tc>
          <w:tcPr>
            <w:tcW w:w="548" w:type="pct"/>
            <w:shd w:val="clear" w:color="auto" w:fill="auto"/>
            <w:vAlign w:val="center"/>
          </w:tcPr>
          <w:p w14:paraId="57F68414">
            <w:pPr>
              <w:pStyle w:val="47"/>
              <w:snapToGrid w:val="0"/>
              <w:spacing w:line="300" w:lineRule="exact"/>
              <w:jc w:val="center"/>
              <w:rPr>
                <w:rFonts w:cs="Times New Roman"/>
                <w:spacing w:val="-20"/>
                <w:sz w:val="24"/>
                <w:szCs w:val="24"/>
              </w:rPr>
            </w:pPr>
            <w:r>
              <w:rPr>
                <w:rFonts w:eastAsia="等线" w:cs="Times New Roman"/>
                <w:spacing w:val="-20"/>
                <w:sz w:val="24"/>
                <w:szCs w:val="24"/>
              </w:rPr>
              <w:t>90</w:t>
            </w:r>
          </w:p>
        </w:tc>
      </w:tr>
      <w:bookmarkEnd w:id="99"/>
    </w:tbl>
    <w:p w14:paraId="7C1FEBE1">
      <w:pPr>
        <w:pStyle w:val="47"/>
        <w:adjustRightInd w:val="0"/>
        <w:snapToGrid w:val="0"/>
        <w:spacing w:line="500" w:lineRule="exact"/>
        <w:rPr>
          <w:rFonts w:cs="Times New Roman"/>
          <w:sz w:val="20"/>
          <w:szCs w:val="21"/>
        </w:rPr>
      </w:pPr>
      <w:r>
        <w:rPr>
          <w:rFonts w:cs="Times New Roman"/>
          <w:b/>
          <w:bCs/>
          <w:sz w:val="20"/>
          <w:szCs w:val="21"/>
        </w:rPr>
        <w:t>备注：</w:t>
      </w:r>
      <w:r>
        <w:rPr>
          <w:rFonts w:ascii="Segoe UI Symbol" w:hAnsi="Segoe UI Symbol" w:cs="Segoe UI Symbol"/>
          <w:b/>
          <w:bCs/>
          <w:sz w:val="20"/>
          <w:szCs w:val="21"/>
        </w:rPr>
        <w:t>★</w:t>
      </w:r>
      <w:r>
        <w:rPr>
          <w:rFonts w:cs="Times New Roman"/>
          <w:b/>
          <w:bCs/>
          <w:sz w:val="20"/>
          <w:szCs w:val="21"/>
        </w:rPr>
        <w:t>标注为《江苏省</w:t>
      </w:r>
      <w:r>
        <w:rPr>
          <w:rFonts w:hint="eastAsia" w:cs="Times New Roman"/>
          <w:b/>
          <w:bCs/>
          <w:sz w:val="20"/>
          <w:szCs w:val="21"/>
        </w:rPr>
        <w:t>“</w:t>
      </w:r>
      <w:r>
        <w:rPr>
          <w:rFonts w:cs="Times New Roman"/>
          <w:b/>
          <w:bCs/>
          <w:sz w:val="20"/>
          <w:szCs w:val="21"/>
        </w:rPr>
        <w:t>无废城市</w:t>
      </w:r>
      <w:r>
        <w:rPr>
          <w:rFonts w:hint="eastAsia" w:cs="Times New Roman"/>
          <w:b/>
          <w:bCs/>
          <w:sz w:val="20"/>
          <w:szCs w:val="21"/>
        </w:rPr>
        <w:t>”</w:t>
      </w:r>
      <w:r>
        <w:rPr>
          <w:rFonts w:cs="Times New Roman"/>
          <w:b/>
          <w:bCs/>
          <w:sz w:val="20"/>
          <w:szCs w:val="21"/>
        </w:rPr>
        <w:t>建设指标体系》中必选指标，</w:t>
      </w:r>
      <w:r>
        <w:rPr>
          <w:rFonts w:ascii="Segoe UI Symbol" w:hAnsi="Segoe UI Symbol" w:cs="Segoe UI Symbol"/>
          <w:b/>
          <w:bCs/>
          <w:sz w:val="20"/>
          <w:szCs w:val="21"/>
        </w:rPr>
        <w:t>☆</w:t>
      </w:r>
      <w:r>
        <w:rPr>
          <w:rFonts w:cs="Times New Roman"/>
          <w:b/>
          <w:bCs/>
          <w:sz w:val="20"/>
          <w:szCs w:val="21"/>
        </w:rPr>
        <w:t>标注为《江苏省</w:t>
      </w:r>
      <w:r>
        <w:rPr>
          <w:rFonts w:hint="eastAsia" w:cs="Times New Roman"/>
          <w:b/>
          <w:bCs/>
          <w:sz w:val="20"/>
          <w:szCs w:val="21"/>
        </w:rPr>
        <w:t>“</w:t>
      </w:r>
      <w:r>
        <w:rPr>
          <w:rFonts w:cs="Times New Roman"/>
          <w:b/>
          <w:bCs/>
          <w:sz w:val="20"/>
          <w:szCs w:val="21"/>
        </w:rPr>
        <w:t>无废城市</w:t>
      </w:r>
      <w:r>
        <w:rPr>
          <w:rFonts w:hint="eastAsia" w:cs="Times New Roman"/>
          <w:b/>
          <w:bCs/>
          <w:sz w:val="20"/>
          <w:szCs w:val="21"/>
        </w:rPr>
        <w:t>”</w:t>
      </w:r>
      <w:r>
        <w:rPr>
          <w:rFonts w:cs="Times New Roman"/>
          <w:b/>
          <w:bCs/>
          <w:sz w:val="20"/>
          <w:szCs w:val="21"/>
        </w:rPr>
        <w:t>建设指标体系》中可选指标，▲标注为南京市新增特色指标。</w:t>
      </w:r>
    </w:p>
    <w:p w14:paraId="1D224D2C">
      <w:pPr>
        <w:pStyle w:val="47"/>
        <w:adjustRightInd w:val="0"/>
        <w:snapToGrid w:val="0"/>
        <w:spacing w:line="500" w:lineRule="exact"/>
        <w:rPr>
          <w:rFonts w:hint="eastAsia" w:cs="Times New Roman"/>
          <w:sz w:val="20"/>
          <w:szCs w:val="21"/>
        </w:rPr>
        <w:sectPr>
          <w:pgSz w:w="16838" w:h="11906" w:orient="landscape"/>
          <w:pgMar w:top="1588" w:right="2098" w:bottom="1474" w:left="1701" w:header="851" w:footer="1247" w:gutter="0"/>
          <w:cols w:space="0" w:num="1"/>
          <w:docGrid w:type="linesAndChars" w:linePitch="435" w:charSpace="0"/>
        </w:sectPr>
      </w:pPr>
    </w:p>
    <w:p w14:paraId="68DA6D5F">
      <w:pPr>
        <w:pStyle w:val="2"/>
        <w:numPr>
          <w:ilvl w:val="0"/>
          <w:numId w:val="0"/>
        </w:numPr>
        <w:spacing w:beforeLines="0" w:after="0"/>
        <w:rPr>
          <w:rFonts w:ascii="方正黑体_GBK" w:cs="Times New Roman"/>
          <w:szCs w:val="28"/>
        </w:rPr>
      </w:pPr>
      <w:bookmarkStart w:id="106" w:name="_Toc108413530"/>
      <w:bookmarkStart w:id="107" w:name="_Toc129882939"/>
      <w:bookmarkStart w:id="108" w:name="_Toc140150518"/>
      <w:r>
        <w:rPr>
          <w:rFonts w:hint="eastAsia" w:ascii="方正黑体_GBK" w:cs="Times New Roman"/>
          <w:szCs w:val="28"/>
        </w:rPr>
        <w:t>第四章 工作任务</w:t>
      </w:r>
      <w:bookmarkEnd w:id="106"/>
      <w:bookmarkEnd w:id="107"/>
      <w:bookmarkEnd w:id="108"/>
    </w:p>
    <w:p w14:paraId="363550D3">
      <w:pPr>
        <w:pStyle w:val="3"/>
        <w:spacing w:before="0" w:after="0"/>
        <w:rPr>
          <w:rFonts w:ascii="方正黑体_GBK" w:cs="Times New Roman"/>
          <w:szCs w:val="28"/>
        </w:rPr>
      </w:pPr>
      <w:bookmarkStart w:id="109" w:name="_Toc129882940"/>
      <w:bookmarkStart w:id="110" w:name="_Toc140150519"/>
      <w:bookmarkStart w:id="111" w:name="_Toc108413535"/>
      <w:bookmarkStart w:id="112" w:name="_Ref105692794"/>
      <w:bookmarkStart w:id="113" w:name="_Hlk112674790"/>
      <w:bookmarkStart w:id="114" w:name="_Ref105692920"/>
    </w:p>
    <w:p w14:paraId="7FBEC13C">
      <w:pPr>
        <w:pStyle w:val="3"/>
        <w:spacing w:before="0" w:after="0"/>
        <w:rPr>
          <w:rFonts w:ascii="方正黑体_GBK" w:cs="Times New Roman"/>
          <w:szCs w:val="28"/>
        </w:rPr>
      </w:pPr>
      <w:r>
        <w:rPr>
          <w:rFonts w:hint="eastAsia" w:ascii="方正黑体_GBK" w:cs="Times New Roman"/>
          <w:szCs w:val="28"/>
        </w:rPr>
        <w:t>第一节 重源头、促减量，践行绿色低碳发展</w:t>
      </w:r>
      <w:bookmarkEnd w:id="109"/>
      <w:bookmarkEnd w:id="110"/>
    </w:p>
    <w:p w14:paraId="617E012E">
      <w:pPr>
        <w:pStyle w:val="4"/>
        <w:ind w:firstLine="640"/>
        <w:rPr>
          <w:rFonts w:ascii="方正黑体_GBK" w:cs="Times New Roman"/>
          <w:szCs w:val="28"/>
        </w:rPr>
      </w:pPr>
      <w:bookmarkStart w:id="115" w:name="_Toc129882941"/>
      <w:r>
        <w:rPr>
          <w:rFonts w:hint="eastAsia" w:ascii="方正黑体_GBK" w:cs="Times New Roman"/>
          <w:szCs w:val="28"/>
        </w:rPr>
        <w:t>一、推动工业产业绿色发展</w:t>
      </w:r>
      <w:bookmarkEnd w:id="115"/>
    </w:p>
    <w:p w14:paraId="64F27CCE">
      <w:pPr>
        <w:ind w:firstLine="640" w:firstLineChars="200"/>
        <w:rPr>
          <w:rFonts w:cs="Times New Roman"/>
        </w:rPr>
      </w:pPr>
      <w:r>
        <w:rPr>
          <w:rFonts w:cs="Times New Roman"/>
        </w:rPr>
        <w:t>落实</w:t>
      </w:r>
      <w:r>
        <w:rPr>
          <w:rFonts w:hint="eastAsia" w:cs="Times New Roman"/>
        </w:rPr>
        <w:t>“</w:t>
      </w:r>
      <w:r>
        <w:rPr>
          <w:rFonts w:cs="Times New Roman"/>
        </w:rPr>
        <w:t>三线一单</w:t>
      </w:r>
      <w:r>
        <w:rPr>
          <w:rFonts w:hint="eastAsia" w:cs="Times New Roman"/>
        </w:rPr>
        <w:t>”</w:t>
      </w:r>
      <w:r>
        <w:rPr>
          <w:rFonts w:cs="Times New Roman"/>
        </w:rPr>
        <w:t>管控要求，从倒逼转型上，引导产业结构、能源结构、运输结构优化调整</w:t>
      </w:r>
      <w:r>
        <w:rPr>
          <w:rFonts w:hint="eastAsia" w:cs="Times New Roman"/>
        </w:rPr>
        <w:t>。</w:t>
      </w:r>
      <w:r>
        <w:rPr>
          <w:rFonts w:cs="Times New Roman"/>
        </w:rPr>
        <w:t>提档升级传统产业，实施重点行业绿色转型，依法对</w:t>
      </w:r>
      <w:r>
        <w:rPr>
          <w:rFonts w:hint="eastAsia" w:cs="Times New Roman"/>
        </w:rPr>
        <w:t>“</w:t>
      </w:r>
      <w:r>
        <w:rPr>
          <w:rFonts w:cs="Times New Roman"/>
        </w:rPr>
        <w:t>双超</w:t>
      </w:r>
      <w:r>
        <w:rPr>
          <w:rFonts w:hint="eastAsia" w:cs="Times New Roman"/>
        </w:rPr>
        <w:t>”“</w:t>
      </w:r>
      <w:r>
        <w:rPr>
          <w:rFonts w:cs="Times New Roman"/>
        </w:rPr>
        <w:t>双有</w:t>
      </w:r>
      <w:r>
        <w:rPr>
          <w:rFonts w:hint="eastAsia" w:cs="Times New Roman"/>
        </w:rPr>
        <w:t>”</w:t>
      </w:r>
      <w:r>
        <w:rPr>
          <w:rFonts w:cs="Times New Roman"/>
        </w:rPr>
        <w:t>企业实施强制性清洁生产审核，鼓励其他排污企业开展自愿性清洁生产审核，鼓励企业工艺技术装备更新改造，从源头减少资源消耗与废弃物产生</w:t>
      </w:r>
      <w:r>
        <w:rPr>
          <w:rFonts w:hint="eastAsia" w:cs="Times New Roman"/>
        </w:rPr>
        <w:t>。</w:t>
      </w:r>
      <w:r>
        <w:rPr>
          <w:rFonts w:cs="Times New Roman"/>
        </w:rPr>
        <w:t>深入推进企业循环生产和改造，建立环境认证绿色供给体系，鼓励推行绿色采购，实现</w:t>
      </w:r>
      <w:r>
        <w:rPr>
          <w:rFonts w:hint="eastAsia" w:cs="Times New Roman"/>
        </w:rPr>
        <w:t>全</w:t>
      </w:r>
      <w:r>
        <w:rPr>
          <w:rFonts w:cs="Times New Roman"/>
        </w:rPr>
        <w:t>体系、全过程绿色供给</w:t>
      </w:r>
      <w:r>
        <w:rPr>
          <w:rFonts w:hint="eastAsia" w:cs="Times New Roman"/>
        </w:rPr>
        <w:t>。</w:t>
      </w:r>
      <w:r>
        <w:rPr>
          <w:rFonts w:cs="Times New Roman"/>
        </w:rPr>
        <w:t>持续推进区内新华日报印务中心搬迁工作。</w:t>
      </w:r>
    </w:p>
    <w:p w14:paraId="52CF5351">
      <w:pPr>
        <w:pStyle w:val="4"/>
        <w:ind w:firstLine="640"/>
        <w:rPr>
          <w:rFonts w:ascii="方正黑体_GBK" w:cs="Times New Roman"/>
          <w:szCs w:val="28"/>
        </w:rPr>
      </w:pPr>
      <w:bookmarkStart w:id="116" w:name="_Toc129882942"/>
      <w:r>
        <w:rPr>
          <w:rFonts w:hint="eastAsia" w:ascii="方正黑体_GBK" w:cs="Times New Roman"/>
          <w:szCs w:val="28"/>
        </w:rPr>
        <w:t>二、践行绿色低碳生活方式</w:t>
      </w:r>
      <w:bookmarkEnd w:id="116"/>
    </w:p>
    <w:p w14:paraId="33E5D942">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（一）减少一次性物品使用</w:t>
      </w:r>
    </w:p>
    <w:p w14:paraId="79D745DC">
      <w:pPr>
        <w:ind w:firstLine="640" w:firstLineChars="200"/>
        <w:rPr>
          <w:rFonts w:cs="Times New Roman"/>
        </w:rPr>
      </w:pPr>
      <w:r>
        <w:rPr>
          <w:rFonts w:cs="Times New Roman"/>
        </w:rPr>
        <w:t>落实宾馆、酒店、民宿、餐饮经营场所不主动提供一次性客房日用品和一次性餐具，商场、超市、药店、书店、农贸市场等场所不免费提供塑料袋，推广可重复使用的替代品，鼓励消费者自带</w:t>
      </w:r>
      <w:r>
        <w:rPr>
          <w:rFonts w:hint="eastAsia" w:cs="Times New Roman"/>
        </w:rPr>
        <w:t>“</w:t>
      </w:r>
      <w:r>
        <w:rPr>
          <w:rFonts w:cs="Times New Roman"/>
        </w:rPr>
        <w:t>布袋子</w:t>
      </w:r>
      <w:r>
        <w:rPr>
          <w:rFonts w:hint="eastAsia" w:cs="Times New Roman"/>
        </w:rPr>
        <w:t>”“</w:t>
      </w:r>
      <w:r>
        <w:rPr>
          <w:rFonts w:cs="Times New Roman"/>
        </w:rPr>
        <w:t>菜篮子</w:t>
      </w:r>
      <w:r>
        <w:rPr>
          <w:rFonts w:hint="eastAsia" w:cs="Times New Roman"/>
        </w:rPr>
        <w:t>”，</w:t>
      </w:r>
      <w:r>
        <w:rPr>
          <w:rFonts w:cs="Times New Roman"/>
        </w:rPr>
        <w:t>培养重复循环使用理念。</w:t>
      </w:r>
    </w:p>
    <w:p w14:paraId="235C571F">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（二）</w:t>
      </w:r>
      <w:r>
        <w:rPr>
          <w:rFonts w:ascii="方正楷体_GBK" w:eastAsia="方正楷体_GBK" w:cs="Times New Roman"/>
          <w:b/>
          <w:bCs/>
          <w:szCs w:val="28"/>
        </w:rPr>
        <w:t>推动绿色办公</w:t>
      </w:r>
    </w:p>
    <w:p w14:paraId="386356EF">
      <w:pPr>
        <w:ind w:firstLine="640" w:firstLineChars="200"/>
        <w:rPr>
          <w:rFonts w:cs="Times New Roman"/>
        </w:rPr>
      </w:pPr>
      <w:r>
        <w:rPr>
          <w:rFonts w:cs="Times New Roman"/>
        </w:rPr>
        <w:t>在全区党政机关开展</w:t>
      </w:r>
      <w:r>
        <w:rPr>
          <w:rFonts w:hint="eastAsia" w:cs="Times New Roman"/>
        </w:rPr>
        <w:t>“</w:t>
      </w:r>
      <w:r>
        <w:rPr>
          <w:rFonts w:cs="Times New Roman"/>
        </w:rPr>
        <w:t>绿色办公、低碳生活</w:t>
      </w:r>
      <w:r>
        <w:rPr>
          <w:rFonts w:hint="eastAsia" w:cs="Times New Roman"/>
        </w:rPr>
        <w:t>”</w:t>
      </w:r>
      <w:r>
        <w:rPr>
          <w:rFonts w:cs="Times New Roman"/>
        </w:rPr>
        <w:t>主题宣传，党政机关、事业单位带头节约使用和重复利用办公用品，倡导双面打印、更换笔芯，鼓励使用再生纸制品，推动无纸化办公，及时宣传推广经验做法。</w:t>
      </w:r>
    </w:p>
    <w:p w14:paraId="10D28D07">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（三）</w:t>
      </w:r>
      <w:r>
        <w:rPr>
          <w:rFonts w:ascii="方正楷体_GBK" w:eastAsia="方正楷体_GBK" w:cs="Times New Roman"/>
          <w:b/>
          <w:bCs/>
          <w:szCs w:val="28"/>
        </w:rPr>
        <w:t>创建绿色餐饮</w:t>
      </w:r>
    </w:p>
    <w:p w14:paraId="712D86E0">
      <w:pPr>
        <w:ind w:firstLine="640" w:firstLineChars="200"/>
        <w:rPr>
          <w:rFonts w:cs="Times New Roman"/>
        </w:rPr>
      </w:pPr>
      <w:r>
        <w:rPr>
          <w:rFonts w:cs="Times New Roman"/>
        </w:rPr>
        <w:t>以餐饮企业、酒店、机关事业单位和学校食堂等为重点，创建一批绿色餐饮经营主体，推广可重复使用的餐具，深入推进</w:t>
      </w:r>
      <w:r>
        <w:rPr>
          <w:rFonts w:hint="eastAsia" w:cs="Times New Roman"/>
        </w:rPr>
        <w:t>“</w:t>
      </w:r>
      <w:r>
        <w:rPr>
          <w:rFonts w:cs="Times New Roman"/>
        </w:rPr>
        <w:t>光盘行动</w:t>
      </w:r>
      <w:r>
        <w:rPr>
          <w:rFonts w:hint="eastAsia" w:cs="Times New Roman"/>
        </w:rPr>
        <w:t>”，</w:t>
      </w:r>
      <w:r>
        <w:rPr>
          <w:rFonts w:cs="Times New Roman"/>
        </w:rPr>
        <w:t>推广小份菜、分餐制等，推进易腐垃圾减量化。</w:t>
      </w:r>
    </w:p>
    <w:p w14:paraId="1A1699DF">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（四）</w:t>
      </w:r>
      <w:r>
        <w:rPr>
          <w:rFonts w:ascii="方正楷体_GBK" w:eastAsia="方正楷体_GBK" w:cs="Times New Roman"/>
          <w:b/>
          <w:bCs/>
          <w:szCs w:val="28"/>
        </w:rPr>
        <w:t>推广绿色会展</w:t>
      </w:r>
    </w:p>
    <w:p w14:paraId="5C9C441A">
      <w:pPr>
        <w:ind w:firstLine="640" w:firstLineChars="200"/>
        <w:rPr>
          <w:rFonts w:cs="Times New Roman"/>
        </w:rPr>
      </w:pPr>
      <w:r>
        <w:rPr>
          <w:rFonts w:cs="Times New Roman"/>
        </w:rPr>
        <w:t>通过行业培训、企业宣讲等形式，加大会展业绿色发展、办展设施循环使用</w:t>
      </w:r>
      <w:r>
        <w:rPr>
          <w:rFonts w:hint="eastAsia" w:cs="Times New Roman"/>
        </w:rPr>
        <w:t>的</w:t>
      </w:r>
      <w:r>
        <w:rPr>
          <w:rFonts w:cs="Times New Roman"/>
        </w:rPr>
        <w:t>宣传力度，引导推动会展企业践行绿色发展理念。大力推广绿色展具、绿色主场服务及绿色展装，鼓励绿色场馆设计、绿色展具筛选、绿色会展设计、绿色布展撤展等服务，逐步运用绿色技术替代传统材料及工艺。</w:t>
      </w:r>
    </w:p>
    <w:p w14:paraId="1158402C">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（五）</w:t>
      </w:r>
      <w:r>
        <w:rPr>
          <w:rFonts w:ascii="方正楷体_GBK" w:eastAsia="方正楷体_GBK" w:cs="Times New Roman"/>
          <w:b/>
          <w:bCs/>
          <w:szCs w:val="28"/>
        </w:rPr>
        <w:t>推进塑料污染源头治理</w:t>
      </w:r>
    </w:p>
    <w:p w14:paraId="51DFF250">
      <w:pPr>
        <w:ind w:firstLine="640" w:firstLineChars="200"/>
        <w:rPr>
          <w:rFonts w:cs="Times New Roman"/>
        </w:rPr>
      </w:pPr>
      <w:r>
        <w:rPr>
          <w:rFonts w:cs="Times New Roman"/>
        </w:rPr>
        <w:t>严格落实国家有关禁止、限制生产、销售和使用部分塑料制品的规定，推进集贸市场、餐饮外卖、宾馆酒店等重点领域禁止使用不可降解塑料袋和一次性塑料用品。推广使用环保布袋、纸袋等非塑制品和可降解购物袋、生鲜产品可降解包装膜等。</w:t>
      </w:r>
    </w:p>
    <w:p w14:paraId="7B819154">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（六）</w:t>
      </w:r>
      <w:r>
        <w:rPr>
          <w:rFonts w:ascii="方正楷体_GBK" w:eastAsia="方正楷体_GBK" w:cs="Times New Roman"/>
          <w:b/>
          <w:bCs/>
          <w:szCs w:val="28"/>
        </w:rPr>
        <w:t>加快快递、外卖包装绿色转型</w:t>
      </w:r>
    </w:p>
    <w:p w14:paraId="79794448">
      <w:pPr>
        <w:ind w:firstLine="640" w:firstLineChars="200"/>
        <w:rPr>
          <w:rFonts w:cs="Times New Roman"/>
        </w:rPr>
      </w:pPr>
      <w:r>
        <w:rPr>
          <w:rFonts w:cs="Times New Roman"/>
        </w:rPr>
        <w:t>明确寄递企业管理规范，推进过度包装、随意包装专项治理。推广应用可降解塑料袋等环保包装产品，加强物料管理和先进包装技术应用，进一步降低单位快件包装耗材，加快包装物循环使用，大力推广循环中转袋（箱）、笼车等设备，鼓励企业使用循环快递盒。全面停止使用不可降解的塑料包装袋、一次性塑料编织袋、不可降解的塑料胶带。推广快递业绿色包装应用，推进绿色外卖包装试点。</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3E6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shd w:val="clear" w:color="auto" w:fill="D8D8D8" w:themeFill="background1" w:themeFillShade="D9"/>
          </w:tcPr>
          <w:p w14:paraId="69658F77">
            <w:pPr>
              <w:jc w:val="center"/>
              <w:rPr>
                <w:rFonts w:cs="Times New Roman"/>
                <w:b/>
                <w:bCs/>
                <w:szCs w:val="28"/>
              </w:rPr>
            </w:pPr>
            <w:r>
              <w:rPr>
                <w:rFonts w:cs="Times New Roman"/>
                <w:b/>
                <w:bCs/>
                <w:szCs w:val="28"/>
              </w:rPr>
              <w:t>专栏4.1</w:t>
            </w:r>
            <w:r>
              <w:rPr>
                <w:rFonts w:hint="eastAsia" w:cs="Times New Roman"/>
                <w:b/>
                <w:bCs/>
                <w:szCs w:val="28"/>
              </w:rPr>
              <w:t>－</w:t>
            </w:r>
            <w:r>
              <w:rPr>
                <w:rFonts w:cs="Times New Roman"/>
                <w:b/>
                <w:bCs/>
                <w:szCs w:val="28"/>
              </w:rPr>
              <w:t>1 践行</w:t>
            </w:r>
            <w:r>
              <w:rPr>
                <w:rFonts w:hint="eastAsia" w:cs="Times New Roman"/>
                <w:b/>
                <w:bCs/>
                <w:szCs w:val="28"/>
              </w:rPr>
              <w:t>“</w:t>
            </w:r>
            <w:r>
              <w:rPr>
                <w:rFonts w:cs="Times New Roman"/>
                <w:b/>
                <w:bCs/>
                <w:szCs w:val="28"/>
              </w:rPr>
              <w:t>绿色会展</w:t>
            </w:r>
            <w:r>
              <w:rPr>
                <w:rFonts w:hint="eastAsia" w:cs="Times New Roman"/>
                <w:b/>
                <w:bCs/>
                <w:szCs w:val="28"/>
              </w:rPr>
              <w:t>”，</w:t>
            </w:r>
            <w:r>
              <w:rPr>
                <w:rFonts w:cs="Times New Roman"/>
                <w:b/>
                <w:bCs/>
                <w:szCs w:val="28"/>
              </w:rPr>
              <w:t>助力</w:t>
            </w:r>
            <w:r>
              <w:rPr>
                <w:rFonts w:hint="eastAsia" w:cs="Times New Roman"/>
                <w:b/>
                <w:bCs/>
                <w:szCs w:val="28"/>
              </w:rPr>
              <w:t>“</w:t>
            </w:r>
            <w:r>
              <w:rPr>
                <w:rFonts w:cs="Times New Roman"/>
                <w:b/>
                <w:bCs/>
                <w:szCs w:val="28"/>
              </w:rPr>
              <w:t>无废玄武</w:t>
            </w:r>
            <w:r>
              <w:rPr>
                <w:rFonts w:hint="eastAsia" w:cs="Times New Roman"/>
                <w:b/>
                <w:bCs/>
                <w:szCs w:val="28"/>
              </w:rPr>
              <w:t>”</w:t>
            </w:r>
            <w:r>
              <w:rPr>
                <w:rFonts w:cs="Times New Roman"/>
                <w:b/>
                <w:bCs/>
                <w:szCs w:val="28"/>
              </w:rPr>
              <w:t>建设</w:t>
            </w:r>
          </w:p>
        </w:tc>
      </w:tr>
      <w:tr w14:paraId="1698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7AE45349">
            <w:pPr>
              <w:ind w:firstLine="600" w:firstLineChars="200"/>
              <w:rPr>
                <w:rFonts w:cs="Times New Roman"/>
                <w:sz w:val="30"/>
                <w:szCs w:val="30"/>
              </w:rPr>
            </w:pPr>
            <w:r>
              <w:rPr>
                <w:rFonts w:cs="Times New Roman"/>
                <w:sz w:val="30"/>
                <w:szCs w:val="30"/>
              </w:rPr>
              <w:t>南京国际展览中心坐落于玄武湖风景名胜区东岸，紫金山西麓，是南京地标性建筑和城市名片。推动绿色会展发展，有利于南京市城市名片越擦越亮，助力</w:t>
            </w:r>
            <w:r>
              <w:rPr>
                <w:rFonts w:hint="eastAsia" w:cs="Times New Roman"/>
                <w:sz w:val="30"/>
                <w:szCs w:val="30"/>
              </w:rPr>
              <w:t>“</w:t>
            </w:r>
            <w:r>
              <w:rPr>
                <w:rFonts w:cs="Times New Roman"/>
                <w:sz w:val="30"/>
                <w:szCs w:val="30"/>
              </w:rPr>
              <w:t>无废玄武</w:t>
            </w:r>
            <w:r>
              <w:rPr>
                <w:rFonts w:hint="eastAsia" w:cs="Times New Roman"/>
                <w:sz w:val="30"/>
                <w:szCs w:val="30"/>
              </w:rPr>
              <w:t>”</w:t>
            </w:r>
            <w:r>
              <w:rPr>
                <w:rFonts w:cs="Times New Roman"/>
                <w:sz w:val="30"/>
                <w:szCs w:val="30"/>
              </w:rPr>
              <w:t>建设。绿色会展主要包含以下几方面工作：</w:t>
            </w:r>
          </w:p>
          <w:p w14:paraId="2C6C3F1B">
            <w:pPr>
              <w:ind w:firstLine="600" w:firstLineChars="200"/>
              <w:rPr>
                <w:rFonts w:cs="Times New Roman"/>
                <w:sz w:val="30"/>
                <w:szCs w:val="30"/>
              </w:rPr>
            </w:pPr>
            <w:r>
              <w:rPr>
                <w:rFonts w:cs="Times New Roman"/>
                <w:sz w:val="30"/>
                <w:szCs w:val="30"/>
              </w:rPr>
              <w:t>一是指导展馆做好日常限塑工作，为会展场馆绿色转型提供指引。指导会展场馆以宣传栏和海报等形式，进行广泛宣传发动，使组展单位及参展参会企业了解相关政策内容。明确各类展会活动禁止使用不可降解塑料袋；餐饮行业禁止使用不可降解的一次性塑料吸管；餐饮场所堂食服务禁止使用不可降解的一次性塑料餐具等。</w:t>
            </w:r>
          </w:p>
          <w:p w14:paraId="5B64E48E">
            <w:pPr>
              <w:ind w:firstLine="600" w:firstLineChars="200"/>
              <w:rPr>
                <w:rFonts w:cs="Times New Roman"/>
                <w:sz w:val="30"/>
                <w:szCs w:val="30"/>
              </w:rPr>
            </w:pPr>
            <w:r>
              <w:rPr>
                <w:rFonts w:cs="Times New Roman"/>
                <w:sz w:val="30"/>
                <w:szCs w:val="30"/>
              </w:rPr>
              <w:t>二是鼓励会展场馆探索新产品、新模式。鼓励会展场馆从包装、运输、组展、撤展等各环节展开</w:t>
            </w:r>
            <w:r>
              <w:rPr>
                <w:rFonts w:hint="eastAsia" w:cs="Times New Roman"/>
                <w:sz w:val="30"/>
                <w:szCs w:val="30"/>
              </w:rPr>
              <w:t>“</w:t>
            </w:r>
            <w:r>
              <w:rPr>
                <w:rFonts w:cs="Times New Roman"/>
                <w:sz w:val="30"/>
                <w:szCs w:val="30"/>
              </w:rPr>
              <w:t>绿色</w:t>
            </w:r>
            <w:r>
              <w:rPr>
                <w:rFonts w:hint="eastAsia" w:cs="Times New Roman"/>
                <w:sz w:val="30"/>
                <w:szCs w:val="30"/>
              </w:rPr>
              <w:t>”</w:t>
            </w:r>
            <w:r>
              <w:rPr>
                <w:rFonts w:cs="Times New Roman"/>
                <w:sz w:val="30"/>
                <w:szCs w:val="30"/>
              </w:rPr>
              <w:t>建设，推广可循环包装、免胶带纸箱、瘦身胶带、全生物降解袋等；加强多方合作，探索分类回收模式；鼓励设置自助式、智慧化投放装置。鼓励场馆和主办方采用线上与线下相结合的方式办展，部分展会线上举办，推动会展业数字化转型，将部分展会搬到线上，在达到防疫效果的同时，产生降塑效果。</w:t>
            </w:r>
          </w:p>
          <w:p w14:paraId="0CEDC60C">
            <w:pPr>
              <w:ind w:firstLine="600" w:firstLineChars="200"/>
              <w:rPr>
                <w:rFonts w:cs="Times New Roman"/>
                <w:szCs w:val="28"/>
              </w:rPr>
            </w:pPr>
            <w:r>
              <w:rPr>
                <w:rFonts w:cs="Times New Roman"/>
                <w:sz w:val="30"/>
                <w:szCs w:val="30"/>
              </w:rPr>
              <w:t>三是通过重点展会宣扬新理念新技术，形成绿色发展新风尚。展出绿色环保新材料、降解材料、塑料制品、塑料节能环保装备</w:t>
            </w:r>
            <w:r>
              <w:rPr>
                <w:rFonts w:hint="eastAsia" w:cs="Times New Roman"/>
                <w:sz w:val="30"/>
                <w:szCs w:val="30"/>
              </w:rPr>
              <w:t>、</w:t>
            </w:r>
            <w:r>
              <w:rPr>
                <w:rFonts w:cs="Times New Roman"/>
                <w:sz w:val="30"/>
                <w:szCs w:val="30"/>
              </w:rPr>
              <w:t>回收再利用装备以及生态化研发成果和可持续发展工作成果等，有效宣扬降塑新技术，普及坚持塑料污染治理、践行绿色发展理念。</w:t>
            </w:r>
          </w:p>
        </w:tc>
      </w:tr>
    </w:tbl>
    <w:p w14:paraId="6FA8566D">
      <w:pPr>
        <w:pStyle w:val="4"/>
        <w:ind w:firstLine="640"/>
        <w:rPr>
          <w:rFonts w:ascii="方正黑体_GBK" w:cs="Times New Roman"/>
          <w:szCs w:val="28"/>
        </w:rPr>
      </w:pPr>
      <w:bookmarkStart w:id="117" w:name="_Toc129882943"/>
      <w:r>
        <w:rPr>
          <w:rFonts w:hint="eastAsia" w:ascii="方正黑体_GBK" w:cs="Times New Roman"/>
          <w:szCs w:val="28"/>
        </w:rPr>
        <w:t>三、推动绿色建筑高质量发展</w:t>
      </w:r>
      <w:bookmarkEnd w:id="117"/>
    </w:p>
    <w:p w14:paraId="683B6B7E">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（一）</w:t>
      </w:r>
      <w:r>
        <w:rPr>
          <w:rFonts w:ascii="方正楷体_GBK" w:eastAsia="方正楷体_GBK" w:cs="Times New Roman"/>
          <w:b/>
          <w:bCs/>
          <w:szCs w:val="28"/>
        </w:rPr>
        <w:t>大力发展装配式建筑</w:t>
      </w:r>
      <w:bookmarkStart w:id="118" w:name="_Hlk123734217"/>
    </w:p>
    <w:p w14:paraId="21153B23">
      <w:pPr>
        <w:ind w:firstLine="640" w:firstLineChars="200"/>
        <w:rPr>
          <w:rFonts w:cs="Times New Roman"/>
        </w:rPr>
      </w:pPr>
      <w:r>
        <w:rPr>
          <w:rFonts w:cs="Times New Roman"/>
        </w:rPr>
        <w:t>积极推广钢结构装配式住宅，推行工厂化预制、装配化施工、信息化管理建造模式，实行全装修交付</w:t>
      </w:r>
      <w:bookmarkEnd w:id="118"/>
      <w:r>
        <w:rPr>
          <w:rFonts w:cs="Times New Roman"/>
        </w:rPr>
        <w:t>，减少施工现场建筑垃圾产生。试点推进BIM、3D打印等技术应用，实行精细化设计和施工组织，推进设计与施工深度协同。全区新建单体建筑面积5000平方米以上的或总建筑面积2万平方米以上的居住和公共建筑</w:t>
      </w:r>
      <w:r>
        <w:rPr>
          <w:rFonts w:hint="eastAsia" w:cs="Times New Roman"/>
        </w:rPr>
        <w:t>、</w:t>
      </w:r>
      <w:r>
        <w:rPr>
          <w:rFonts w:cs="Times New Roman"/>
        </w:rPr>
        <w:t>单体建筑面积1万平方米以上的标准厂房均鼓励采用装配式建造技术。到2025年，以装配式建造为主的新型建筑工业化建造方式成为主要建造方式，全区新开工装配式建筑项目总面积占新建建筑面积比例达60%以上，装配化装修住宅项目比例达50%以上。</w:t>
      </w:r>
    </w:p>
    <w:p w14:paraId="0D9B6B1A">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（二）</w:t>
      </w:r>
      <w:r>
        <w:rPr>
          <w:rFonts w:ascii="方正楷体_GBK" w:eastAsia="方正楷体_GBK" w:cs="Times New Roman"/>
          <w:b/>
          <w:bCs/>
          <w:szCs w:val="28"/>
        </w:rPr>
        <w:t>加快推动绿色建筑</w:t>
      </w:r>
    </w:p>
    <w:p w14:paraId="46E1F4B9">
      <w:pPr>
        <w:ind w:firstLine="640" w:firstLineChars="200"/>
        <w:rPr>
          <w:rFonts w:cs="Times New Roman"/>
        </w:rPr>
      </w:pPr>
      <w:r>
        <w:rPr>
          <w:rFonts w:cs="Times New Roman"/>
        </w:rPr>
        <w:t>推行绿色施工方式，推广节能绿色建材，加强新建建筑生命周期全过程管理。实施绿色建造和运维，努力建设一批高品质绿色建筑示范项目。落实统一标识制度，新建以政府投资为主的大型公共建筑达到绿色建筑二星及以上标准，重大工业建设项目达到绿色工业建筑二星级及以上标准，结合老城改造、小区改造等同步推动既有民用建筑绿色化改造。到2025年，城市新建建筑全部按照绿色建筑标准设计建造，城镇新建绿色建筑占比达100%。</w:t>
      </w:r>
    </w:p>
    <w:p w14:paraId="1CED94A4">
      <w:pPr>
        <w:pStyle w:val="3"/>
        <w:spacing w:before="0" w:after="0"/>
        <w:rPr>
          <w:rFonts w:ascii="方正黑体_GBK" w:cs="Times New Roman"/>
          <w:szCs w:val="28"/>
        </w:rPr>
      </w:pPr>
      <w:bookmarkStart w:id="119" w:name="_Toc129882944"/>
      <w:bookmarkStart w:id="120" w:name="_Toc140150520"/>
    </w:p>
    <w:p w14:paraId="583BF897">
      <w:pPr>
        <w:pStyle w:val="3"/>
        <w:spacing w:before="0" w:after="0"/>
        <w:rPr>
          <w:rFonts w:ascii="方正黑体_GBK" w:cs="Times New Roman"/>
          <w:szCs w:val="28"/>
        </w:rPr>
      </w:pPr>
      <w:r>
        <w:rPr>
          <w:rFonts w:hint="eastAsia" w:ascii="方正黑体_GBK" w:cs="Times New Roman"/>
          <w:szCs w:val="28"/>
        </w:rPr>
        <w:t>第二节 重分类、推回收，完善固废收运体系</w:t>
      </w:r>
      <w:bookmarkEnd w:id="119"/>
      <w:bookmarkEnd w:id="120"/>
    </w:p>
    <w:p w14:paraId="192D889C">
      <w:pPr>
        <w:pStyle w:val="4"/>
        <w:ind w:firstLine="640"/>
        <w:rPr>
          <w:rFonts w:ascii="方正黑体_GBK" w:cs="Times New Roman"/>
          <w:szCs w:val="28"/>
        </w:rPr>
      </w:pPr>
      <w:bookmarkStart w:id="121" w:name="_Toc129882945"/>
      <w:r>
        <w:rPr>
          <w:rFonts w:hint="eastAsia" w:ascii="方正黑体_GBK" w:cs="Times New Roman"/>
          <w:szCs w:val="28"/>
        </w:rPr>
        <w:t>一、完善生活垃圾收运体系</w:t>
      </w:r>
      <w:bookmarkEnd w:id="121"/>
    </w:p>
    <w:p w14:paraId="079C181F">
      <w:pPr>
        <w:pStyle w:val="36"/>
        <w:ind w:firstLine="643"/>
        <w:outlineLvl w:val="3"/>
        <w:rPr>
          <w:rFonts w:ascii="方正楷体_GBK" w:eastAsia="方正楷体_GBK" w:cs="Times New Roman"/>
          <w:b/>
          <w:bCs/>
          <w:szCs w:val="28"/>
        </w:rPr>
      </w:pPr>
      <w:bookmarkStart w:id="122" w:name="_Hlk115033977"/>
      <w:r>
        <w:rPr>
          <w:rFonts w:hint="eastAsia" w:ascii="方正楷体_GBK" w:eastAsia="方正楷体_GBK" w:cs="Times New Roman"/>
          <w:b/>
          <w:bCs/>
          <w:szCs w:val="28"/>
        </w:rPr>
        <w:t>（一）</w:t>
      </w:r>
      <w:r>
        <w:rPr>
          <w:rFonts w:ascii="方正楷体_GBK" w:eastAsia="方正楷体_GBK" w:cs="Times New Roman"/>
          <w:b/>
          <w:bCs/>
          <w:szCs w:val="28"/>
        </w:rPr>
        <w:t>强化前端垃圾分类工作</w:t>
      </w:r>
    </w:p>
    <w:p w14:paraId="0EDF1223">
      <w:pPr>
        <w:ind w:firstLine="640" w:firstLineChars="200"/>
        <w:rPr>
          <w:rFonts w:cs="Times New Roman"/>
        </w:rPr>
      </w:pPr>
      <w:r>
        <w:rPr>
          <w:rFonts w:cs="Times New Roman"/>
        </w:rPr>
        <w:t>充分发挥垃圾分类工作领导小组办公室作用，不断完善工作机制，将生活垃圾管理工作逐步延伸至生产、流通、消费环节。加强部门联动，发挥物业公司垃圾分类投放管理责任人作用，提升物业小区垃圾分类管理水平。持续开展</w:t>
      </w:r>
      <w:r>
        <w:rPr>
          <w:rFonts w:hint="eastAsia" w:cs="Times New Roman"/>
        </w:rPr>
        <w:t>“</w:t>
      </w:r>
      <w:r>
        <w:rPr>
          <w:rFonts w:cs="Times New Roman"/>
        </w:rPr>
        <w:t>跟着垃圾趣旅行</w:t>
      </w:r>
      <w:r>
        <w:rPr>
          <w:rFonts w:hint="eastAsia" w:cs="Times New Roman"/>
        </w:rPr>
        <w:t>”</w:t>
      </w:r>
      <w:r>
        <w:rPr>
          <w:rFonts w:cs="Times New Roman"/>
        </w:rPr>
        <w:t>等生活垃圾分类宣传活动，开展最美垃圾分类志愿者评比等正向激励活动，深入开展生活垃圾分类争优除差行动，提高居民对有害垃圾的认识，逐步</w:t>
      </w:r>
      <w:r>
        <w:rPr>
          <w:rFonts w:hint="eastAsia" w:cs="Times New Roman"/>
        </w:rPr>
        <w:t>解决</w:t>
      </w:r>
      <w:r>
        <w:rPr>
          <w:rFonts w:cs="Times New Roman"/>
        </w:rPr>
        <w:t>有害垃圾收集率低的问题。加强对净菜生产、流通环节的</w:t>
      </w:r>
      <w:r>
        <w:rPr>
          <w:rFonts w:cs="Times New Roman"/>
          <w:szCs w:val="32"/>
        </w:rPr>
        <w:t>宣传培训和督促引导工作，把好重点生产企业、批发市场关口。</w:t>
      </w:r>
    </w:p>
    <w:p w14:paraId="72460E63">
      <w:pPr>
        <w:pStyle w:val="36"/>
        <w:ind w:firstLine="643"/>
        <w:outlineLvl w:val="3"/>
        <w:rPr>
          <w:rFonts w:ascii="方正楷体_GBK" w:eastAsia="方正楷体_GBK" w:cs="Times New Roman"/>
          <w:b/>
          <w:bCs/>
          <w:szCs w:val="28"/>
        </w:rPr>
      </w:pPr>
      <w:r>
        <w:rPr>
          <w:rFonts w:hint="eastAsia" w:ascii="方正楷体_GBK" w:eastAsia="方正楷体_GBK" w:cs="Times New Roman"/>
          <w:b/>
          <w:bCs/>
          <w:szCs w:val="28"/>
        </w:rPr>
        <w:t>（二）</w:t>
      </w:r>
      <w:r>
        <w:rPr>
          <w:rFonts w:ascii="方正楷体_GBK" w:eastAsia="方正楷体_GBK" w:cs="Times New Roman"/>
          <w:b/>
          <w:bCs/>
          <w:szCs w:val="28"/>
        </w:rPr>
        <w:t>健全垃圾分类收运体系</w:t>
      </w:r>
    </w:p>
    <w:p w14:paraId="1D0D3457">
      <w:pPr>
        <w:ind w:firstLine="640" w:firstLineChars="200"/>
        <w:rPr>
          <w:rFonts w:cs="Times New Roman"/>
        </w:rPr>
      </w:pPr>
      <w:r>
        <w:rPr>
          <w:rFonts w:cs="Times New Roman"/>
        </w:rPr>
        <w:t>按照</w:t>
      </w:r>
      <w:r>
        <w:rPr>
          <w:rFonts w:hint="eastAsia" w:cs="Times New Roman"/>
        </w:rPr>
        <w:t>“</w:t>
      </w:r>
      <w:r>
        <w:rPr>
          <w:rFonts w:cs="Times New Roman"/>
        </w:rPr>
        <w:t>不同车辆、不同要求、不同去向</w:t>
      </w:r>
      <w:r>
        <w:rPr>
          <w:rFonts w:hint="eastAsia" w:cs="Times New Roman"/>
        </w:rPr>
        <w:t>”</w:t>
      </w:r>
      <w:r>
        <w:rPr>
          <w:rFonts w:cs="Times New Roman"/>
        </w:rPr>
        <w:t>要求，开展分类收运</w:t>
      </w:r>
      <w:r>
        <w:rPr>
          <w:rFonts w:hint="eastAsia" w:cs="Times New Roman"/>
        </w:rPr>
        <w:t>。</w:t>
      </w:r>
      <w:r>
        <w:rPr>
          <w:rFonts w:cs="Times New Roman"/>
        </w:rPr>
        <w:t>升级改造城镇生活垃圾压缩站和收集运输设备，采用</w:t>
      </w:r>
      <w:r>
        <w:rPr>
          <w:rFonts w:hint="eastAsia" w:cs="Times New Roman"/>
        </w:rPr>
        <w:t>“</w:t>
      </w:r>
      <w:r>
        <w:rPr>
          <w:rFonts w:cs="Times New Roman"/>
        </w:rPr>
        <w:t>车车对接</w:t>
      </w:r>
      <w:r>
        <w:rPr>
          <w:rFonts w:hint="eastAsia" w:cs="Times New Roman"/>
        </w:rPr>
        <w:t>”</w:t>
      </w:r>
      <w:r>
        <w:rPr>
          <w:rFonts w:cs="Times New Roman"/>
        </w:rPr>
        <w:t>等方式改进优化中转站其他垃圾中转模式，减少其他垃圾暂存导致的异味</w:t>
      </w:r>
      <w:r>
        <w:rPr>
          <w:rFonts w:hint="eastAsia" w:cs="Times New Roman"/>
        </w:rPr>
        <w:t>。</w:t>
      </w:r>
      <w:r>
        <w:rPr>
          <w:rFonts w:cs="Times New Roman"/>
        </w:rPr>
        <w:t>逐步推进垃圾分类，建立分类投放、分类收集、分类运输的垃圾处置系统</w:t>
      </w:r>
      <w:r>
        <w:rPr>
          <w:rFonts w:hint="eastAsia" w:cs="Times New Roman"/>
        </w:rPr>
        <w:t>。</w:t>
      </w:r>
      <w:r>
        <w:rPr>
          <w:rFonts w:cs="Times New Roman"/>
        </w:rPr>
        <w:t>推进生活垃圾转运站项目建设，对全区垃圾转运体系进行优化升级</w:t>
      </w:r>
      <w:r>
        <w:rPr>
          <w:rFonts w:hint="eastAsia" w:cs="Times New Roman"/>
        </w:rPr>
        <w:t>，</w:t>
      </w:r>
      <w:r>
        <w:rPr>
          <w:rFonts w:cs="Times New Roman"/>
        </w:rPr>
        <w:t>改造一批关键位置中转站、关停（转用）一批群众投诉较多中转站</w:t>
      </w:r>
      <w:r>
        <w:rPr>
          <w:rFonts w:hint="eastAsia" w:cs="Times New Roman"/>
        </w:rPr>
        <w:t>。</w:t>
      </w:r>
    </w:p>
    <w:bookmarkEnd w:id="122"/>
    <w:p w14:paraId="4A6FA49D">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（三）</w:t>
      </w:r>
      <w:r>
        <w:rPr>
          <w:rFonts w:ascii="方正楷体_GBK" w:eastAsia="方正楷体_GBK" w:cs="Times New Roman"/>
          <w:b/>
          <w:bCs/>
          <w:szCs w:val="28"/>
        </w:rPr>
        <w:t>完善</w:t>
      </w:r>
      <w:r>
        <w:rPr>
          <w:rFonts w:hint="eastAsia" w:ascii="方正楷体_GBK" w:eastAsia="方正楷体_GBK" w:cs="Times New Roman"/>
          <w:b/>
          <w:bCs/>
          <w:szCs w:val="28"/>
        </w:rPr>
        <w:t>“</w:t>
      </w:r>
      <w:r>
        <w:rPr>
          <w:rFonts w:ascii="方正楷体_GBK" w:eastAsia="方正楷体_GBK" w:cs="Times New Roman"/>
          <w:b/>
          <w:bCs/>
          <w:szCs w:val="28"/>
        </w:rPr>
        <w:t>两网融合</w:t>
      </w:r>
      <w:r>
        <w:rPr>
          <w:rFonts w:hint="eastAsia" w:ascii="方正楷体_GBK" w:eastAsia="方正楷体_GBK" w:cs="Times New Roman"/>
          <w:b/>
          <w:bCs/>
          <w:szCs w:val="28"/>
        </w:rPr>
        <w:t>”</w:t>
      </w:r>
      <w:r>
        <w:rPr>
          <w:rFonts w:ascii="方正楷体_GBK" w:eastAsia="方正楷体_GBK" w:cs="Times New Roman"/>
          <w:b/>
          <w:bCs/>
          <w:szCs w:val="28"/>
        </w:rPr>
        <w:t>体系建设</w:t>
      </w:r>
    </w:p>
    <w:p w14:paraId="5DC50FCC">
      <w:pPr>
        <w:ind w:firstLine="640" w:firstLineChars="200"/>
        <w:rPr>
          <w:rFonts w:cs="Times New Roman"/>
        </w:rPr>
      </w:pPr>
      <w:r>
        <w:rPr>
          <w:rFonts w:cs="Times New Roman"/>
        </w:rPr>
        <w:t>推进生活垃圾分类网点与再生资源回收网络</w:t>
      </w:r>
      <w:r>
        <w:rPr>
          <w:rFonts w:hint="eastAsia" w:cs="Times New Roman"/>
        </w:rPr>
        <w:t>“</w:t>
      </w:r>
      <w:r>
        <w:rPr>
          <w:rFonts w:cs="Times New Roman"/>
        </w:rPr>
        <w:t>两网融合</w:t>
      </w:r>
      <w:r>
        <w:rPr>
          <w:rFonts w:hint="eastAsia" w:cs="Times New Roman"/>
        </w:rPr>
        <w:t>”，</w:t>
      </w:r>
      <w:r>
        <w:rPr>
          <w:rFonts w:cs="Times New Roman"/>
        </w:rPr>
        <w:t>构建</w:t>
      </w:r>
      <w:r>
        <w:rPr>
          <w:rFonts w:hint="eastAsia" w:cs="Times New Roman"/>
        </w:rPr>
        <w:t>“</w:t>
      </w:r>
      <w:r>
        <w:rPr>
          <w:rFonts w:cs="Times New Roman"/>
        </w:rPr>
        <w:t>点、站、中心</w:t>
      </w:r>
      <w:r>
        <w:rPr>
          <w:rFonts w:hint="eastAsia" w:cs="Times New Roman"/>
        </w:rPr>
        <w:t>”</w:t>
      </w:r>
      <w:r>
        <w:rPr>
          <w:rFonts w:cs="Times New Roman"/>
        </w:rPr>
        <w:t>三级回收网络，大力提升低价值可回收物的回收利用率。结合垃圾分类收集点、便民服务中心、宣传教育站等建设一批</w:t>
      </w:r>
      <w:r>
        <w:rPr>
          <w:rFonts w:hint="eastAsia" w:cs="Times New Roman"/>
        </w:rPr>
        <w:t>“</w:t>
      </w:r>
      <w:r>
        <w:rPr>
          <w:rFonts w:cs="Times New Roman"/>
        </w:rPr>
        <w:t>回收服务点</w:t>
      </w:r>
      <w:r>
        <w:rPr>
          <w:rFonts w:hint="eastAsia" w:cs="Times New Roman"/>
        </w:rPr>
        <w:t>”，</w:t>
      </w:r>
      <w:r>
        <w:rPr>
          <w:rFonts w:cs="Times New Roman"/>
        </w:rPr>
        <w:t>实现可回收物交易全覆盖，提升低价值可回收物收集量，破解低价值回收物回收难问题，推动垃圾分类水平再上新台阶。</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9"/>
      </w:tblGrid>
      <w:tr w14:paraId="7B55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879" w:type="dxa"/>
            <w:shd w:val="clear" w:color="auto" w:fill="D8D8D8" w:themeFill="background1" w:themeFillShade="D9"/>
          </w:tcPr>
          <w:p w14:paraId="51CBD6F2">
            <w:pPr>
              <w:jc w:val="center"/>
              <w:rPr>
                <w:rFonts w:cs="Times New Roman"/>
                <w:b/>
                <w:bCs/>
                <w:szCs w:val="28"/>
              </w:rPr>
            </w:pPr>
            <w:r>
              <w:rPr>
                <w:rFonts w:cs="Times New Roman"/>
                <w:b/>
                <w:bCs/>
                <w:szCs w:val="28"/>
              </w:rPr>
              <w:t>专栏4.2</w:t>
            </w:r>
            <w:r>
              <w:rPr>
                <w:rFonts w:hint="eastAsia" w:cs="Times New Roman"/>
                <w:b/>
                <w:bCs/>
                <w:szCs w:val="28"/>
              </w:rPr>
              <w:t>－</w:t>
            </w:r>
            <w:r>
              <w:rPr>
                <w:rFonts w:cs="Times New Roman"/>
                <w:b/>
                <w:bCs/>
                <w:szCs w:val="28"/>
              </w:rPr>
              <w:t xml:space="preserve">1 </w:t>
            </w:r>
            <w:r>
              <w:rPr>
                <w:rFonts w:hint="eastAsia" w:cs="Times New Roman"/>
                <w:b/>
                <w:bCs/>
                <w:szCs w:val="28"/>
              </w:rPr>
              <w:t>“</w:t>
            </w:r>
            <w:r>
              <w:rPr>
                <w:rFonts w:cs="Times New Roman"/>
                <w:b/>
                <w:bCs/>
                <w:szCs w:val="28"/>
              </w:rPr>
              <w:t>玄武环保宝</w:t>
            </w:r>
            <w:r>
              <w:rPr>
                <w:rFonts w:hint="eastAsia" w:cs="Times New Roman"/>
                <w:b/>
                <w:bCs/>
                <w:szCs w:val="28"/>
              </w:rPr>
              <w:t>”</w:t>
            </w:r>
            <w:r>
              <w:rPr>
                <w:rFonts w:cs="Times New Roman"/>
                <w:b/>
                <w:bCs/>
                <w:szCs w:val="28"/>
              </w:rPr>
              <w:t>助力垃圾分类</w:t>
            </w:r>
          </w:p>
        </w:tc>
      </w:tr>
      <w:tr w14:paraId="7622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9" w:type="dxa"/>
          </w:tcPr>
          <w:p w14:paraId="05239E88">
            <w:pPr>
              <w:spacing w:line="480" w:lineRule="exact"/>
              <w:ind w:firstLine="600" w:firstLineChars="200"/>
              <w:rPr>
                <w:rFonts w:cs="Times New Roman"/>
                <w:sz w:val="30"/>
                <w:szCs w:val="30"/>
              </w:rPr>
            </w:pPr>
            <w:r>
              <w:rPr>
                <w:rFonts w:cs="Times New Roman"/>
                <w:sz w:val="30"/>
                <w:szCs w:val="30"/>
              </w:rPr>
              <w:t>玄武区环境集团在</w:t>
            </w:r>
            <w:r>
              <w:rPr>
                <w:rFonts w:hint="eastAsia" w:cs="Times New Roman"/>
                <w:sz w:val="30"/>
                <w:szCs w:val="30"/>
              </w:rPr>
              <w:t>“</w:t>
            </w:r>
            <w:r>
              <w:rPr>
                <w:rFonts w:cs="Times New Roman"/>
                <w:sz w:val="30"/>
                <w:szCs w:val="30"/>
              </w:rPr>
              <w:t>一体化</w:t>
            </w:r>
            <w:r>
              <w:rPr>
                <w:rFonts w:hint="eastAsia" w:cs="Times New Roman"/>
                <w:sz w:val="30"/>
                <w:szCs w:val="30"/>
              </w:rPr>
              <w:t>”</w:t>
            </w:r>
            <w:r>
              <w:rPr>
                <w:rFonts w:cs="Times New Roman"/>
                <w:sz w:val="30"/>
                <w:szCs w:val="30"/>
              </w:rPr>
              <w:t>推进玄武区垃圾分类资源化、减量化、无害化的同时，充分发挥</w:t>
            </w:r>
            <w:r>
              <w:rPr>
                <w:rFonts w:hint="eastAsia" w:cs="Times New Roman"/>
                <w:sz w:val="30"/>
                <w:szCs w:val="30"/>
              </w:rPr>
              <w:t>“</w:t>
            </w:r>
            <w:r>
              <w:rPr>
                <w:rFonts w:cs="Times New Roman"/>
                <w:sz w:val="30"/>
                <w:szCs w:val="30"/>
              </w:rPr>
              <w:t>互联网思维</w:t>
            </w:r>
            <w:r>
              <w:rPr>
                <w:rFonts w:hint="eastAsia" w:cs="Times New Roman"/>
                <w:sz w:val="30"/>
                <w:szCs w:val="30"/>
              </w:rPr>
              <w:t>”，利用</w:t>
            </w:r>
            <w:r>
              <w:rPr>
                <w:rFonts w:cs="Times New Roman"/>
                <w:sz w:val="30"/>
                <w:szCs w:val="30"/>
              </w:rPr>
              <w:t>垃圾分类行业、再生资源行业的</w:t>
            </w:r>
            <w:r>
              <w:rPr>
                <w:rFonts w:hint="eastAsia" w:cs="Times New Roman"/>
                <w:sz w:val="30"/>
                <w:szCs w:val="30"/>
              </w:rPr>
              <w:t>“</w:t>
            </w:r>
            <w:r>
              <w:rPr>
                <w:rFonts w:cs="Times New Roman"/>
                <w:sz w:val="30"/>
                <w:szCs w:val="30"/>
              </w:rPr>
              <w:t>双向基因</w:t>
            </w:r>
            <w:r>
              <w:rPr>
                <w:rFonts w:hint="eastAsia" w:cs="Times New Roman"/>
                <w:sz w:val="30"/>
                <w:szCs w:val="30"/>
              </w:rPr>
              <w:t>”，</w:t>
            </w:r>
            <w:r>
              <w:rPr>
                <w:rFonts w:cs="Times New Roman"/>
                <w:sz w:val="30"/>
                <w:szCs w:val="30"/>
              </w:rPr>
              <w:t>以</w:t>
            </w:r>
            <w:r>
              <w:rPr>
                <w:rFonts w:hint="eastAsia" w:cs="Times New Roman"/>
                <w:sz w:val="30"/>
                <w:szCs w:val="30"/>
              </w:rPr>
              <w:t>“</w:t>
            </w:r>
            <w:r>
              <w:rPr>
                <w:rFonts w:cs="Times New Roman"/>
                <w:sz w:val="30"/>
                <w:szCs w:val="30"/>
              </w:rPr>
              <w:t>再生资源回收</w:t>
            </w:r>
            <w:r>
              <w:rPr>
                <w:rFonts w:hint="eastAsia" w:cs="Times New Roman"/>
                <w:sz w:val="30"/>
                <w:szCs w:val="30"/>
              </w:rPr>
              <w:t>”</w:t>
            </w:r>
            <w:r>
              <w:rPr>
                <w:rFonts w:cs="Times New Roman"/>
                <w:sz w:val="30"/>
                <w:szCs w:val="30"/>
              </w:rPr>
              <w:t>撬动</w:t>
            </w:r>
            <w:r>
              <w:rPr>
                <w:rFonts w:hint="eastAsia" w:cs="Times New Roman"/>
                <w:sz w:val="30"/>
                <w:szCs w:val="30"/>
              </w:rPr>
              <w:t>“</w:t>
            </w:r>
            <w:r>
              <w:rPr>
                <w:rFonts w:cs="Times New Roman"/>
                <w:sz w:val="30"/>
                <w:szCs w:val="30"/>
              </w:rPr>
              <w:t>垃圾分类回收</w:t>
            </w:r>
            <w:r>
              <w:rPr>
                <w:rFonts w:hint="eastAsia" w:cs="Times New Roman"/>
                <w:sz w:val="30"/>
                <w:szCs w:val="30"/>
              </w:rPr>
              <w:t>”，</w:t>
            </w:r>
            <w:r>
              <w:rPr>
                <w:rFonts w:cs="Times New Roman"/>
                <w:sz w:val="30"/>
                <w:szCs w:val="30"/>
              </w:rPr>
              <w:t>逐步推动垃圾分类回收体系从公共性事业向市场化运作。</w:t>
            </w:r>
          </w:p>
          <w:p w14:paraId="48D77B26">
            <w:pPr>
              <w:spacing w:line="480" w:lineRule="exact"/>
              <w:ind w:firstLine="602" w:firstLineChars="200"/>
              <w:rPr>
                <w:rFonts w:cs="Times New Roman"/>
                <w:sz w:val="30"/>
                <w:szCs w:val="30"/>
              </w:rPr>
            </w:pPr>
            <w:r>
              <w:rPr>
                <w:rFonts w:cs="Times New Roman"/>
                <w:b/>
                <w:bCs/>
                <w:sz w:val="30"/>
                <w:szCs w:val="30"/>
              </w:rPr>
              <w:t>以</w:t>
            </w:r>
            <w:r>
              <w:rPr>
                <w:rFonts w:hint="eastAsia" w:cs="Times New Roman"/>
                <w:b/>
                <w:bCs/>
                <w:sz w:val="30"/>
                <w:szCs w:val="30"/>
              </w:rPr>
              <w:t>“</w:t>
            </w:r>
            <w:r>
              <w:rPr>
                <w:rFonts w:cs="Times New Roman"/>
                <w:b/>
                <w:bCs/>
                <w:sz w:val="30"/>
                <w:szCs w:val="30"/>
              </w:rPr>
              <w:t>数字化</w:t>
            </w:r>
            <w:r>
              <w:rPr>
                <w:rFonts w:hint="eastAsia" w:cs="Times New Roman"/>
                <w:b/>
                <w:bCs/>
                <w:sz w:val="30"/>
                <w:szCs w:val="30"/>
              </w:rPr>
              <w:t>”</w:t>
            </w:r>
            <w:r>
              <w:rPr>
                <w:rFonts w:cs="Times New Roman"/>
                <w:b/>
                <w:bCs/>
                <w:sz w:val="30"/>
                <w:szCs w:val="30"/>
              </w:rPr>
              <w:t>技术重塑回收前端渠道。</w:t>
            </w:r>
            <w:r>
              <w:rPr>
                <w:rFonts w:cs="Times New Roman"/>
                <w:sz w:val="30"/>
                <w:szCs w:val="30"/>
              </w:rPr>
              <w:t>创新研发</w:t>
            </w:r>
            <w:r>
              <w:rPr>
                <w:rFonts w:hint="eastAsia" w:cs="Times New Roman"/>
                <w:sz w:val="30"/>
                <w:szCs w:val="30"/>
              </w:rPr>
              <w:t>“</w:t>
            </w:r>
            <w:r>
              <w:rPr>
                <w:rFonts w:cs="Times New Roman"/>
                <w:sz w:val="30"/>
                <w:szCs w:val="30"/>
              </w:rPr>
              <w:t>玄武环保宝</w:t>
            </w:r>
            <w:r>
              <w:rPr>
                <w:rFonts w:hint="eastAsia" w:cs="Times New Roman"/>
                <w:sz w:val="30"/>
                <w:szCs w:val="30"/>
              </w:rPr>
              <w:t>”</w:t>
            </w:r>
            <w:r>
              <w:rPr>
                <w:rFonts w:cs="Times New Roman"/>
                <w:sz w:val="30"/>
                <w:szCs w:val="30"/>
              </w:rPr>
              <w:t>智能回收服务平台，系统融合再生资源分类回收、积分兑换、二手物品闲置交易等综合功能，将再生资源前端渠道纳入系统，打造居民小区等主体单位全覆盖、垃圾品类全覆盖、分类流程全覆盖数据化体系。通过</w:t>
            </w:r>
            <w:r>
              <w:rPr>
                <w:rFonts w:hint="eastAsia" w:cs="Times New Roman"/>
                <w:sz w:val="30"/>
                <w:szCs w:val="30"/>
              </w:rPr>
              <w:t>“</w:t>
            </w:r>
            <w:r>
              <w:rPr>
                <w:rFonts w:cs="Times New Roman"/>
                <w:sz w:val="30"/>
                <w:szCs w:val="30"/>
              </w:rPr>
              <w:t>A.I引擎</w:t>
            </w:r>
            <w:r>
              <w:rPr>
                <w:rFonts w:hint="eastAsia" w:cs="Times New Roman"/>
                <w:sz w:val="30"/>
                <w:szCs w:val="30"/>
              </w:rPr>
              <w:t>”</w:t>
            </w:r>
            <w:r>
              <w:rPr>
                <w:rFonts w:cs="Times New Roman"/>
                <w:sz w:val="30"/>
                <w:szCs w:val="30"/>
              </w:rPr>
              <w:t>全天候、全方位对辖区各类信息资源动态感知，依托大数据分析研判运行状态，为后期</w:t>
            </w:r>
            <w:r>
              <w:rPr>
                <w:rFonts w:hint="eastAsia" w:cs="Times New Roman"/>
                <w:sz w:val="30"/>
                <w:szCs w:val="30"/>
              </w:rPr>
              <w:t>功能</w:t>
            </w:r>
            <w:r>
              <w:rPr>
                <w:rFonts w:cs="Times New Roman"/>
                <w:sz w:val="30"/>
                <w:szCs w:val="30"/>
              </w:rPr>
              <w:t>调整提供决策依据。</w:t>
            </w:r>
          </w:p>
          <w:p w14:paraId="250D6A77">
            <w:pPr>
              <w:spacing w:line="480" w:lineRule="exact"/>
              <w:ind w:firstLine="602" w:firstLineChars="200"/>
              <w:rPr>
                <w:rFonts w:cs="Times New Roman"/>
                <w:sz w:val="30"/>
                <w:szCs w:val="30"/>
              </w:rPr>
            </w:pPr>
            <w:r>
              <w:rPr>
                <w:rFonts w:cs="Times New Roman"/>
                <w:b/>
                <w:bCs/>
                <w:sz w:val="30"/>
                <w:szCs w:val="30"/>
              </w:rPr>
              <w:t>以</w:t>
            </w:r>
            <w:r>
              <w:rPr>
                <w:rFonts w:hint="eastAsia" w:cs="Times New Roman"/>
                <w:b/>
                <w:bCs/>
                <w:sz w:val="30"/>
                <w:szCs w:val="30"/>
              </w:rPr>
              <w:t>“</w:t>
            </w:r>
            <w:r>
              <w:rPr>
                <w:rFonts w:cs="Times New Roman"/>
                <w:b/>
                <w:bCs/>
                <w:sz w:val="30"/>
                <w:szCs w:val="30"/>
              </w:rPr>
              <w:t>智能化</w:t>
            </w:r>
            <w:r>
              <w:rPr>
                <w:rFonts w:hint="eastAsia" w:cs="Times New Roman"/>
                <w:b/>
                <w:bCs/>
                <w:sz w:val="30"/>
                <w:szCs w:val="30"/>
              </w:rPr>
              <w:t>”</w:t>
            </w:r>
            <w:r>
              <w:rPr>
                <w:rFonts w:cs="Times New Roman"/>
                <w:b/>
                <w:bCs/>
                <w:sz w:val="30"/>
                <w:szCs w:val="30"/>
              </w:rPr>
              <w:t>管理科学构架监管体系。</w:t>
            </w:r>
            <w:r>
              <w:rPr>
                <w:rFonts w:cs="Times New Roman"/>
                <w:sz w:val="30"/>
                <w:szCs w:val="30"/>
              </w:rPr>
              <w:t>以数据应用为导向，将管理重心前置，逐步从</w:t>
            </w:r>
            <w:r>
              <w:rPr>
                <w:rFonts w:hint="eastAsia" w:cs="Times New Roman"/>
                <w:sz w:val="30"/>
                <w:szCs w:val="30"/>
              </w:rPr>
              <w:t>“</w:t>
            </w:r>
            <w:r>
              <w:rPr>
                <w:rFonts w:cs="Times New Roman"/>
                <w:sz w:val="30"/>
                <w:szCs w:val="30"/>
              </w:rPr>
              <w:t>被动处置</w:t>
            </w:r>
            <w:r>
              <w:rPr>
                <w:rFonts w:hint="eastAsia" w:cs="Times New Roman"/>
                <w:sz w:val="30"/>
                <w:szCs w:val="30"/>
              </w:rPr>
              <w:t>”</w:t>
            </w:r>
            <w:r>
              <w:rPr>
                <w:rFonts w:cs="Times New Roman"/>
                <w:sz w:val="30"/>
                <w:szCs w:val="30"/>
              </w:rPr>
              <w:t>向</w:t>
            </w:r>
            <w:r>
              <w:rPr>
                <w:rFonts w:hint="eastAsia" w:cs="Times New Roman"/>
                <w:sz w:val="30"/>
                <w:szCs w:val="30"/>
              </w:rPr>
              <w:t>“</w:t>
            </w:r>
            <w:r>
              <w:rPr>
                <w:rFonts w:cs="Times New Roman"/>
                <w:sz w:val="30"/>
                <w:szCs w:val="30"/>
              </w:rPr>
              <w:t>主动应对</w:t>
            </w:r>
            <w:r>
              <w:rPr>
                <w:rFonts w:hint="eastAsia" w:cs="Times New Roman"/>
                <w:sz w:val="30"/>
                <w:szCs w:val="30"/>
              </w:rPr>
              <w:t>”</w:t>
            </w:r>
            <w:r>
              <w:rPr>
                <w:rFonts w:cs="Times New Roman"/>
                <w:sz w:val="30"/>
                <w:szCs w:val="30"/>
              </w:rPr>
              <w:t>转变，通过BI实时图表对垃圾收集量、可回收物回收量、分类准确率等实现</w:t>
            </w:r>
            <w:r>
              <w:rPr>
                <w:rFonts w:hint="eastAsia" w:cs="Times New Roman"/>
                <w:sz w:val="30"/>
                <w:szCs w:val="30"/>
              </w:rPr>
              <w:t>“</w:t>
            </w:r>
            <w:r>
              <w:rPr>
                <w:rFonts w:cs="Times New Roman"/>
                <w:sz w:val="30"/>
                <w:szCs w:val="30"/>
              </w:rPr>
              <w:t>一屏监管</w:t>
            </w:r>
            <w:r>
              <w:rPr>
                <w:rFonts w:hint="eastAsia" w:cs="Times New Roman"/>
                <w:sz w:val="30"/>
                <w:szCs w:val="30"/>
              </w:rPr>
              <w:t>”。</w:t>
            </w:r>
            <w:r>
              <w:rPr>
                <w:rFonts w:cs="Times New Roman"/>
                <w:sz w:val="30"/>
                <w:szCs w:val="30"/>
              </w:rPr>
              <w:t>构建A.I预处理管理新模式，智能判别预警派发工单，个性化定制各类场景收运服务，快速汇集、调动线上线下资源，提升收运效率。</w:t>
            </w:r>
          </w:p>
          <w:p w14:paraId="3363A33C">
            <w:pPr>
              <w:spacing w:line="480" w:lineRule="exact"/>
              <w:ind w:firstLine="602" w:firstLineChars="200"/>
              <w:rPr>
                <w:rFonts w:cs="Times New Roman"/>
                <w:szCs w:val="28"/>
              </w:rPr>
            </w:pPr>
            <w:r>
              <w:rPr>
                <w:rFonts w:cs="Times New Roman"/>
                <w:b/>
                <w:bCs/>
                <w:sz w:val="30"/>
                <w:szCs w:val="30"/>
              </w:rPr>
              <w:t>以</w:t>
            </w:r>
            <w:r>
              <w:rPr>
                <w:rFonts w:hint="eastAsia" w:cs="Times New Roman"/>
                <w:b/>
                <w:bCs/>
                <w:sz w:val="30"/>
                <w:szCs w:val="30"/>
              </w:rPr>
              <w:t>“</w:t>
            </w:r>
            <w:r>
              <w:rPr>
                <w:rFonts w:cs="Times New Roman"/>
                <w:b/>
                <w:bCs/>
                <w:sz w:val="30"/>
                <w:szCs w:val="30"/>
              </w:rPr>
              <w:t>人性化</w:t>
            </w:r>
            <w:r>
              <w:rPr>
                <w:rFonts w:hint="eastAsia" w:cs="Times New Roman"/>
                <w:b/>
                <w:bCs/>
                <w:sz w:val="30"/>
                <w:szCs w:val="30"/>
              </w:rPr>
              <w:t>”</w:t>
            </w:r>
            <w:r>
              <w:rPr>
                <w:rFonts w:cs="Times New Roman"/>
                <w:b/>
                <w:bCs/>
                <w:sz w:val="30"/>
                <w:szCs w:val="30"/>
              </w:rPr>
              <w:t>服务引导再生资源存量。</w:t>
            </w:r>
            <w:r>
              <w:rPr>
                <w:rFonts w:cs="Times New Roman"/>
                <w:sz w:val="30"/>
                <w:szCs w:val="30"/>
              </w:rPr>
              <w:t>以集装箱标柜为载体，打造</w:t>
            </w:r>
            <w:r>
              <w:rPr>
                <w:rFonts w:hint="eastAsia" w:cs="Times New Roman"/>
                <w:sz w:val="30"/>
                <w:szCs w:val="30"/>
              </w:rPr>
              <w:t>具备</w:t>
            </w:r>
            <w:r>
              <w:rPr>
                <w:rFonts w:cs="Times New Roman"/>
                <w:sz w:val="30"/>
                <w:szCs w:val="30"/>
              </w:rPr>
              <w:t>24小时可回收交易功能的</w:t>
            </w:r>
            <w:r>
              <w:rPr>
                <w:rFonts w:hint="eastAsia" w:cs="Times New Roman"/>
                <w:sz w:val="30"/>
                <w:szCs w:val="30"/>
              </w:rPr>
              <w:t>“</w:t>
            </w:r>
            <w:r>
              <w:rPr>
                <w:rFonts w:cs="Times New Roman"/>
                <w:sz w:val="30"/>
                <w:szCs w:val="30"/>
              </w:rPr>
              <w:t>可回收垃圾精细化分类交投点</w:t>
            </w:r>
            <w:r>
              <w:rPr>
                <w:rFonts w:hint="eastAsia" w:cs="Times New Roman"/>
                <w:sz w:val="30"/>
                <w:szCs w:val="30"/>
              </w:rPr>
              <w:t>”，</w:t>
            </w:r>
            <w:r>
              <w:rPr>
                <w:rFonts w:cs="Times New Roman"/>
                <w:sz w:val="30"/>
                <w:szCs w:val="30"/>
              </w:rPr>
              <w:t>引导居民主动参与垃圾分类和资源利用。</w:t>
            </w:r>
          </w:p>
        </w:tc>
      </w:tr>
    </w:tbl>
    <w:p w14:paraId="3936A000">
      <w:pPr>
        <w:pStyle w:val="4"/>
        <w:ind w:firstLine="640"/>
        <w:rPr>
          <w:rFonts w:ascii="方正黑体_GBK" w:cs="Times New Roman"/>
          <w:szCs w:val="28"/>
        </w:rPr>
      </w:pPr>
      <w:bookmarkStart w:id="123" w:name="_Toc129882946"/>
      <w:r>
        <w:rPr>
          <w:rFonts w:hint="eastAsia" w:ascii="方正黑体_GBK" w:cs="Times New Roman"/>
          <w:szCs w:val="28"/>
        </w:rPr>
        <w:t>二、健全危废分类收集体系</w:t>
      </w:r>
      <w:bookmarkEnd w:id="123"/>
    </w:p>
    <w:p w14:paraId="67FF4865">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（一）</w:t>
      </w:r>
      <w:r>
        <w:rPr>
          <w:rFonts w:ascii="方正楷体_GBK" w:eastAsia="方正楷体_GBK" w:cs="Times New Roman"/>
          <w:b/>
          <w:bCs/>
          <w:szCs w:val="28"/>
        </w:rPr>
        <w:t>完善危险废物分级分类</w:t>
      </w:r>
    </w:p>
    <w:p w14:paraId="25AFED0B">
      <w:pPr>
        <w:ind w:firstLine="640" w:firstLineChars="200"/>
        <w:rPr>
          <w:rFonts w:cs="Times New Roman"/>
        </w:rPr>
      </w:pPr>
      <w:r>
        <w:rPr>
          <w:rFonts w:cs="Times New Roman"/>
        </w:rPr>
        <w:t>实行危险废物分级分类管理，对不同环境风险等级危险废物产生单位实行差别化管理，优化简化低环境风险的一般源单位及特殊行业管理要求，降低管理成本、提高管理效率。到2022年，建立比较完善的危险废物分级分类管理体系，危险废物规范化管理水平稳步提升。</w:t>
      </w:r>
    </w:p>
    <w:p w14:paraId="476FB702">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（二）</w:t>
      </w:r>
      <w:r>
        <w:rPr>
          <w:rFonts w:ascii="方正楷体_GBK" w:eastAsia="方正楷体_GBK" w:cs="Times New Roman"/>
          <w:b/>
          <w:bCs/>
          <w:szCs w:val="28"/>
        </w:rPr>
        <w:t>规范小量危废收集贮存工作</w:t>
      </w:r>
    </w:p>
    <w:p w14:paraId="7035A4C7">
      <w:pPr>
        <w:ind w:firstLine="640" w:firstLineChars="200"/>
        <w:rPr>
          <w:rFonts w:cs="Times New Roman"/>
        </w:rPr>
      </w:pPr>
      <w:r>
        <w:rPr>
          <w:rFonts w:cs="Times New Roman"/>
        </w:rPr>
        <w:t>推进区域危险废物集中收集体系建设，实现服务区域和收集种类全覆盖，建成全程可追溯的监控体系。重点完善教育、汽修等特殊行业的危险废物收集体系建设。加强危险废物规范化环境管理评估工作，及时通报考核情况，提高企业危险废物规范化管理水平。推进历史遗留危险废物的清理处置工作，有效防控危险废物环境风险。</w:t>
      </w:r>
    </w:p>
    <w:p w14:paraId="737A3FBD">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（三）</w:t>
      </w:r>
      <w:r>
        <w:rPr>
          <w:rFonts w:ascii="方正楷体_GBK" w:eastAsia="方正楷体_GBK" w:cs="Times New Roman"/>
          <w:b/>
          <w:bCs/>
          <w:szCs w:val="28"/>
        </w:rPr>
        <w:t>完善医疗废物</w:t>
      </w:r>
      <w:r>
        <w:rPr>
          <w:rFonts w:hint="eastAsia" w:ascii="方正楷体_GBK" w:eastAsia="方正楷体_GBK" w:cs="Times New Roman"/>
          <w:b/>
          <w:bCs/>
          <w:szCs w:val="28"/>
        </w:rPr>
        <w:t>“</w:t>
      </w:r>
      <w:r>
        <w:rPr>
          <w:rFonts w:ascii="方正楷体_GBK" w:eastAsia="方正楷体_GBK" w:cs="Times New Roman"/>
          <w:b/>
          <w:bCs/>
          <w:szCs w:val="28"/>
        </w:rPr>
        <w:t>平战结合</w:t>
      </w:r>
      <w:r>
        <w:rPr>
          <w:rFonts w:hint="eastAsia" w:ascii="方正楷体_GBK" w:eastAsia="方正楷体_GBK" w:cs="Times New Roman"/>
          <w:b/>
          <w:bCs/>
          <w:szCs w:val="28"/>
        </w:rPr>
        <w:t>”</w:t>
      </w:r>
      <w:r>
        <w:rPr>
          <w:rFonts w:ascii="方正楷体_GBK" w:eastAsia="方正楷体_GBK" w:cs="Times New Roman"/>
          <w:b/>
          <w:bCs/>
          <w:szCs w:val="28"/>
        </w:rPr>
        <w:t>收运体系</w:t>
      </w:r>
    </w:p>
    <w:p w14:paraId="0AAB3A23">
      <w:pPr>
        <w:ind w:firstLine="640" w:firstLineChars="200"/>
        <w:rPr>
          <w:rFonts w:cs="Times New Roman"/>
        </w:rPr>
      </w:pPr>
      <w:r>
        <w:rPr>
          <w:rFonts w:cs="Times New Roman"/>
        </w:rPr>
        <w:t>加快补齐小型医疗机构（床位数在19床及以下的医疗机构）医疗废物收集短板，设置区域性医疗废物集中收集点，</w:t>
      </w:r>
      <w:r>
        <w:rPr>
          <w:rFonts w:cs="Times New Roman"/>
          <w:bCs/>
          <w:szCs w:val="21"/>
        </w:rPr>
        <w:t>推进医疗废物贮存空间扩容，</w:t>
      </w:r>
      <w:r>
        <w:rPr>
          <w:rFonts w:cs="Times New Roman"/>
        </w:rPr>
        <w:t>提升区域医疗废物收集服务能力。</w:t>
      </w:r>
      <w:r>
        <w:rPr>
          <w:rFonts w:hint="eastAsia" w:cs="Times New Roman"/>
          <w:bCs/>
          <w:szCs w:val="21"/>
        </w:rPr>
        <w:t>提高</w:t>
      </w:r>
      <w:r>
        <w:rPr>
          <w:rFonts w:cs="Times New Roman"/>
          <w:bCs/>
          <w:szCs w:val="21"/>
        </w:rPr>
        <w:t>医疗废物应急收集输送能力，</w:t>
      </w:r>
      <w:r>
        <w:rPr>
          <w:rFonts w:cs="Times New Roman"/>
        </w:rPr>
        <w:t>建立涉疫废弃物处置应急设施清单，做好应急收运能力建设</w:t>
      </w:r>
      <w:r>
        <w:rPr>
          <w:rFonts w:hint="eastAsia" w:cs="Times New Roman"/>
        </w:rPr>
        <w:t>。</w:t>
      </w:r>
      <w:r>
        <w:rPr>
          <w:rFonts w:cs="Times New Roman"/>
        </w:rPr>
        <w:t>2025年底</w:t>
      </w:r>
      <w:r>
        <w:rPr>
          <w:rFonts w:hint="eastAsia" w:cs="Times New Roman"/>
        </w:rPr>
        <w:t>，</w:t>
      </w:r>
      <w:r>
        <w:rPr>
          <w:rFonts w:cs="Times New Roman"/>
        </w:rPr>
        <w:t>力争建成覆盖全区的医疗废物收集转运体系，进一步提升收运效率，降低收运成本，医疗废物</w:t>
      </w:r>
      <w:r>
        <w:rPr>
          <w:rFonts w:hint="eastAsia" w:cs="Times New Roman"/>
        </w:rPr>
        <w:t>“</w:t>
      </w:r>
      <w:r>
        <w:rPr>
          <w:rFonts w:cs="Times New Roman"/>
        </w:rPr>
        <w:t>平战结合</w:t>
      </w:r>
      <w:r>
        <w:rPr>
          <w:rFonts w:hint="eastAsia" w:cs="Times New Roman"/>
        </w:rPr>
        <w:t>”</w:t>
      </w:r>
      <w:r>
        <w:rPr>
          <w:rFonts w:cs="Times New Roman"/>
        </w:rPr>
        <w:t>收运体系基本建成。</w:t>
      </w:r>
    </w:p>
    <w:p w14:paraId="5362B388">
      <w:pPr>
        <w:pStyle w:val="4"/>
        <w:spacing w:line="520" w:lineRule="exact"/>
        <w:ind w:firstLine="640"/>
        <w:rPr>
          <w:rFonts w:ascii="方正黑体_GBK" w:cs="Times New Roman"/>
          <w:szCs w:val="28"/>
        </w:rPr>
      </w:pPr>
      <w:bookmarkStart w:id="124" w:name="_Toc129882947"/>
      <w:r>
        <w:rPr>
          <w:rFonts w:hint="eastAsia" w:ascii="方正黑体_GBK" w:cs="Times New Roman"/>
          <w:szCs w:val="28"/>
        </w:rPr>
        <w:t>三、推动再生资源回收利用</w:t>
      </w:r>
      <w:bookmarkEnd w:id="124"/>
    </w:p>
    <w:p w14:paraId="1296FA40">
      <w:pPr>
        <w:spacing w:line="520" w:lineRule="exact"/>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（一）</w:t>
      </w:r>
      <w:r>
        <w:rPr>
          <w:rFonts w:ascii="方正楷体_GBK" w:eastAsia="方正楷体_GBK" w:cs="Times New Roman"/>
          <w:b/>
          <w:bCs/>
          <w:szCs w:val="28"/>
        </w:rPr>
        <w:t>健全再生资源回收体系</w:t>
      </w:r>
    </w:p>
    <w:p w14:paraId="304D7055">
      <w:pPr>
        <w:spacing w:line="520" w:lineRule="exact"/>
        <w:ind w:firstLine="640" w:firstLineChars="200"/>
        <w:rPr>
          <w:rFonts w:cs="Times New Roman"/>
        </w:rPr>
      </w:pPr>
      <w:r>
        <w:rPr>
          <w:rFonts w:cs="Times New Roman"/>
        </w:rPr>
        <w:t>因地制宜提升再生资源分拣加工利用水平，重点建设规模化网络化智能化的规范回收站点和符合国家及地方相关标准要求的绿色分拣中心、交易中心，逐步扩大回收网络覆盖面。</w:t>
      </w:r>
    </w:p>
    <w:p w14:paraId="65C5797F">
      <w:pPr>
        <w:spacing w:line="520" w:lineRule="exact"/>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（二）</w:t>
      </w:r>
      <w:r>
        <w:rPr>
          <w:rFonts w:ascii="方正楷体_GBK" w:eastAsia="方正楷体_GBK" w:cs="Times New Roman"/>
          <w:b/>
          <w:bCs/>
          <w:szCs w:val="28"/>
        </w:rPr>
        <w:t>打造</w:t>
      </w:r>
      <w:r>
        <w:rPr>
          <w:rFonts w:hint="eastAsia" w:ascii="方正楷体_GBK" w:eastAsia="方正楷体_GBK" w:cs="Times New Roman"/>
          <w:b/>
          <w:bCs/>
          <w:szCs w:val="28"/>
        </w:rPr>
        <w:t>“</w:t>
      </w:r>
      <w:r>
        <w:rPr>
          <w:rFonts w:ascii="方正楷体_GBK" w:eastAsia="方正楷体_GBK" w:cs="Times New Roman"/>
          <w:b/>
          <w:bCs/>
          <w:szCs w:val="28"/>
        </w:rPr>
        <w:t>互联网+</w:t>
      </w:r>
      <w:r>
        <w:rPr>
          <w:rFonts w:hint="eastAsia" w:ascii="方正楷体_GBK" w:eastAsia="方正楷体_GBK" w:cs="Times New Roman"/>
          <w:b/>
          <w:bCs/>
          <w:szCs w:val="28"/>
        </w:rPr>
        <w:t>”</w:t>
      </w:r>
      <w:r>
        <w:rPr>
          <w:rFonts w:ascii="方正楷体_GBK" w:eastAsia="方正楷体_GBK" w:cs="Times New Roman"/>
          <w:b/>
          <w:bCs/>
          <w:szCs w:val="28"/>
        </w:rPr>
        <w:t>回收模式</w:t>
      </w:r>
    </w:p>
    <w:p w14:paraId="74C50810">
      <w:pPr>
        <w:spacing w:line="520" w:lineRule="exact"/>
        <w:ind w:firstLine="640" w:firstLineChars="200"/>
        <w:rPr>
          <w:rFonts w:cs="Times New Roman"/>
        </w:rPr>
      </w:pPr>
      <w:r>
        <w:rPr>
          <w:rFonts w:cs="Times New Roman"/>
        </w:rPr>
        <w:t>支持再生资源回收企业建立在线交易平台，完善线下回收网点，实现线上交废与线下回收有机结合。依托现有</w:t>
      </w:r>
      <w:r>
        <w:rPr>
          <w:rFonts w:hint="eastAsia" w:cs="Times New Roman"/>
        </w:rPr>
        <w:t>“</w:t>
      </w:r>
      <w:r>
        <w:rPr>
          <w:rFonts w:cs="Times New Roman"/>
        </w:rPr>
        <w:t>e 环保</w:t>
      </w:r>
      <w:r>
        <w:rPr>
          <w:rFonts w:hint="eastAsia" w:cs="Times New Roman"/>
        </w:rPr>
        <w:t>·</w:t>
      </w:r>
      <w:r>
        <w:rPr>
          <w:rFonts w:cs="Times New Roman"/>
        </w:rPr>
        <w:t>易回收</w:t>
      </w:r>
      <w:r>
        <w:rPr>
          <w:rFonts w:hint="eastAsia" w:cs="Times New Roman"/>
        </w:rPr>
        <w:t>”“</w:t>
      </w:r>
      <w:r>
        <w:rPr>
          <w:rFonts w:cs="Times New Roman"/>
        </w:rPr>
        <w:t>绿钥匙智能回收</w:t>
      </w:r>
      <w:r>
        <w:rPr>
          <w:rFonts w:hint="eastAsia" w:cs="Times New Roman"/>
        </w:rPr>
        <w:t>”“</w:t>
      </w:r>
      <w:r>
        <w:rPr>
          <w:rFonts w:cs="Times New Roman"/>
        </w:rPr>
        <w:t>旧衣零抛弃环保行动</w:t>
      </w:r>
      <w:r>
        <w:rPr>
          <w:rFonts w:hint="eastAsia" w:cs="Times New Roman"/>
        </w:rPr>
        <w:t>”“</w:t>
      </w:r>
      <w:r>
        <w:rPr>
          <w:rFonts w:cs="Times New Roman"/>
        </w:rPr>
        <w:t>宁宝</w:t>
      </w:r>
      <w:r>
        <w:rPr>
          <w:rFonts w:hint="eastAsia" w:cs="Times New Roman"/>
        </w:rPr>
        <w:t>”</w:t>
      </w:r>
      <w:r>
        <w:rPr>
          <w:rFonts w:cs="Times New Roman"/>
        </w:rPr>
        <w:t>等回收服务平台，引导回收服务站点及回收企业推广</w:t>
      </w:r>
      <w:r>
        <w:rPr>
          <w:rFonts w:hint="eastAsia" w:cs="Times New Roman"/>
        </w:rPr>
        <w:t>“</w:t>
      </w:r>
      <w:r>
        <w:rPr>
          <w:rFonts w:cs="Times New Roman"/>
        </w:rPr>
        <w:t>互联网+回收</w:t>
      </w:r>
      <w:r>
        <w:rPr>
          <w:rFonts w:hint="eastAsia" w:cs="Times New Roman"/>
        </w:rPr>
        <w:t>”</w:t>
      </w:r>
      <w:r>
        <w:rPr>
          <w:rFonts w:cs="Times New Roman"/>
        </w:rPr>
        <w:t>模式，高效运用手机APP、微信小程序、二维码等移动互联网媒介，普及网上预约、上门回收、线上结算的在线回收模式，减少回收环节，降低回收成本。</w:t>
      </w:r>
    </w:p>
    <w:p w14:paraId="0876B09D">
      <w:pPr>
        <w:spacing w:line="520" w:lineRule="exact"/>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（三）</w:t>
      </w:r>
      <w:r>
        <w:rPr>
          <w:rFonts w:ascii="方正楷体_GBK" w:eastAsia="方正楷体_GBK" w:cs="Times New Roman"/>
          <w:b/>
          <w:bCs/>
          <w:szCs w:val="28"/>
        </w:rPr>
        <w:t>落实生产者责任延伸制度</w:t>
      </w:r>
    </w:p>
    <w:p w14:paraId="2801F2EF">
      <w:pPr>
        <w:spacing w:line="520" w:lineRule="exact"/>
        <w:ind w:firstLine="640" w:firstLineChars="200"/>
        <w:rPr>
          <w:rFonts w:cs="Times New Roman"/>
        </w:rPr>
      </w:pPr>
      <w:r>
        <w:rPr>
          <w:rFonts w:cs="Times New Roman"/>
        </w:rPr>
        <w:t>围绕汽车、电器电子等领域，探索制定生产者责任延伸制度实施方案，大力提升废弃电器电子产品、报废机动车和报废电池等再生资源回收利用率。配合市级相关部门加快构建以新能源汽车和动力电池生产、回收、资源化利用企业为主体的全产业链平台，健全报废汽车、废旧动力电池回收体系，提升报废汽车和废旧动力电池回收利用率。</w:t>
      </w:r>
    </w:p>
    <w:p w14:paraId="1E234FF7">
      <w:pPr>
        <w:pStyle w:val="3"/>
        <w:spacing w:before="0" w:after="0" w:line="520" w:lineRule="exact"/>
        <w:rPr>
          <w:rFonts w:ascii="方正黑体_GBK" w:cs="Times New Roman"/>
          <w:szCs w:val="28"/>
        </w:rPr>
      </w:pPr>
      <w:bookmarkStart w:id="125" w:name="_Toc129882948"/>
      <w:bookmarkStart w:id="126" w:name="_Toc124778114"/>
      <w:bookmarkStart w:id="127" w:name="_Toc140150521"/>
      <w:r>
        <w:rPr>
          <w:rFonts w:hint="eastAsia" w:ascii="方正黑体_GBK" w:cs="Times New Roman"/>
          <w:szCs w:val="28"/>
        </w:rPr>
        <w:t>第三节 重利用、减处置，强化固废末端管理</w:t>
      </w:r>
      <w:bookmarkEnd w:id="125"/>
      <w:bookmarkEnd w:id="126"/>
      <w:bookmarkEnd w:id="127"/>
    </w:p>
    <w:p w14:paraId="2DF7D038">
      <w:pPr>
        <w:pStyle w:val="4"/>
        <w:spacing w:line="520" w:lineRule="exact"/>
        <w:ind w:firstLine="640"/>
        <w:rPr>
          <w:rFonts w:ascii="方正黑体_GBK" w:cs="Times New Roman"/>
          <w:szCs w:val="28"/>
        </w:rPr>
      </w:pPr>
      <w:bookmarkStart w:id="128" w:name="_Toc124778116"/>
      <w:bookmarkStart w:id="129" w:name="_Toc129882949"/>
      <w:r>
        <w:rPr>
          <w:rFonts w:hint="eastAsia" w:ascii="方正黑体_GBK" w:cs="Times New Roman"/>
          <w:szCs w:val="28"/>
        </w:rPr>
        <w:t>一、推进建筑垃圾全量利用</w:t>
      </w:r>
      <w:bookmarkEnd w:id="128"/>
      <w:bookmarkEnd w:id="129"/>
    </w:p>
    <w:p w14:paraId="7B8DB567">
      <w:pPr>
        <w:spacing w:line="520" w:lineRule="exact"/>
        <w:ind w:firstLine="640" w:firstLineChars="200"/>
        <w:rPr>
          <w:rFonts w:cs="Times New Roman"/>
        </w:rPr>
      </w:pPr>
      <w:r>
        <w:rPr>
          <w:rFonts w:cs="Times New Roman"/>
        </w:rPr>
        <w:t>推进房屋拆除、建筑垃圾资源化利用及清运一体化管理，做好分类拆除管理，要求施工企业编制分类拆除方案，按序分类拆除，做好现场垃圾分类堆放和后续清运回收利用衔接，并加强处置方案管理。鼓励单位和个人委托回收利用企业对功能完备、外观完好的门窗、砖瓦、石材以及废弃金属、木材、玻璃、塑料等建筑垃圾根据材质分类回收利用。探索完善装修垃圾集中处理网格体系，与资源化利用企业合作，在社区内划定装修垃圾堆放场所，由社区负责分类管理，企业负责分类利用处置。</w:t>
      </w:r>
    </w:p>
    <w:p w14:paraId="36D29963">
      <w:pPr>
        <w:pStyle w:val="4"/>
        <w:ind w:firstLine="640"/>
        <w:rPr>
          <w:rFonts w:ascii="方正黑体_GBK" w:cs="Times New Roman"/>
          <w:szCs w:val="28"/>
        </w:rPr>
      </w:pPr>
      <w:bookmarkStart w:id="130" w:name="_Toc124778117"/>
      <w:bookmarkStart w:id="131" w:name="_Toc129882950"/>
      <w:r>
        <w:rPr>
          <w:rFonts w:hint="eastAsia" w:ascii="方正黑体_GBK" w:cs="Times New Roman"/>
          <w:szCs w:val="28"/>
        </w:rPr>
        <w:t>二、规范危险废物末端管理</w:t>
      </w:r>
      <w:bookmarkEnd w:id="130"/>
      <w:bookmarkEnd w:id="131"/>
    </w:p>
    <w:p w14:paraId="0F60FC51">
      <w:pPr>
        <w:ind w:firstLine="640" w:firstLineChars="200"/>
        <w:rPr>
          <w:rFonts w:cs="Times New Roman"/>
        </w:rPr>
      </w:pPr>
      <w:r>
        <w:rPr>
          <w:rFonts w:cs="Times New Roman"/>
        </w:rPr>
        <w:t>鼓励工业企业、学校、汽修等单位对危险废物优先进行资源化利用，尽量减少处置量。在环境风险可控的前提下，鼓励具备条件的危险废物实行</w:t>
      </w:r>
      <w:r>
        <w:rPr>
          <w:rFonts w:hint="eastAsia" w:cs="Times New Roman"/>
        </w:rPr>
        <w:t>“</w:t>
      </w:r>
      <w:r>
        <w:rPr>
          <w:rFonts w:cs="Times New Roman"/>
        </w:rPr>
        <w:t>点对点</w:t>
      </w:r>
      <w:r>
        <w:rPr>
          <w:rFonts w:hint="eastAsia" w:cs="Times New Roman"/>
        </w:rPr>
        <w:t>”</w:t>
      </w:r>
      <w:r>
        <w:rPr>
          <w:rFonts w:cs="Times New Roman"/>
        </w:rPr>
        <w:t>定向利用管理，试行许可证豁免管理。低风险危险废物产生单位以及教育、科研院所、机动车维修机构、检测检验机构等单位，确实不具备贮存场所建设条件的，可在产废点设置符合环保和安全要求的临时收集设施，设置识别标志、建立台账、规范贮存，严格控制危险废物贮存量和贮存时间，源头阻断重大安全风险。</w:t>
      </w:r>
    </w:p>
    <w:p w14:paraId="6D1AA87F">
      <w:pPr>
        <w:pStyle w:val="4"/>
        <w:ind w:firstLine="640"/>
        <w:rPr>
          <w:rFonts w:ascii="方正黑体_GBK" w:cs="Times New Roman"/>
          <w:szCs w:val="28"/>
        </w:rPr>
      </w:pPr>
      <w:bookmarkStart w:id="132" w:name="_Toc129882951"/>
      <w:r>
        <w:rPr>
          <w:rFonts w:hint="eastAsia" w:ascii="方正黑体_GBK" w:cs="Times New Roman"/>
          <w:szCs w:val="28"/>
        </w:rPr>
        <w:t>三、推动绿化废弃物资源化</w:t>
      </w:r>
      <w:bookmarkEnd w:id="132"/>
    </w:p>
    <w:p w14:paraId="0F903802">
      <w:pPr>
        <w:ind w:firstLine="640" w:firstLineChars="200"/>
        <w:rPr>
          <w:rFonts w:cs="Times New Roman"/>
        </w:rPr>
      </w:pPr>
      <w:r>
        <w:rPr>
          <w:rFonts w:cs="Times New Roman"/>
        </w:rPr>
        <w:t>推进绿化废弃物分流处理，规范绿化废弃物处置，杜绝绿化废弃物进入生活垃圾收运和处置体系。推广分类综合利用，优先考虑景观和木制品加工制作应用，无法应用时，推广采用</w:t>
      </w:r>
      <w:r>
        <w:rPr>
          <w:rFonts w:hint="eastAsia" w:cs="Times New Roman"/>
        </w:rPr>
        <w:t>“</w:t>
      </w:r>
      <w:r>
        <w:rPr>
          <w:rFonts w:cs="Times New Roman"/>
        </w:rPr>
        <w:t>落叶化土、还肥于林</w:t>
      </w:r>
      <w:r>
        <w:rPr>
          <w:rFonts w:hint="eastAsia" w:cs="Times New Roman"/>
        </w:rPr>
        <w:t>”</w:t>
      </w:r>
      <w:r>
        <w:rPr>
          <w:rFonts w:cs="Times New Roman"/>
        </w:rPr>
        <w:t>的生态循环方式，鼓励园林绿化废弃物优先进行资源化利用，制备有机肥、基质营养土、食用菌栽培基质、生物质成型燃料、裸土覆盖物等产品。配合市绿化园林局探索资源化利用途径，逐步引导培育绿化废弃物资源化利用市场，提升园林绿化废弃物资源化处置机械化水平。</w:t>
      </w:r>
    </w:p>
    <w:p w14:paraId="24FFF34C">
      <w:pPr>
        <w:pStyle w:val="3"/>
        <w:spacing w:before="0" w:after="0"/>
        <w:rPr>
          <w:rFonts w:ascii="方正黑体_GBK" w:cs="Times New Roman"/>
          <w:szCs w:val="28"/>
        </w:rPr>
      </w:pPr>
      <w:bookmarkStart w:id="133" w:name="_Toc140150522"/>
      <w:bookmarkStart w:id="134" w:name="_Toc129882952"/>
    </w:p>
    <w:p w14:paraId="3C756ED6">
      <w:pPr>
        <w:pStyle w:val="3"/>
        <w:spacing w:before="0" w:after="0"/>
        <w:rPr>
          <w:rFonts w:ascii="方正黑体_GBK" w:cs="Times New Roman"/>
          <w:szCs w:val="28"/>
        </w:rPr>
      </w:pPr>
      <w:r>
        <w:rPr>
          <w:rFonts w:hint="eastAsia" w:ascii="方正黑体_GBK" w:cs="Times New Roman"/>
          <w:szCs w:val="28"/>
        </w:rPr>
        <w:t>第四节 重“细胞”、抓特色，助推玄武全域“无废”</w:t>
      </w:r>
      <w:bookmarkEnd w:id="133"/>
      <w:bookmarkEnd w:id="134"/>
    </w:p>
    <w:bookmarkEnd w:id="111"/>
    <w:bookmarkEnd w:id="112"/>
    <w:bookmarkEnd w:id="113"/>
    <w:bookmarkEnd w:id="114"/>
    <w:p w14:paraId="65505DFA">
      <w:pPr>
        <w:pStyle w:val="4"/>
        <w:ind w:firstLine="640"/>
        <w:rPr>
          <w:rFonts w:ascii="方正黑体_GBK" w:cs="Times New Roman"/>
          <w:szCs w:val="28"/>
        </w:rPr>
      </w:pPr>
      <w:bookmarkStart w:id="135" w:name="_Toc129882953"/>
      <w:bookmarkStart w:id="136" w:name="_Toc114062449"/>
      <w:r>
        <w:rPr>
          <w:rFonts w:hint="eastAsia" w:ascii="方正黑体_GBK" w:cs="Times New Roman"/>
          <w:szCs w:val="28"/>
        </w:rPr>
        <w:t>一、完善“无废细胞”创建体系</w:t>
      </w:r>
      <w:bookmarkEnd w:id="135"/>
    </w:p>
    <w:p w14:paraId="6E9F4254">
      <w:pPr>
        <w:ind w:firstLine="640" w:firstLineChars="200"/>
        <w:rPr>
          <w:rFonts w:cs="Times New Roman"/>
        </w:rPr>
      </w:pPr>
      <w:r>
        <w:rPr>
          <w:rFonts w:cs="Times New Roman"/>
        </w:rPr>
        <w:t>推进各个领域</w:t>
      </w:r>
      <w:r>
        <w:rPr>
          <w:rFonts w:hint="eastAsia" w:cs="Times New Roman"/>
        </w:rPr>
        <w:t>“</w:t>
      </w:r>
      <w:r>
        <w:rPr>
          <w:rFonts w:cs="Times New Roman"/>
        </w:rPr>
        <w:t>无废细胞</w:t>
      </w:r>
      <w:r>
        <w:rPr>
          <w:rFonts w:hint="eastAsia" w:cs="Times New Roman"/>
        </w:rPr>
        <w:t>”</w:t>
      </w:r>
      <w:r>
        <w:rPr>
          <w:rFonts w:cs="Times New Roman"/>
        </w:rPr>
        <w:t>建设，印发</w:t>
      </w:r>
      <w:r>
        <w:rPr>
          <w:rFonts w:hint="eastAsia" w:cs="Times New Roman"/>
        </w:rPr>
        <w:t>《“</w:t>
      </w:r>
      <w:r>
        <w:rPr>
          <w:rFonts w:cs="Times New Roman"/>
        </w:rPr>
        <w:t>无废细胞</w:t>
      </w:r>
      <w:r>
        <w:rPr>
          <w:rFonts w:hint="eastAsia" w:cs="Times New Roman"/>
        </w:rPr>
        <w:t>”</w:t>
      </w:r>
      <w:r>
        <w:rPr>
          <w:rFonts w:cs="Times New Roman"/>
        </w:rPr>
        <w:t>创建行动计划</w:t>
      </w:r>
      <w:r>
        <w:rPr>
          <w:rFonts w:hint="eastAsia" w:cs="Times New Roman"/>
        </w:rPr>
        <w:t>》，</w:t>
      </w:r>
      <w:r>
        <w:rPr>
          <w:rFonts w:cs="Times New Roman"/>
        </w:rPr>
        <w:t>配套</w:t>
      </w:r>
      <w:r>
        <w:rPr>
          <w:rFonts w:hint="eastAsia" w:cs="Times New Roman"/>
        </w:rPr>
        <w:t>“</w:t>
      </w:r>
      <w:r>
        <w:rPr>
          <w:rFonts w:cs="Times New Roman"/>
        </w:rPr>
        <w:t>无废细胞</w:t>
      </w:r>
      <w:r>
        <w:rPr>
          <w:rFonts w:hint="eastAsia" w:cs="Times New Roman"/>
        </w:rPr>
        <w:t>”</w:t>
      </w:r>
      <w:r>
        <w:rPr>
          <w:rFonts w:cs="Times New Roman"/>
        </w:rPr>
        <w:t>建设标准，制定</w:t>
      </w:r>
      <w:r>
        <w:rPr>
          <w:rFonts w:hint="eastAsia" w:cs="Times New Roman"/>
        </w:rPr>
        <w:t>“</w:t>
      </w:r>
      <w:r>
        <w:rPr>
          <w:rFonts w:cs="Times New Roman"/>
        </w:rPr>
        <w:t>无废细胞</w:t>
      </w:r>
      <w:r>
        <w:rPr>
          <w:rFonts w:hint="eastAsia" w:cs="Times New Roman"/>
        </w:rPr>
        <w:t>”</w:t>
      </w:r>
      <w:r>
        <w:rPr>
          <w:rFonts w:cs="Times New Roman"/>
        </w:rPr>
        <w:t>创建鼓励办法，推动机关事业单位、学校、医院、商场、酒店、景区、社区、工地等开展</w:t>
      </w:r>
      <w:r>
        <w:rPr>
          <w:rFonts w:hint="eastAsia" w:cs="Times New Roman"/>
        </w:rPr>
        <w:t>“</w:t>
      </w:r>
      <w:r>
        <w:rPr>
          <w:rFonts w:cs="Times New Roman"/>
        </w:rPr>
        <w:t>无废细胞</w:t>
      </w:r>
      <w:r>
        <w:rPr>
          <w:rFonts w:hint="eastAsia" w:cs="Times New Roman"/>
        </w:rPr>
        <w:t>”</w:t>
      </w:r>
      <w:r>
        <w:rPr>
          <w:rFonts w:cs="Times New Roman"/>
        </w:rPr>
        <w:t>建设，到2025年，高标准建设各类</w:t>
      </w:r>
      <w:r>
        <w:rPr>
          <w:rFonts w:hint="eastAsia" w:cs="Times New Roman"/>
        </w:rPr>
        <w:t>“</w:t>
      </w:r>
      <w:r>
        <w:rPr>
          <w:rFonts w:cs="Times New Roman"/>
        </w:rPr>
        <w:t>无废细胞</w:t>
      </w:r>
      <w:r>
        <w:rPr>
          <w:rFonts w:hint="eastAsia" w:cs="Times New Roman"/>
        </w:rPr>
        <w:t>”</w:t>
      </w:r>
      <w:r>
        <w:rPr>
          <w:rFonts w:cs="Times New Roman"/>
        </w:rPr>
        <w:t>80个，努力形成</w:t>
      </w:r>
      <w:r>
        <w:rPr>
          <w:rFonts w:hint="eastAsia" w:cs="Times New Roman"/>
        </w:rPr>
        <w:t>“</w:t>
      </w:r>
      <w:r>
        <w:rPr>
          <w:rFonts w:cs="Times New Roman"/>
        </w:rPr>
        <w:t>无废城市</w:t>
      </w:r>
      <w:r>
        <w:rPr>
          <w:rFonts w:hint="eastAsia" w:cs="Times New Roman"/>
        </w:rPr>
        <w:t>”</w:t>
      </w:r>
      <w:r>
        <w:rPr>
          <w:rFonts w:cs="Times New Roman"/>
        </w:rPr>
        <w:t>建设人人参与、人人尽责的良好局面，营造全域</w:t>
      </w:r>
      <w:r>
        <w:rPr>
          <w:rFonts w:hint="eastAsia" w:cs="Times New Roman"/>
        </w:rPr>
        <w:t>“</w:t>
      </w:r>
      <w:r>
        <w:rPr>
          <w:rFonts w:cs="Times New Roman"/>
        </w:rPr>
        <w:t>无废城市</w:t>
      </w:r>
      <w:r>
        <w:rPr>
          <w:rFonts w:hint="eastAsia" w:cs="Times New Roman"/>
        </w:rPr>
        <w:t>”</w:t>
      </w:r>
      <w:r>
        <w:rPr>
          <w:rFonts w:cs="Times New Roman"/>
        </w:rPr>
        <w:t>共建共享氛围。</w:t>
      </w:r>
    </w:p>
    <w:bookmarkEnd w:id="136"/>
    <w:p w14:paraId="4A739E6A">
      <w:pPr>
        <w:pStyle w:val="4"/>
        <w:ind w:firstLine="640"/>
        <w:rPr>
          <w:rFonts w:ascii="方正黑体_GBK" w:cs="Times New Roman"/>
          <w:szCs w:val="28"/>
        </w:rPr>
      </w:pPr>
      <w:bookmarkStart w:id="137" w:name="_Toc129882954"/>
      <w:r>
        <w:rPr>
          <w:rFonts w:hint="eastAsia" w:ascii="方正黑体_GBK" w:cs="Times New Roman"/>
          <w:szCs w:val="28"/>
        </w:rPr>
        <w:t>二、全面推进“无废细胞”</w:t>
      </w:r>
      <w:bookmarkEnd w:id="137"/>
      <w:r>
        <w:rPr>
          <w:rFonts w:hint="eastAsia" w:ascii="方正黑体_GBK" w:cs="Times New Roman"/>
          <w:szCs w:val="28"/>
        </w:rPr>
        <w:t>建设</w:t>
      </w:r>
    </w:p>
    <w:p w14:paraId="053EB332">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（一）紧抓医疗卫生机构</w:t>
      </w:r>
      <w:r>
        <w:rPr>
          <w:rFonts w:ascii="方正楷体_GBK" w:eastAsia="方正楷体_GBK" w:cs="Times New Roman"/>
          <w:b/>
          <w:bCs/>
          <w:szCs w:val="28"/>
        </w:rPr>
        <w:t>，培育</w:t>
      </w:r>
      <w:r>
        <w:rPr>
          <w:rFonts w:hint="eastAsia" w:ascii="方正楷体_GBK" w:eastAsia="方正楷体_GBK" w:cs="Times New Roman"/>
          <w:b/>
          <w:bCs/>
          <w:szCs w:val="28"/>
        </w:rPr>
        <w:t>“</w:t>
      </w:r>
      <w:r>
        <w:rPr>
          <w:rFonts w:ascii="方正楷体_GBK" w:eastAsia="方正楷体_GBK" w:cs="Times New Roman"/>
          <w:b/>
          <w:bCs/>
          <w:szCs w:val="28"/>
        </w:rPr>
        <w:t>无废</w:t>
      </w:r>
      <w:r>
        <w:rPr>
          <w:rFonts w:hint="eastAsia" w:ascii="方正楷体_GBK" w:eastAsia="方正楷体_GBK" w:cs="Times New Roman"/>
          <w:b/>
          <w:bCs/>
          <w:szCs w:val="28"/>
        </w:rPr>
        <w:t>医院”</w:t>
      </w:r>
    </w:p>
    <w:p w14:paraId="75050CBE">
      <w:pPr>
        <w:ind w:firstLine="643"/>
        <w:rPr>
          <w:rFonts w:cs="Times New Roman"/>
        </w:rPr>
      </w:pPr>
      <w:r>
        <w:rPr>
          <w:rFonts w:cs="Times New Roman"/>
        </w:rPr>
        <w:t>按照</w:t>
      </w:r>
      <w:r>
        <w:rPr>
          <w:rFonts w:hint="eastAsia" w:cs="Times New Roman"/>
        </w:rPr>
        <w:t>“</w:t>
      </w:r>
      <w:r>
        <w:rPr>
          <w:rFonts w:cs="Times New Roman"/>
        </w:rPr>
        <w:t>无废</w:t>
      </w:r>
      <w:r>
        <w:rPr>
          <w:rFonts w:hint="eastAsia" w:cs="Times New Roman"/>
        </w:rPr>
        <w:t>医院”</w:t>
      </w:r>
      <w:r>
        <w:rPr>
          <w:rFonts w:cs="Times New Roman"/>
        </w:rPr>
        <w:t>建设指标要求，</w:t>
      </w:r>
      <w:r>
        <w:rPr>
          <w:rFonts w:hint="eastAsia" w:cs="Times New Roman"/>
        </w:rPr>
        <w:t>重点关注医疗废弃物规范化管理</w:t>
      </w:r>
      <w:r>
        <w:rPr>
          <w:rFonts w:cs="Times New Roman"/>
        </w:rPr>
        <w:t>，</w:t>
      </w:r>
      <w:r>
        <w:rPr>
          <w:rFonts w:hint="eastAsia" w:cs="Times New Roman"/>
        </w:rPr>
        <w:t>设置符合规范的医疗废物收集与暂存设施，标识齐全、台账清晰，开展医疗废物信息化监管，培育“</w:t>
      </w:r>
      <w:r>
        <w:rPr>
          <w:rFonts w:cs="Times New Roman"/>
        </w:rPr>
        <w:t>无废</w:t>
      </w:r>
      <w:r>
        <w:rPr>
          <w:rFonts w:hint="eastAsia" w:cs="Times New Roman"/>
        </w:rPr>
        <w:t>医院”。</w:t>
      </w:r>
      <w:r>
        <w:rPr>
          <w:rFonts w:cs="Times New Roman"/>
        </w:rPr>
        <w:t>鼓励</w:t>
      </w:r>
      <w:r>
        <w:rPr>
          <w:rFonts w:hint="eastAsia" w:cs="Times New Roman"/>
        </w:rPr>
        <w:t>区内大小医院以及社区卫生服务中心积极创建“</w:t>
      </w:r>
      <w:r>
        <w:rPr>
          <w:rFonts w:cs="Times New Roman"/>
        </w:rPr>
        <w:t>无废</w:t>
      </w:r>
      <w:r>
        <w:rPr>
          <w:rFonts w:hint="eastAsia" w:cs="Times New Roman"/>
        </w:rPr>
        <w:t>医院”，</w:t>
      </w:r>
      <w:r>
        <w:rPr>
          <w:rFonts w:cs="Times New Roman"/>
        </w:rPr>
        <w:t>到2025年，创建15个</w:t>
      </w:r>
      <w:r>
        <w:rPr>
          <w:rFonts w:hint="eastAsia" w:cs="Times New Roman"/>
        </w:rPr>
        <w:t>“</w:t>
      </w:r>
      <w:r>
        <w:rPr>
          <w:rFonts w:cs="Times New Roman"/>
        </w:rPr>
        <w:t>无废</w:t>
      </w:r>
      <w:r>
        <w:rPr>
          <w:rFonts w:hint="eastAsia" w:cs="Times New Roman"/>
        </w:rPr>
        <w:t>医院”。</w:t>
      </w:r>
    </w:p>
    <w:p w14:paraId="321DB987">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（二）依托校园传播教育</w:t>
      </w:r>
      <w:r>
        <w:rPr>
          <w:rFonts w:ascii="方正楷体_GBK" w:eastAsia="方正楷体_GBK" w:cs="Times New Roman"/>
          <w:b/>
          <w:bCs/>
          <w:szCs w:val="28"/>
        </w:rPr>
        <w:t>，培育</w:t>
      </w:r>
      <w:r>
        <w:rPr>
          <w:rFonts w:hint="eastAsia" w:ascii="方正楷体_GBK" w:eastAsia="方正楷体_GBK" w:cs="Times New Roman"/>
          <w:b/>
          <w:bCs/>
          <w:szCs w:val="28"/>
        </w:rPr>
        <w:t>“</w:t>
      </w:r>
      <w:r>
        <w:rPr>
          <w:rFonts w:ascii="方正楷体_GBK" w:eastAsia="方正楷体_GBK" w:cs="Times New Roman"/>
          <w:b/>
          <w:bCs/>
          <w:szCs w:val="28"/>
        </w:rPr>
        <w:t>无废学校</w:t>
      </w:r>
      <w:r>
        <w:rPr>
          <w:rFonts w:hint="eastAsia" w:ascii="方正楷体_GBK" w:eastAsia="方正楷体_GBK" w:cs="Times New Roman"/>
          <w:b/>
          <w:bCs/>
          <w:szCs w:val="28"/>
        </w:rPr>
        <w:t>”</w:t>
      </w:r>
    </w:p>
    <w:p w14:paraId="715B7620">
      <w:pPr>
        <w:ind w:firstLine="643"/>
        <w:rPr>
          <w:rFonts w:cs="Times New Roman"/>
        </w:rPr>
      </w:pPr>
      <w:r>
        <w:rPr>
          <w:rFonts w:hint="eastAsia" w:cs="Times New Roman"/>
        </w:rPr>
        <w:t>“</w:t>
      </w:r>
      <w:r>
        <w:rPr>
          <w:rFonts w:cs="Times New Roman"/>
        </w:rPr>
        <w:t>无废学校</w:t>
      </w:r>
      <w:r>
        <w:rPr>
          <w:rFonts w:hint="eastAsia" w:cs="Times New Roman"/>
        </w:rPr>
        <w:t>”</w:t>
      </w:r>
      <w:r>
        <w:rPr>
          <w:rFonts w:cs="Times New Roman"/>
        </w:rPr>
        <w:t>创建是通过多方位宣传、绿色课程教育、绿色生活方式、优化教育环境等</w:t>
      </w:r>
      <w:r>
        <w:rPr>
          <w:rFonts w:hint="eastAsia" w:cs="Times New Roman"/>
        </w:rPr>
        <w:t>手段</w:t>
      </w:r>
      <w:r>
        <w:rPr>
          <w:rFonts w:cs="Times New Roman"/>
        </w:rPr>
        <w:t>，以</w:t>
      </w:r>
      <w:r>
        <w:rPr>
          <w:rFonts w:hint="eastAsia" w:cs="Times New Roman"/>
        </w:rPr>
        <w:t>“</w:t>
      </w:r>
      <w:r>
        <w:rPr>
          <w:rFonts w:cs="Times New Roman"/>
        </w:rPr>
        <w:t>小手拉大手</w:t>
      </w:r>
      <w:r>
        <w:rPr>
          <w:rFonts w:hint="eastAsia" w:cs="Times New Roman"/>
        </w:rPr>
        <w:t>”</w:t>
      </w:r>
      <w:r>
        <w:rPr>
          <w:rFonts w:cs="Times New Roman"/>
        </w:rPr>
        <w:t>的方式带动整个家庭养成绿色低碳的生活习惯。鼓励北京东路小学、南京市弘光中学等学校先试先行，逐步构建涵盖幼儿园、小学、初高中等全方位一体化的</w:t>
      </w:r>
      <w:r>
        <w:rPr>
          <w:rFonts w:hint="eastAsia" w:cs="Times New Roman"/>
        </w:rPr>
        <w:t>“</w:t>
      </w:r>
      <w:r>
        <w:rPr>
          <w:rFonts w:cs="Times New Roman"/>
        </w:rPr>
        <w:t>无废学校</w:t>
      </w:r>
      <w:r>
        <w:rPr>
          <w:rFonts w:hint="eastAsia" w:cs="Times New Roman"/>
        </w:rPr>
        <w:t>”</w:t>
      </w:r>
      <w:r>
        <w:rPr>
          <w:rFonts w:cs="Times New Roman"/>
        </w:rPr>
        <w:t>建设联盟，到2025年，创建20个</w:t>
      </w:r>
      <w:r>
        <w:rPr>
          <w:rFonts w:hint="eastAsia" w:cs="Times New Roman"/>
        </w:rPr>
        <w:t>“</w:t>
      </w:r>
      <w:r>
        <w:rPr>
          <w:rFonts w:cs="Times New Roman"/>
        </w:rPr>
        <w:t>无废学校</w:t>
      </w:r>
      <w:r>
        <w:rPr>
          <w:rFonts w:hint="eastAsia" w:cs="Times New Roman"/>
        </w:rPr>
        <w:t>”。</w:t>
      </w:r>
    </w:p>
    <w:p w14:paraId="7A0AB91E">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（三）聚焦绿色服务与消费，</w:t>
      </w:r>
      <w:r>
        <w:rPr>
          <w:rFonts w:ascii="方正楷体_GBK" w:eastAsia="方正楷体_GBK" w:cs="Times New Roman"/>
          <w:b/>
          <w:bCs/>
          <w:szCs w:val="28"/>
        </w:rPr>
        <w:t>培育</w:t>
      </w:r>
      <w:r>
        <w:rPr>
          <w:rFonts w:hint="eastAsia" w:ascii="方正楷体_GBK" w:eastAsia="方正楷体_GBK" w:cs="Times New Roman"/>
          <w:b/>
          <w:bCs/>
          <w:szCs w:val="28"/>
        </w:rPr>
        <w:t>“</w:t>
      </w:r>
      <w:r>
        <w:rPr>
          <w:rFonts w:ascii="方正楷体_GBK" w:eastAsia="方正楷体_GBK" w:cs="Times New Roman"/>
          <w:b/>
          <w:bCs/>
          <w:szCs w:val="28"/>
        </w:rPr>
        <w:t>无废</w:t>
      </w:r>
      <w:r>
        <w:rPr>
          <w:rFonts w:hint="eastAsia" w:ascii="方正楷体_GBK" w:eastAsia="方正楷体_GBK" w:cs="Times New Roman"/>
          <w:b/>
          <w:bCs/>
          <w:szCs w:val="28"/>
        </w:rPr>
        <w:t>宾馆”</w:t>
      </w:r>
    </w:p>
    <w:p w14:paraId="1C8C2C79">
      <w:pPr>
        <w:ind w:firstLine="643"/>
        <w:rPr>
          <w:rFonts w:cs="Times New Roman"/>
        </w:rPr>
      </w:pPr>
      <w:r>
        <w:rPr>
          <w:rFonts w:cs="Times New Roman"/>
        </w:rPr>
        <w:t>区内</w:t>
      </w:r>
      <w:r>
        <w:rPr>
          <w:rFonts w:hint="eastAsia" w:cs="Times New Roman"/>
        </w:rPr>
        <w:t>住宿业发达，宾馆酒店众多，</w:t>
      </w:r>
      <w:r>
        <w:rPr>
          <w:rFonts w:cs="Times New Roman"/>
        </w:rPr>
        <w:t>通过</w:t>
      </w:r>
      <w:r>
        <w:rPr>
          <w:rFonts w:hint="eastAsia" w:cs="Times New Roman"/>
        </w:rPr>
        <w:t>实行绿色采购、不主动提供一次性洗漱用品、</w:t>
      </w:r>
      <w:r>
        <w:rPr>
          <w:rFonts w:cs="Times New Roman"/>
        </w:rPr>
        <w:t>减少一次性塑料制品使用</w:t>
      </w:r>
      <w:r>
        <w:rPr>
          <w:rFonts w:hint="eastAsia" w:cs="Times New Roman"/>
        </w:rPr>
        <w:t>、规范餐厨垃圾收集、</w:t>
      </w:r>
      <w:r>
        <w:rPr>
          <w:rFonts w:cs="Times New Roman"/>
        </w:rPr>
        <w:t>合理设置垃圾分类箱</w:t>
      </w:r>
      <w:r>
        <w:rPr>
          <w:rFonts w:hint="eastAsia" w:cs="Times New Roman"/>
        </w:rPr>
        <w:t>等方式多渠道、多形式宣传，</w:t>
      </w:r>
      <w:r>
        <w:rPr>
          <w:rFonts w:cs="Times New Roman"/>
        </w:rPr>
        <w:t>鼓励</w:t>
      </w:r>
      <w:r>
        <w:rPr>
          <w:rFonts w:hint="eastAsia" w:cs="Times New Roman"/>
        </w:rPr>
        <w:t>区内宾馆</w:t>
      </w:r>
      <w:r>
        <w:rPr>
          <w:rFonts w:cs="Times New Roman"/>
        </w:rPr>
        <w:t>积极推进</w:t>
      </w:r>
      <w:r>
        <w:rPr>
          <w:rFonts w:hint="eastAsia" w:cs="Times New Roman"/>
        </w:rPr>
        <w:t>“</w:t>
      </w:r>
      <w:r>
        <w:rPr>
          <w:rFonts w:cs="Times New Roman"/>
        </w:rPr>
        <w:t>无废</w:t>
      </w:r>
      <w:r>
        <w:rPr>
          <w:rFonts w:hint="eastAsia" w:cs="Times New Roman"/>
        </w:rPr>
        <w:t>宾馆”</w:t>
      </w:r>
      <w:r>
        <w:rPr>
          <w:rFonts w:cs="Times New Roman"/>
        </w:rPr>
        <w:t>建设，到2025年，创建15个</w:t>
      </w:r>
      <w:r>
        <w:rPr>
          <w:rFonts w:hint="eastAsia" w:cs="Times New Roman"/>
        </w:rPr>
        <w:t>“</w:t>
      </w:r>
      <w:r>
        <w:rPr>
          <w:rFonts w:cs="Times New Roman"/>
        </w:rPr>
        <w:t>无废</w:t>
      </w:r>
      <w:r>
        <w:rPr>
          <w:rFonts w:hint="eastAsia" w:cs="Times New Roman"/>
        </w:rPr>
        <w:t>宾馆”。</w:t>
      </w:r>
    </w:p>
    <w:p w14:paraId="4D0CCA5C">
      <w:pPr>
        <w:ind w:firstLine="643" w:firstLineChars="200"/>
        <w:outlineLvl w:val="3"/>
        <w:rPr>
          <w:rFonts w:ascii="方正楷体_GBK" w:eastAsia="方正楷体_GBK" w:cs="Times New Roman"/>
          <w:b/>
          <w:bCs/>
          <w:szCs w:val="28"/>
        </w:rPr>
      </w:pPr>
      <w:bookmarkStart w:id="138" w:name="_Hlk121991833"/>
      <w:r>
        <w:rPr>
          <w:rFonts w:hint="eastAsia" w:ascii="方正楷体_GBK" w:eastAsia="方正楷体_GBK" w:cs="Times New Roman"/>
          <w:b/>
          <w:bCs/>
          <w:szCs w:val="28"/>
        </w:rPr>
        <w:t>（四）</w:t>
      </w:r>
      <w:r>
        <w:rPr>
          <w:rFonts w:ascii="方正楷体_GBK" w:eastAsia="方正楷体_GBK" w:cs="Times New Roman"/>
          <w:b/>
          <w:bCs/>
          <w:szCs w:val="28"/>
        </w:rPr>
        <w:t>发挥文旅资源丰沛优势，培育</w:t>
      </w:r>
      <w:r>
        <w:rPr>
          <w:rFonts w:hint="eastAsia" w:ascii="方正楷体_GBK" w:eastAsia="方正楷体_GBK" w:cs="Times New Roman"/>
          <w:b/>
          <w:bCs/>
          <w:szCs w:val="28"/>
        </w:rPr>
        <w:t>“</w:t>
      </w:r>
      <w:r>
        <w:rPr>
          <w:rFonts w:ascii="方正楷体_GBK" w:eastAsia="方正楷体_GBK" w:cs="Times New Roman"/>
          <w:b/>
          <w:bCs/>
          <w:szCs w:val="28"/>
        </w:rPr>
        <w:t>无废景区</w:t>
      </w:r>
      <w:r>
        <w:rPr>
          <w:rFonts w:hint="eastAsia" w:ascii="方正楷体_GBK" w:eastAsia="方正楷体_GBK" w:cs="Times New Roman"/>
          <w:b/>
          <w:bCs/>
          <w:szCs w:val="28"/>
        </w:rPr>
        <w:t>”</w:t>
      </w:r>
    </w:p>
    <w:p w14:paraId="2F4CBD4F">
      <w:pPr>
        <w:ind w:firstLine="643"/>
        <w:rPr>
          <w:rFonts w:cs="Times New Roman"/>
          <w:b/>
          <w:bCs/>
        </w:rPr>
      </w:pPr>
      <w:r>
        <w:rPr>
          <w:rFonts w:cs="Times New Roman"/>
        </w:rPr>
        <w:t>区内历史底蕴深厚，是南京旅游景点最集中的地区之一。通过开展无纸化购票</w:t>
      </w:r>
      <w:r>
        <w:rPr>
          <w:rFonts w:hint="eastAsia" w:cs="Times New Roman"/>
        </w:rPr>
        <w:t>、</w:t>
      </w:r>
      <w:r>
        <w:rPr>
          <w:rFonts w:cs="Times New Roman"/>
        </w:rPr>
        <w:t>电</w:t>
      </w:r>
      <w:r>
        <w:rPr>
          <w:rFonts w:hint="eastAsia" w:cs="Times New Roman"/>
        </w:rPr>
        <w:t>子</w:t>
      </w:r>
      <w:r>
        <w:rPr>
          <w:rFonts w:cs="Times New Roman"/>
        </w:rPr>
        <w:t>门票</w:t>
      </w:r>
      <w:r>
        <w:rPr>
          <w:rFonts w:hint="eastAsia" w:cs="Times New Roman"/>
        </w:rPr>
        <w:t>、</w:t>
      </w:r>
      <w:r>
        <w:rPr>
          <w:rFonts w:cs="Times New Roman"/>
        </w:rPr>
        <w:t>旅游商品简易包装</w:t>
      </w:r>
      <w:r>
        <w:rPr>
          <w:rFonts w:hint="eastAsia" w:cs="Times New Roman"/>
        </w:rPr>
        <w:t>等方式</w:t>
      </w:r>
      <w:r>
        <w:rPr>
          <w:rFonts w:cs="Times New Roman"/>
        </w:rPr>
        <w:t>，减少一次性塑料制品使用</w:t>
      </w:r>
      <w:r>
        <w:rPr>
          <w:rFonts w:hint="eastAsia" w:cs="Times New Roman"/>
        </w:rPr>
        <w:t>。</w:t>
      </w:r>
      <w:r>
        <w:rPr>
          <w:rFonts w:cs="Times New Roman"/>
        </w:rPr>
        <w:t>推进景区垃圾分类，通过海报、标识牌等开展宣传，推广</w:t>
      </w:r>
      <w:r>
        <w:rPr>
          <w:rFonts w:hint="eastAsia" w:cs="Times New Roman"/>
        </w:rPr>
        <w:t>使用</w:t>
      </w:r>
      <w:r>
        <w:rPr>
          <w:rFonts w:cs="Times New Roman"/>
        </w:rPr>
        <w:t>固体废物循环利用制作景观</w:t>
      </w:r>
      <w:r>
        <w:rPr>
          <w:rFonts w:hint="eastAsia" w:cs="Times New Roman"/>
        </w:rPr>
        <w:t>，</w:t>
      </w:r>
      <w:r>
        <w:rPr>
          <w:rFonts w:cs="Times New Roman"/>
        </w:rPr>
        <w:t>打造</w:t>
      </w:r>
      <w:r>
        <w:rPr>
          <w:rFonts w:hint="eastAsia" w:cs="Times New Roman"/>
        </w:rPr>
        <w:t>“</w:t>
      </w:r>
      <w:r>
        <w:rPr>
          <w:rFonts w:cs="Times New Roman"/>
        </w:rPr>
        <w:t>无废景区</w:t>
      </w:r>
      <w:r>
        <w:rPr>
          <w:rFonts w:hint="eastAsia" w:cs="Times New Roman"/>
        </w:rPr>
        <w:t>”。</w:t>
      </w:r>
      <w:r>
        <w:rPr>
          <w:rFonts w:cs="Times New Roman"/>
        </w:rPr>
        <w:t>鼓励中山陵、玄武湖景区等旅游景点积极推进</w:t>
      </w:r>
      <w:r>
        <w:rPr>
          <w:rFonts w:hint="eastAsia" w:cs="Times New Roman"/>
        </w:rPr>
        <w:t>“</w:t>
      </w:r>
      <w:r>
        <w:rPr>
          <w:rFonts w:cs="Times New Roman"/>
        </w:rPr>
        <w:t>无废景区</w:t>
      </w:r>
      <w:r>
        <w:rPr>
          <w:rFonts w:hint="eastAsia" w:cs="Times New Roman"/>
        </w:rPr>
        <w:t>”</w:t>
      </w:r>
      <w:r>
        <w:rPr>
          <w:rFonts w:cs="Times New Roman"/>
        </w:rPr>
        <w:t>建设，到2025年，创建5个</w:t>
      </w:r>
      <w:r>
        <w:rPr>
          <w:rFonts w:hint="eastAsia" w:cs="Times New Roman"/>
        </w:rPr>
        <w:t>“</w:t>
      </w:r>
      <w:r>
        <w:rPr>
          <w:rFonts w:cs="Times New Roman"/>
        </w:rPr>
        <w:t>无废景区</w:t>
      </w:r>
      <w:r>
        <w:rPr>
          <w:rFonts w:hint="eastAsia" w:cs="Times New Roman"/>
        </w:rPr>
        <w:t>”。</w:t>
      </w:r>
    </w:p>
    <w:bookmarkEnd w:id="138"/>
    <w:p w14:paraId="687A46F4">
      <w:pPr>
        <w:pStyle w:val="3"/>
        <w:spacing w:before="0" w:after="0"/>
        <w:rPr>
          <w:rFonts w:ascii="方正黑体_GBK" w:cs="Times New Roman"/>
          <w:szCs w:val="28"/>
        </w:rPr>
      </w:pPr>
      <w:bookmarkStart w:id="139" w:name="_Toc140150523"/>
      <w:bookmarkStart w:id="140" w:name="_Toc129882955"/>
      <w:bookmarkStart w:id="141" w:name="_Toc114062459"/>
      <w:bookmarkStart w:id="142" w:name="_Toc108413552"/>
    </w:p>
    <w:p w14:paraId="05E5C06D">
      <w:pPr>
        <w:pStyle w:val="3"/>
        <w:spacing w:before="0" w:after="0"/>
        <w:rPr>
          <w:rFonts w:ascii="方正黑体_GBK" w:cs="Times New Roman"/>
          <w:szCs w:val="28"/>
        </w:rPr>
      </w:pPr>
      <w:r>
        <w:rPr>
          <w:rFonts w:hint="eastAsia" w:ascii="方正黑体_GBK" w:cs="Times New Roman"/>
          <w:szCs w:val="28"/>
        </w:rPr>
        <w:t>第五节 重宣传、齐参与，营造“绿色无废”氛围</w:t>
      </w:r>
      <w:bookmarkEnd w:id="139"/>
      <w:bookmarkEnd w:id="140"/>
    </w:p>
    <w:p w14:paraId="5BD4DE53">
      <w:pPr>
        <w:pStyle w:val="4"/>
        <w:ind w:firstLine="640"/>
        <w:rPr>
          <w:rFonts w:ascii="方正黑体_GBK" w:cs="Times New Roman"/>
          <w:szCs w:val="28"/>
        </w:rPr>
      </w:pPr>
      <w:bookmarkStart w:id="143" w:name="_Toc129882956"/>
      <w:r>
        <w:rPr>
          <w:rFonts w:hint="eastAsia" w:ascii="方正黑体_GBK" w:cs="Times New Roman"/>
          <w:szCs w:val="28"/>
        </w:rPr>
        <w:t>一、加强“无废”理念宣传教育</w:t>
      </w:r>
      <w:bookmarkEnd w:id="143"/>
    </w:p>
    <w:p w14:paraId="17B3EC67">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（一）</w:t>
      </w:r>
      <w:r>
        <w:rPr>
          <w:rFonts w:ascii="方正楷体_GBK" w:eastAsia="方正楷体_GBK" w:cs="Times New Roman"/>
          <w:b/>
          <w:bCs/>
          <w:szCs w:val="28"/>
        </w:rPr>
        <w:t>构建</w:t>
      </w:r>
      <w:r>
        <w:rPr>
          <w:rFonts w:hint="eastAsia" w:ascii="方正楷体_GBK" w:eastAsia="方正楷体_GBK" w:cs="Times New Roman"/>
          <w:b/>
          <w:bCs/>
          <w:szCs w:val="28"/>
        </w:rPr>
        <w:t>“</w:t>
      </w:r>
      <w:r>
        <w:rPr>
          <w:rFonts w:ascii="方正楷体_GBK" w:eastAsia="方正楷体_GBK" w:cs="Times New Roman"/>
          <w:b/>
          <w:bCs/>
          <w:szCs w:val="28"/>
        </w:rPr>
        <w:t>无废城市</w:t>
      </w:r>
      <w:r>
        <w:rPr>
          <w:rFonts w:hint="eastAsia" w:ascii="方正楷体_GBK" w:eastAsia="方正楷体_GBK" w:cs="Times New Roman"/>
          <w:b/>
          <w:bCs/>
          <w:szCs w:val="28"/>
        </w:rPr>
        <w:t>”</w:t>
      </w:r>
      <w:r>
        <w:rPr>
          <w:rFonts w:ascii="方正楷体_GBK" w:eastAsia="方正楷体_GBK" w:cs="Times New Roman"/>
          <w:b/>
          <w:bCs/>
          <w:szCs w:val="28"/>
        </w:rPr>
        <w:t>宣传体系</w:t>
      </w:r>
    </w:p>
    <w:p w14:paraId="030B7810">
      <w:pPr>
        <w:ind w:firstLine="640" w:firstLineChars="200"/>
        <w:rPr>
          <w:rFonts w:cs="Times New Roman"/>
        </w:rPr>
      </w:pPr>
      <w:r>
        <w:rPr>
          <w:rFonts w:cs="Times New Roman"/>
        </w:rPr>
        <w:t>制定系统高效的宣传教育方案，完善宣传工作机制，明确宣传工作任务，构建党委领导、政府主导、企业主体、社会组织和公众共同参与的</w:t>
      </w:r>
      <w:r>
        <w:rPr>
          <w:rFonts w:hint="eastAsia" w:cs="Times New Roman"/>
        </w:rPr>
        <w:t>“</w:t>
      </w:r>
      <w:r>
        <w:rPr>
          <w:rFonts w:cs="Times New Roman"/>
        </w:rPr>
        <w:t>无废城市</w:t>
      </w:r>
      <w:r>
        <w:rPr>
          <w:rFonts w:hint="eastAsia" w:cs="Times New Roman"/>
        </w:rPr>
        <w:t>”</w:t>
      </w:r>
      <w:r>
        <w:rPr>
          <w:rFonts w:cs="Times New Roman"/>
        </w:rPr>
        <w:t>宣传体系。通过</w:t>
      </w:r>
      <w:r>
        <w:rPr>
          <w:rFonts w:hint="eastAsia" w:cs="Times New Roman"/>
        </w:rPr>
        <w:t>“</w:t>
      </w:r>
      <w:r>
        <w:rPr>
          <w:rFonts w:cs="Times New Roman"/>
        </w:rPr>
        <w:t>无废城市</w:t>
      </w:r>
      <w:r>
        <w:rPr>
          <w:rFonts w:hint="eastAsia" w:cs="Times New Roman"/>
        </w:rPr>
        <w:t>”</w:t>
      </w:r>
      <w:r>
        <w:rPr>
          <w:rFonts w:cs="Times New Roman"/>
        </w:rPr>
        <w:t>宣传教育，引导公众转变传统观念，有效化解</w:t>
      </w:r>
      <w:r>
        <w:rPr>
          <w:rFonts w:hint="eastAsia" w:cs="Times New Roman"/>
        </w:rPr>
        <w:t>“</w:t>
      </w:r>
      <w:r>
        <w:rPr>
          <w:rFonts w:cs="Times New Roman"/>
        </w:rPr>
        <w:t>邻避</w:t>
      </w:r>
      <w:r>
        <w:rPr>
          <w:rFonts w:hint="eastAsia" w:cs="Times New Roman"/>
        </w:rPr>
        <w:t>”</w:t>
      </w:r>
      <w:r>
        <w:rPr>
          <w:rFonts w:cs="Times New Roman"/>
        </w:rPr>
        <w:t>效应，推动企业减废降碳，绿色发展。到2025年，公众对</w:t>
      </w:r>
      <w:r>
        <w:rPr>
          <w:rFonts w:hint="eastAsia" w:cs="Times New Roman"/>
        </w:rPr>
        <w:t>“</w:t>
      </w:r>
      <w:r>
        <w:rPr>
          <w:rFonts w:cs="Times New Roman"/>
        </w:rPr>
        <w:t>无废城市</w:t>
      </w:r>
      <w:r>
        <w:rPr>
          <w:rFonts w:hint="eastAsia" w:cs="Times New Roman"/>
        </w:rPr>
        <w:t>”</w:t>
      </w:r>
      <w:r>
        <w:rPr>
          <w:rFonts w:cs="Times New Roman"/>
        </w:rPr>
        <w:t>建设成效的满意度达90%以上。</w:t>
      </w:r>
    </w:p>
    <w:p w14:paraId="5C0E056F">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（二）</w:t>
      </w:r>
      <w:r>
        <w:rPr>
          <w:rFonts w:ascii="方正楷体_GBK" w:eastAsia="方正楷体_GBK" w:cs="Times New Roman"/>
          <w:b/>
          <w:bCs/>
          <w:szCs w:val="28"/>
        </w:rPr>
        <w:t>创新</w:t>
      </w:r>
      <w:r>
        <w:rPr>
          <w:rFonts w:hint="eastAsia" w:ascii="方正楷体_GBK" w:eastAsia="方正楷体_GBK" w:cs="Times New Roman"/>
          <w:b/>
          <w:bCs/>
          <w:szCs w:val="28"/>
        </w:rPr>
        <w:t>“</w:t>
      </w:r>
      <w:r>
        <w:rPr>
          <w:rFonts w:ascii="方正楷体_GBK" w:eastAsia="方正楷体_GBK" w:cs="Times New Roman"/>
          <w:b/>
          <w:bCs/>
          <w:szCs w:val="28"/>
        </w:rPr>
        <w:t>无废城市</w:t>
      </w:r>
      <w:r>
        <w:rPr>
          <w:rFonts w:hint="eastAsia" w:ascii="方正楷体_GBK" w:eastAsia="方正楷体_GBK" w:cs="Times New Roman"/>
          <w:b/>
          <w:bCs/>
          <w:szCs w:val="28"/>
        </w:rPr>
        <w:t>”</w:t>
      </w:r>
      <w:r>
        <w:rPr>
          <w:rFonts w:ascii="方正楷体_GBK" w:eastAsia="方正楷体_GBK" w:cs="Times New Roman"/>
          <w:b/>
          <w:bCs/>
          <w:szCs w:val="28"/>
        </w:rPr>
        <w:t>宣传方式</w:t>
      </w:r>
    </w:p>
    <w:p w14:paraId="49AF8472">
      <w:pPr>
        <w:ind w:firstLine="640" w:firstLineChars="200"/>
        <w:rPr>
          <w:rFonts w:cs="Times New Roman"/>
        </w:rPr>
      </w:pPr>
      <w:r>
        <w:rPr>
          <w:rFonts w:cs="Times New Roman"/>
        </w:rPr>
        <w:t>以</w:t>
      </w:r>
      <w:r>
        <w:rPr>
          <w:rFonts w:hint="eastAsia" w:cs="Times New Roman"/>
        </w:rPr>
        <w:t>“</w:t>
      </w:r>
      <w:r>
        <w:rPr>
          <w:rFonts w:cs="Times New Roman"/>
        </w:rPr>
        <w:t>无废细胞</w:t>
      </w:r>
      <w:r>
        <w:rPr>
          <w:rFonts w:hint="eastAsia" w:cs="Times New Roman"/>
        </w:rPr>
        <w:t>”</w:t>
      </w:r>
      <w:r>
        <w:rPr>
          <w:rFonts w:cs="Times New Roman"/>
        </w:rPr>
        <w:t>建设单位为宣传主阵地，采用</w:t>
      </w:r>
      <w:r>
        <w:rPr>
          <w:rFonts w:hint="eastAsia" w:cs="Times New Roman"/>
        </w:rPr>
        <w:t>“</w:t>
      </w:r>
      <w:r>
        <w:rPr>
          <w:rFonts w:cs="Times New Roman"/>
        </w:rPr>
        <w:t>全方位、多维度、立体化</w:t>
      </w:r>
      <w:r>
        <w:rPr>
          <w:rFonts w:hint="eastAsia" w:cs="Times New Roman"/>
        </w:rPr>
        <w:t>”</w:t>
      </w:r>
      <w:r>
        <w:rPr>
          <w:rFonts w:cs="Times New Roman"/>
        </w:rPr>
        <w:t>的宣传方式，充分利用电视、报纸、广播等传统媒体，专题网站、微信公众号、微博、视频网站等新媒体，以及地铁、广场、电梯等分众传媒平台，做好玄武区</w:t>
      </w:r>
      <w:r>
        <w:rPr>
          <w:rFonts w:hint="eastAsia" w:cs="Times New Roman"/>
        </w:rPr>
        <w:t>“</w:t>
      </w:r>
      <w:r>
        <w:rPr>
          <w:rFonts w:cs="Times New Roman"/>
        </w:rPr>
        <w:t>无废城市</w:t>
      </w:r>
      <w:r>
        <w:rPr>
          <w:rFonts w:hint="eastAsia" w:cs="Times New Roman"/>
        </w:rPr>
        <w:t>”</w:t>
      </w:r>
      <w:r>
        <w:rPr>
          <w:rFonts w:cs="Times New Roman"/>
        </w:rPr>
        <w:t>建设工作的宣传报道。</w:t>
      </w:r>
    </w:p>
    <w:p w14:paraId="70180B61">
      <w:pPr>
        <w:pStyle w:val="4"/>
        <w:ind w:firstLine="640"/>
        <w:rPr>
          <w:rFonts w:ascii="方正黑体_GBK" w:cs="Times New Roman"/>
          <w:szCs w:val="28"/>
        </w:rPr>
      </w:pPr>
      <w:bookmarkStart w:id="144" w:name="_Toc129882957"/>
      <w:r>
        <w:rPr>
          <w:rFonts w:hint="eastAsia" w:ascii="方正黑体_GBK" w:cs="Times New Roman"/>
          <w:szCs w:val="28"/>
        </w:rPr>
        <w:t>二、推进“无废”文化多元传播</w:t>
      </w:r>
      <w:bookmarkEnd w:id="144"/>
    </w:p>
    <w:p w14:paraId="4E63C11E">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（一）</w:t>
      </w:r>
      <w:r>
        <w:rPr>
          <w:rFonts w:ascii="方正楷体_GBK" w:eastAsia="方正楷体_GBK" w:cs="Times New Roman"/>
          <w:b/>
          <w:bCs/>
          <w:szCs w:val="28"/>
        </w:rPr>
        <w:t>开展</w:t>
      </w:r>
      <w:r>
        <w:rPr>
          <w:rFonts w:hint="eastAsia" w:ascii="方正楷体_GBK" w:eastAsia="方正楷体_GBK" w:cs="Times New Roman"/>
          <w:b/>
          <w:bCs/>
          <w:szCs w:val="28"/>
        </w:rPr>
        <w:t>“</w:t>
      </w:r>
      <w:r>
        <w:rPr>
          <w:rFonts w:ascii="方正楷体_GBK" w:eastAsia="方正楷体_GBK" w:cs="Times New Roman"/>
          <w:b/>
          <w:bCs/>
          <w:szCs w:val="28"/>
        </w:rPr>
        <w:t>无废</w:t>
      </w:r>
      <w:r>
        <w:rPr>
          <w:rFonts w:hint="eastAsia" w:ascii="方正楷体_GBK" w:eastAsia="方正楷体_GBK" w:cs="Times New Roman"/>
          <w:b/>
          <w:bCs/>
          <w:szCs w:val="28"/>
        </w:rPr>
        <w:t>”</w:t>
      </w:r>
      <w:r>
        <w:rPr>
          <w:rFonts w:ascii="方正楷体_GBK" w:eastAsia="方正楷体_GBK" w:cs="Times New Roman"/>
          <w:b/>
          <w:bCs/>
          <w:szCs w:val="28"/>
        </w:rPr>
        <w:t>科普教育活动</w:t>
      </w:r>
    </w:p>
    <w:p w14:paraId="2F04BA33">
      <w:pPr>
        <w:ind w:firstLine="640" w:firstLineChars="200"/>
        <w:rPr>
          <w:rFonts w:cs="Times New Roman"/>
        </w:rPr>
      </w:pPr>
      <w:r>
        <w:rPr>
          <w:rFonts w:cs="Times New Roman"/>
        </w:rPr>
        <w:t>依托区内大件垃圾分拣中心、玄武湖景区园林绿化废弃物场站、锁金村垃圾分类宣传教育站</w:t>
      </w:r>
      <w:r>
        <w:rPr>
          <w:rFonts w:cs="Times New Roman"/>
          <w:shd w:val="clear" w:color="auto" w:fill="FFFFFF"/>
        </w:rPr>
        <w:t>以及公园、广场、社区、学校等公共场所，大力开展高品质、有特色的</w:t>
      </w:r>
      <w:r>
        <w:rPr>
          <w:rFonts w:hint="eastAsia" w:cs="Times New Roman"/>
          <w:shd w:val="clear" w:color="auto" w:fill="FFFFFF"/>
        </w:rPr>
        <w:t>“</w:t>
      </w:r>
      <w:r>
        <w:rPr>
          <w:rFonts w:cs="Times New Roman"/>
          <w:shd w:val="clear" w:color="auto" w:fill="FFFFFF"/>
        </w:rPr>
        <w:t>无废城市</w:t>
      </w:r>
      <w:r>
        <w:rPr>
          <w:rFonts w:hint="eastAsia" w:cs="Times New Roman"/>
          <w:shd w:val="clear" w:color="auto" w:fill="FFFFFF"/>
        </w:rPr>
        <w:t>”</w:t>
      </w:r>
      <w:r>
        <w:rPr>
          <w:rFonts w:cs="Times New Roman"/>
          <w:shd w:val="clear" w:color="auto" w:fill="FFFFFF"/>
        </w:rPr>
        <w:t>科普教育活动，促进公众的</w:t>
      </w:r>
      <w:r>
        <w:rPr>
          <w:rFonts w:hint="eastAsia" w:cs="Times New Roman"/>
          <w:shd w:val="clear" w:color="auto" w:fill="FFFFFF"/>
        </w:rPr>
        <w:t>“无废生活”</w:t>
      </w:r>
      <w:r>
        <w:rPr>
          <w:rFonts w:cs="Times New Roman"/>
          <w:shd w:val="clear" w:color="auto" w:fill="FFFFFF"/>
        </w:rPr>
        <w:t>体验与宣传，提高市民的认知水平与参与热情</w:t>
      </w:r>
      <w:r>
        <w:rPr>
          <w:rFonts w:cs="Times New Roman"/>
        </w:rPr>
        <w:t>。</w:t>
      </w:r>
    </w:p>
    <w:p w14:paraId="3FCC87B4">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（二）</w:t>
      </w:r>
      <w:r>
        <w:rPr>
          <w:rFonts w:ascii="方正楷体_GBK" w:eastAsia="方正楷体_GBK" w:cs="Times New Roman"/>
          <w:b/>
          <w:bCs/>
          <w:szCs w:val="28"/>
        </w:rPr>
        <w:t>打造</w:t>
      </w:r>
      <w:r>
        <w:rPr>
          <w:rFonts w:hint="eastAsia" w:ascii="方正楷体_GBK" w:eastAsia="方正楷体_GBK" w:cs="Times New Roman"/>
          <w:b/>
          <w:bCs/>
          <w:szCs w:val="28"/>
        </w:rPr>
        <w:t>“</w:t>
      </w:r>
      <w:r>
        <w:rPr>
          <w:rFonts w:ascii="方正楷体_GBK" w:eastAsia="方正楷体_GBK" w:cs="Times New Roman"/>
          <w:b/>
          <w:bCs/>
          <w:szCs w:val="28"/>
        </w:rPr>
        <w:t>无废</w:t>
      </w:r>
      <w:r>
        <w:rPr>
          <w:rFonts w:hint="eastAsia" w:ascii="方正楷体_GBK" w:eastAsia="方正楷体_GBK" w:cs="Times New Roman"/>
          <w:b/>
          <w:bCs/>
          <w:szCs w:val="28"/>
        </w:rPr>
        <w:t>”</w:t>
      </w:r>
      <w:r>
        <w:rPr>
          <w:rFonts w:ascii="方正楷体_GBK" w:eastAsia="方正楷体_GBK" w:cs="Times New Roman"/>
          <w:b/>
          <w:bCs/>
          <w:szCs w:val="28"/>
        </w:rPr>
        <w:t>文化旅游路线</w:t>
      </w:r>
    </w:p>
    <w:p w14:paraId="37446A5D">
      <w:pPr>
        <w:ind w:firstLine="640" w:firstLineChars="200"/>
        <w:rPr>
          <w:rFonts w:cs="Times New Roman"/>
        </w:rPr>
      </w:pPr>
      <w:r>
        <w:rPr>
          <w:rFonts w:cs="Times New Roman"/>
        </w:rPr>
        <w:t>依托长江路文旅集聚区、环东大南京设计名城、百子亭和梅雍桃历史文化街区等特色文旅产业，充分发挥本地特色传统文化的深厚底蕴，将</w:t>
      </w:r>
      <w:r>
        <w:rPr>
          <w:rFonts w:hint="eastAsia" w:cs="Times New Roman"/>
        </w:rPr>
        <w:t>“</w:t>
      </w:r>
      <w:r>
        <w:rPr>
          <w:rFonts w:cs="Times New Roman"/>
        </w:rPr>
        <w:t>无废</w:t>
      </w:r>
      <w:r>
        <w:rPr>
          <w:rFonts w:hint="eastAsia" w:cs="Times New Roman"/>
        </w:rPr>
        <w:t>”</w:t>
      </w:r>
      <w:r>
        <w:rPr>
          <w:rFonts w:cs="Times New Roman"/>
        </w:rPr>
        <w:t>理念融入文化旅游，结合</w:t>
      </w:r>
      <w:r>
        <w:rPr>
          <w:rFonts w:hint="eastAsia" w:cs="Times New Roman"/>
        </w:rPr>
        <w:t>“</w:t>
      </w:r>
      <w:r>
        <w:rPr>
          <w:rFonts w:cs="Times New Roman"/>
        </w:rPr>
        <w:t>三横两纵两心多点</w:t>
      </w:r>
      <w:r>
        <w:rPr>
          <w:rFonts w:hint="eastAsia" w:cs="Times New Roman"/>
        </w:rPr>
        <w:t>”</w:t>
      </w:r>
      <w:r>
        <w:rPr>
          <w:rFonts w:cs="Times New Roman"/>
        </w:rPr>
        <w:t>的生态骨架，推动绿色生态网络</w:t>
      </w:r>
      <w:r>
        <w:rPr>
          <w:rFonts w:hint="eastAsia" w:cs="Times New Roman"/>
        </w:rPr>
        <w:t>构建</w:t>
      </w:r>
      <w:r>
        <w:rPr>
          <w:rFonts w:cs="Times New Roman"/>
        </w:rPr>
        <w:t>，打造</w:t>
      </w:r>
      <w:r>
        <w:rPr>
          <w:rFonts w:hint="eastAsia" w:cs="Times New Roman"/>
        </w:rPr>
        <w:t>“</w:t>
      </w:r>
      <w:r>
        <w:rPr>
          <w:rFonts w:cs="Times New Roman"/>
        </w:rPr>
        <w:t>无废</w:t>
      </w:r>
      <w:r>
        <w:rPr>
          <w:rFonts w:hint="eastAsia" w:cs="Times New Roman"/>
        </w:rPr>
        <w:t>”</w:t>
      </w:r>
      <w:r>
        <w:rPr>
          <w:rFonts w:cs="Times New Roman"/>
        </w:rPr>
        <w:t>风光带。</w:t>
      </w:r>
    </w:p>
    <w:p w14:paraId="491A6A20">
      <w:pPr>
        <w:ind w:firstLine="643" w:firstLineChars="200"/>
        <w:outlineLvl w:val="3"/>
        <w:rPr>
          <w:rFonts w:ascii="方正楷体_GBK" w:eastAsia="方正楷体_GBK" w:cs="Times New Roman"/>
          <w:b/>
          <w:bCs/>
          <w:szCs w:val="28"/>
        </w:rPr>
      </w:pPr>
      <w:r>
        <w:rPr>
          <w:rFonts w:hint="eastAsia" w:ascii="方正楷体_GBK" w:eastAsia="方正楷体_GBK" w:cs="Times New Roman"/>
          <w:b/>
          <w:bCs/>
          <w:szCs w:val="28"/>
        </w:rPr>
        <w:t>（三）</w:t>
      </w:r>
      <w:r>
        <w:rPr>
          <w:rFonts w:ascii="方正楷体_GBK" w:eastAsia="方正楷体_GBK" w:cs="Times New Roman"/>
          <w:b/>
          <w:bCs/>
          <w:szCs w:val="28"/>
        </w:rPr>
        <w:t>举办</w:t>
      </w:r>
      <w:r>
        <w:rPr>
          <w:rFonts w:hint="eastAsia" w:ascii="方正楷体_GBK" w:eastAsia="方正楷体_GBK" w:cs="Times New Roman"/>
          <w:b/>
          <w:bCs/>
          <w:szCs w:val="28"/>
        </w:rPr>
        <w:t>“</w:t>
      </w:r>
      <w:r>
        <w:rPr>
          <w:rFonts w:ascii="方正楷体_GBK" w:eastAsia="方正楷体_GBK" w:cs="Times New Roman"/>
          <w:b/>
          <w:bCs/>
          <w:szCs w:val="28"/>
        </w:rPr>
        <w:t>无废</w:t>
      </w:r>
      <w:r>
        <w:rPr>
          <w:rFonts w:hint="eastAsia" w:ascii="方正楷体_GBK" w:eastAsia="方正楷体_GBK" w:cs="Times New Roman"/>
          <w:b/>
          <w:bCs/>
          <w:szCs w:val="28"/>
        </w:rPr>
        <w:t>”</w:t>
      </w:r>
      <w:r>
        <w:rPr>
          <w:rFonts w:ascii="方正楷体_GBK" w:eastAsia="方正楷体_GBK" w:cs="Times New Roman"/>
          <w:b/>
          <w:bCs/>
          <w:szCs w:val="28"/>
        </w:rPr>
        <w:t>文化交流活动</w:t>
      </w:r>
    </w:p>
    <w:p w14:paraId="70C99BC8">
      <w:pPr>
        <w:ind w:firstLine="648" w:firstLineChars="200"/>
        <w:rPr>
          <w:rFonts w:cs="Times New Roman"/>
          <w:spacing w:val="2"/>
        </w:rPr>
      </w:pPr>
      <w:r>
        <w:rPr>
          <w:rFonts w:cs="Times New Roman"/>
          <w:spacing w:val="2"/>
        </w:rPr>
        <w:t>深化国际交流合作，加强与驻区高校、中小学校、江苏</w:t>
      </w:r>
      <w:r>
        <w:rPr>
          <w:rFonts w:hint="eastAsia" w:cs="Times New Roman"/>
          <w:spacing w:val="2"/>
        </w:rPr>
        <w:t>－</w:t>
      </w:r>
      <w:r>
        <w:rPr>
          <w:rFonts w:cs="Times New Roman"/>
          <w:spacing w:val="2"/>
        </w:rPr>
        <w:t>香港中心、中德商务中心、中韩电商自贸区、瑞士科技园联盟的联络，积极举办和承办</w:t>
      </w:r>
      <w:r>
        <w:rPr>
          <w:rFonts w:hint="eastAsia" w:cs="Times New Roman"/>
          <w:spacing w:val="2"/>
        </w:rPr>
        <w:t>“</w:t>
      </w:r>
      <w:r>
        <w:rPr>
          <w:rFonts w:cs="Times New Roman"/>
          <w:spacing w:val="2"/>
        </w:rPr>
        <w:t>无废城市</w:t>
      </w:r>
      <w:r>
        <w:rPr>
          <w:rFonts w:hint="eastAsia" w:cs="Times New Roman"/>
          <w:spacing w:val="2"/>
        </w:rPr>
        <w:t>”</w:t>
      </w:r>
      <w:r>
        <w:rPr>
          <w:rFonts w:cs="Times New Roman"/>
          <w:spacing w:val="2"/>
        </w:rPr>
        <w:t>建设相关国际性会议、论坛、科技文化艺术交流等活动，促进</w:t>
      </w:r>
      <w:r>
        <w:rPr>
          <w:rFonts w:hint="eastAsia" w:cs="Times New Roman"/>
          <w:spacing w:val="2"/>
        </w:rPr>
        <w:t>“</w:t>
      </w:r>
      <w:r>
        <w:rPr>
          <w:rFonts w:cs="Times New Roman"/>
          <w:spacing w:val="2"/>
        </w:rPr>
        <w:t>无废</w:t>
      </w:r>
      <w:r>
        <w:rPr>
          <w:rFonts w:hint="eastAsia" w:cs="Times New Roman"/>
          <w:spacing w:val="2"/>
        </w:rPr>
        <w:t>”</w:t>
      </w:r>
      <w:r>
        <w:rPr>
          <w:rFonts w:cs="Times New Roman"/>
          <w:spacing w:val="2"/>
        </w:rPr>
        <w:t>理念传播。</w:t>
      </w:r>
    </w:p>
    <w:p w14:paraId="35634629">
      <w:pPr>
        <w:pStyle w:val="3"/>
        <w:spacing w:before="0" w:after="0"/>
        <w:rPr>
          <w:rFonts w:ascii="方正黑体_GBK" w:cs="Times New Roman"/>
          <w:szCs w:val="28"/>
        </w:rPr>
      </w:pPr>
      <w:bookmarkStart w:id="145" w:name="_Toc140150524"/>
      <w:bookmarkStart w:id="146" w:name="_Toc129882958"/>
    </w:p>
    <w:p w14:paraId="1230947A">
      <w:pPr>
        <w:pStyle w:val="3"/>
        <w:spacing w:before="0" w:after="0"/>
        <w:rPr>
          <w:rFonts w:ascii="方正黑体_GBK" w:cs="Times New Roman"/>
          <w:szCs w:val="28"/>
        </w:rPr>
      </w:pPr>
      <w:r>
        <w:rPr>
          <w:rFonts w:hint="eastAsia" w:ascii="方正黑体_GBK" w:cs="Times New Roman"/>
          <w:szCs w:val="28"/>
        </w:rPr>
        <w:t>第六节 重保障、健体系，</w:t>
      </w:r>
      <w:bookmarkEnd w:id="141"/>
      <w:bookmarkEnd w:id="142"/>
      <w:r>
        <w:rPr>
          <w:rFonts w:hint="eastAsia" w:ascii="方正黑体_GBK" w:cs="Times New Roman"/>
          <w:szCs w:val="28"/>
        </w:rPr>
        <w:t>推进“无废玄武”建设</w:t>
      </w:r>
      <w:bookmarkEnd w:id="145"/>
      <w:bookmarkEnd w:id="146"/>
    </w:p>
    <w:p w14:paraId="4636EAF8">
      <w:pPr>
        <w:pStyle w:val="4"/>
        <w:ind w:firstLine="640"/>
        <w:rPr>
          <w:rFonts w:ascii="方正黑体_GBK" w:cs="Times New Roman"/>
          <w:szCs w:val="28"/>
        </w:rPr>
      </w:pPr>
      <w:bookmarkStart w:id="147" w:name="_Toc129882959"/>
      <w:bookmarkStart w:id="148" w:name="_Toc114062460"/>
      <w:r>
        <w:rPr>
          <w:rFonts w:hint="eastAsia" w:ascii="方正黑体_GBK" w:cs="Times New Roman"/>
          <w:szCs w:val="28"/>
        </w:rPr>
        <w:t>一、完善固体废物制度体系</w:t>
      </w:r>
      <w:bookmarkEnd w:id="147"/>
    </w:p>
    <w:p w14:paraId="1FFBD13B">
      <w:pPr>
        <w:ind w:firstLine="640" w:firstLineChars="200"/>
        <w:rPr>
          <w:rFonts w:cs="Times New Roman"/>
        </w:rPr>
      </w:pPr>
      <w:r>
        <w:rPr>
          <w:rFonts w:cs="Times New Roman"/>
        </w:rPr>
        <w:t>建立健全固体废物环境管理制度体系，</w:t>
      </w:r>
      <w:r>
        <w:rPr>
          <w:rFonts w:cs="Times New Roman"/>
          <w:szCs w:val="28"/>
        </w:rPr>
        <w:t>完善固体废物监管部门责任清单，明确固体废物产生、收运、利用、处置等各环节的部门职责边界，建立部门联席会议制度、重点问题会商制度。通过成立</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建设领导小组，建立完善</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建设绩效考核及成效评估机制。</w:t>
      </w:r>
      <w:r>
        <w:rPr>
          <w:rFonts w:cs="Times New Roman"/>
        </w:rPr>
        <w:t>建立危险废物污染环境事件应急处置机制，提高危险废物污染环境事件应急处置能力。</w:t>
      </w:r>
      <w:r>
        <w:rPr>
          <w:rFonts w:cs="Times New Roman"/>
          <w:szCs w:val="28"/>
        </w:rPr>
        <w:t>建立建筑垃圾产生量分段申报和台账管理制度，完善建筑垃圾再生产品推广使用制度，引导鼓励政府性工程使用建筑垃圾再生产品。</w:t>
      </w:r>
      <w:r>
        <w:rPr>
          <w:rFonts w:cs="Times New Roman"/>
        </w:rPr>
        <w:t>深入落实生产者责任延伸制度，引导生产企业建立逆向物流回收体系。</w:t>
      </w:r>
      <w:r>
        <w:rPr>
          <w:rFonts w:cs="Times New Roman"/>
          <w:szCs w:val="28"/>
        </w:rPr>
        <w:t>探索开展园林绿化废弃物、再生资源统计工作，建立产生处置台账，明确产生数量、处置去向。</w:t>
      </w:r>
    </w:p>
    <w:p w14:paraId="3DF79065">
      <w:pPr>
        <w:pStyle w:val="4"/>
        <w:ind w:firstLine="640"/>
        <w:rPr>
          <w:rFonts w:ascii="方正黑体_GBK" w:cs="Times New Roman"/>
          <w:szCs w:val="28"/>
        </w:rPr>
      </w:pPr>
      <w:bookmarkStart w:id="149" w:name="_Toc129882960"/>
      <w:r>
        <w:rPr>
          <w:rFonts w:hint="eastAsia" w:ascii="方正黑体_GBK" w:cs="Times New Roman"/>
          <w:szCs w:val="28"/>
        </w:rPr>
        <w:t>二、健全固体废物技术体系</w:t>
      </w:r>
      <w:bookmarkEnd w:id="149"/>
    </w:p>
    <w:p w14:paraId="14314991">
      <w:pPr>
        <w:ind w:firstLine="640"/>
        <w:rPr>
          <w:rFonts w:cs="Times New Roman"/>
        </w:rPr>
      </w:pPr>
      <w:r>
        <w:rPr>
          <w:rFonts w:cs="Times New Roman"/>
        </w:rPr>
        <w:t>聘请市级、区级专家，组建</w:t>
      </w:r>
      <w:r>
        <w:rPr>
          <w:rFonts w:hint="eastAsia" w:cs="Times New Roman"/>
        </w:rPr>
        <w:t>“</w:t>
      </w:r>
      <w:r>
        <w:rPr>
          <w:rFonts w:cs="Times New Roman"/>
        </w:rPr>
        <w:t>无废城市</w:t>
      </w:r>
      <w:r>
        <w:rPr>
          <w:rFonts w:hint="eastAsia" w:cs="Times New Roman"/>
        </w:rPr>
        <w:t>”</w:t>
      </w:r>
      <w:r>
        <w:rPr>
          <w:rFonts w:cs="Times New Roman"/>
        </w:rPr>
        <w:t>本地专家团队，建立专家帮扶机制，指导落实</w:t>
      </w:r>
      <w:r>
        <w:rPr>
          <w:rFonts w:hint="eastAsia" w:cs="Times New Roman"/>
        </w:rPr>
        <w:t>“</w:t>
      </w:r>
      <w:r>
        <w:rPr>
          <w:rFonts w:cs="Times New Roman"/>
        </w:rPr>
        <w:t>无废城市</w:t>
      </w:r>
      <w:r>
        <w:rPr>
          <w:rFonts w:hint="eastAsia" w:cs="Times New Roman"/>
        </w:rPr>
        <w:t>”</w:t>
      </w:r>
      <w:r>
        <w:rPr>
          <w:rFonts w:cs="Times New Roman"/>
        </w:rPr>
        <w:t>建设相关工作。</w:t>
      </w:r>
      <w:r>
        <w:rPr>
          <w:rFonts w:hint="eastAsia" w:cs="Times New Roman"/>
        </w:rPr>
        <w:t>依托</w:t>
      </w:r>
      <w:r>
        <w:rPr>
          <w:rFonts w:cs="Times New Roman"/>
        </w:rPr>
        <w:t>驻区高校与大院大所优势，深度实施校地融合创新，定期举办</w:t>
      </w:r>
      <w:r>
        <w:rPr>
          <w:rFonts w:hint="eastAsia" w:cs="Times New Roman"/>
        </w:rPr>
        <w:t>“</w:t>
      </w:r>
      <w:r>
        <w:rPr>
          <w:rFonts w:cs="Times New Roman"/>
        </w:rPr>
        <w:t>无废</w:t>
      </w:r>
      <w:r>
        <w:rPr>
          <w:rFonts w:hint="eastAsia" w:cs="Times New Roman"/>
        </w:rPr>
        <w:t>”</w:t>
      </w:r>
      <w:r>
        <w:rPr>
          <w:rFonts w:cs="Times New Roman"/>
        </w:rPr>
        <w:t>交流会。支持驻区高校院所参与</w:t>
      </w:r>
      <w:r>
        <w:rPr>
          <w:rFonts w:hint="eastAsia" w:cs="Times New Roman"/>
        </w:rPr>
        <w:t>“</w:t>
      </w:r>
      <w:r>
        <w:rPr>
          <w:rFonts w:cs="Times New Roman"/>
        </w:rPr>
        <w:t>无废城市</w:t>
      </w:r>
      <w:r>
        <w:rPr>
          <w:rFonts w:hint="eastAsia" w:cs="Times New Roman"/>
        </w:rPr>
        <w:t>”</w:t>
      </w:r>
      <w:r>
        <w:rPr>
          <w:rFonts w:cs="Times New Roman"/>
        </w:rPr>
        <w:t>相关技术研究、申报国家、省级固体废物相关的重点研发计划项目，推动驻区高校院所加快固体废物源头减量、资源化利用</w:t>
      </w:r>
      <w:r>
        <w:rPr>
          <w:rFonts w:hint="eastAsia" w:cs="Times New Roman"/>
        </w:rPr>
        <w:t>、</w:t>
      </w:r>
      <w:r>
        <w:rPr>
          <w:rFonts w:cs="Times New Roman"/>
        </w:rPr>
        <w:t>无害化处置</w:t>
      </w:r>
      <w:r>
        <w:rPr>
          <w:rFonts w:hint="eastAsia" w:cs="Times New Roman"/>
        </w:rPr>
        <w:t>等</w:t>
      </w:r>
      <w:r>
        <w:rPr>
          <w:rFonts w:cs="Times New Roman"/>
        </w:rPr>
        <w:t>相关技术工艺</w:t>
      </w:r>
      <w:r>
        <w:rPr>
          <w:rFonts w:hint="eastAsia" w:cs="Times New Roman"/>
        </w:rPr>
        <w:t>、</w:t>
      </w:r>
      <w:r>
        <w:rPr>
          <w:rFonts w:cs="Times New Roman"/>
        </w:rPr>
        <w:t>产品设备的研发应用，推进固废相关高新成果转化。</w:t>
      </w:r>
    </w:p>
    <w:p w14:paraId="7B8291C1">
      <w:pPr>
        <w:pStyle w:val="4"/>
        <w:ind w:firstLine="640"/>
        <w:rPr>
          <w:rFonts w:ascii="方正黑体_GBK" w:cs="Times New Roman"/>
          <w:szCs w:val="28"/>
        </w:rPr>
      </w:pPr>
      <w:bookmarkStart w:id="150" w:name="_Toc129882961"/>
      <w:r>
        <w:rPr>
          <w:rFonts w:hint="eastAsia" w:ascii="方正黑体_GBK" w:cs="Times New Roman"/>
          <w:szCs w:val="28"/>
        </w:rPr>
        <w:t>三、激发固体废物市场体系</w:t>
      </w:r>
      <w:bookmarkEnd w:id="150"/>
    </w:p>
    <w:p w14:paraId="5ECCFCFA">
      <w:pPr>
        <w:spacing w:line="520" w:lineRule="exact"/>
        <w:ind w:firstLine="640" w:firstLineChars="200"/>
        <w:rPr>
          <w:rFonts w:cs="Times New Roman"/>
          <w:szCs w:val="28"/>
        </w:rPr>
      </w:pPr>
      <w:r>
        <w:rPr>
          <w:rFonts w:cs="Times New Roman"/>
          <w:szCs w:val="28"/>
        </w:rPr>
        <w:t>推进绿色金融产品和融资模式创新，深化推广应用绿色信贷、绿色债券等绿色金融工具，建立多元化资金渠道。支持绿色企业、绿色项目申请</w:t>
      </w:r>
      <w:r>
        <w:rPr>
          <w:rFonts w:hint="eastAsia" w:cs="Times New Roman"/>
          <w:szCs w:val="28"/>
        </w:rPr>
        <w:t>“</w:t>
      </w:r>
      <w:r>
        <w:rPr>
          <w:rFonts w:cs="Times New Roman"/>
          <w:szCs w:val="28"/>
        </w:rPr>
        <w:t>环保贷</w:t>
      </w:r>
      <w:r>
        <w:rPr>
          <w:rFonts w:hint="eastAsia" w:cs="Times New Roman"/>
          <w:szCs w:val="28"/>
        </w:rPr>
        <w:t>”，</w:t>
      </w:r>
      <w:r>
        <w:rPr>
          <w:rFonts w:cs="Times New Roman"/>
          <w:szCs w:val="28"/>
        </w:rPr>
        <w:t>缓解绿色企业融资难、融资贵的问题。在不增加地方政府隐性债务前提下，依法依规探索采用政府和社会资本合作（PPP）、生态环境导向的开发模式（EOD）、基础设施领域不动产投资信托基金（REITs）等模式，推动固体废物收集、利用与处置工程项目设施建设运行。积极开展</w:t>
      </w:r>
      <w:r>
        <w:rPr>
          <w:rFonts w:hint="eastAsia" w:cs="Times New Roman"/>
          <w:szCs w:val="28"/>
        </w:rPr>
        <w:t>“</w:t>
      </w:r>
      <w:r>
        <w:rPr>
          <w:rFonts w:cs="Times New Roman"/>
          <w:szCs w:val="28"/>
        </w:rPr>
        <w:t>环保管家</w:t>
      </w:r>
      <w:r>
        <w:rPr>
          <w:rFonts w:hint="eastAsia" w:cs="Times New Roman"/>
          <w:szCs w:val="28"/>
        </w:rPr>
        <w:t>”</w:t>
      </w:r>
      <w:r>
        <w:rPr>
          <w:rFonts w:cs="Times New Roman"/>
          <w:szCs w:val="28"/>
        </w:rPr>
        <w:t>等第三方治理模式，推动固体废物收集、利用与处置工程项目和设施建设运行第三方治理新模式。落实重点行业所得税</w:t>
      </w:r>
      <w:r>
        <w:rPr>
          <w:rFonts w:hint="eastAsia" w:cs="Times New Roman"/>
          <w:szCs w:val="28"/>
        </w:rPr>
        <w:t>“</w:t>
      </w:r>
      <w:r>
        <w:rPr>
          <w:rFonts w:cs="Times New Roman"/>
          <w:szCs w:val="28"/>
        </w:rPr>
        <w:t>三免三减半</w:t>
      </w:r>
      <w:r>
        <w:rPr>
          <w:rFonts w:hint="eastAsia" w:cs="Times New Roman"/>
          <w:szCs w:val="28"/>
        </w:rPr>
        <w:t>”、</w:t>
      </w:r>
      <w:r>
        <w:rPr>
          <w:rFonts w:cs="Times New Roman"/>
          <w:szCs w:val="28"/>
        </w:rPr>
        <w:t>资源综合利用增值税即征即退、依法综合利用固体废物且符合国家和地方环境保护标准的，免征环境保护税等税收优惠政策，在节能减排、资源综合利用和环境保护等方面推行政府补贴政策，激励固体废物处理产业发展，支持再生产品应用。在政府投资公共工程中，优先使用以大宗工业固体废物等为原料的综合利用产品，推广新型墙材等绿色建材应用，推动再生利用产品的绿色产品认证工作。积极推行共享经济，推进固废相关企业纳入企业环境信用评价范围。</w:t>
      </w:r>
    </w:p>
    <w:p w14:paraId="731F88D4">
      <w:pPr>
        <w:pStyle w:val="4"/>
        <w:spacing w:line="520" w:lineRule="exact"/>
        <w:ind w:firstLine="640"/>
        <w:rPr>
          <w:rFonts w:ascii="方正黑体_GBK" w:cs="Times New Roman"/>
          <w:szCs w:val="28"/>
        </w:rPr>
      </w:pPr>
      <w:bookmarkStart w:id="151" w:name="_Toc129882962"/>
      <w:r>
        <w:rPr>
          <w:rFonts w:hint="eastAsia" w:ascii="方正黑体_GBK" w:cs="Times New Roman"/>
          <w:szCs w:val="28"/>
        </w:rPr>
        <w:t>四、打造固体废物监管体系</w:t>
      </w:r>
      <w:bookmarkEnd w:id="151"/>
    </w:p>
    <w:bookmarkEnd w:id="148"/>
    <w:p w14:paraId="24775DF6">
      <w:pPr>
        <w:spacing w:line="520" w:lineRule="exact"/>
        <w:ind w:firstLine="640" w:firstLineChars="200"/>
        <w:rPr>
          <w:rFonts w:cs="Times New Roman"/>
        </w:rPr>
      </w:pPr>
      <w:bookmarkStart w:id="152" w:name="_Hlk108447460"/>
      <w:r>
        <w:rPr>
          <w:rFonts w:cs="Times New Roman"/>
        </w:rPr>
        <w:t>配合市级部门完善固体废物环境信息管理，建立</w:t>
      </w:r>
      <w:r>
        <w:rPr>
          <w:rFonts w:hint="eastAsia" w:cs="Times New Roman"/>
        </w:rPr>
        <w:t>“</w:t>
      </w:r>
      <w:r>
        <w:rPr>
          <w:rFonts w:cs="Times New Roman"/>
        </w:rPr>
        <w:t>无废城市</w:t>
      </w:r>
      <w:r>
        <w:rPr>
          <w:rFonts w:hint="eastAsia" w:cs="Times New Roman"/>
        </w:rPr>
        <w:t>”</w:t>
      </w:r>
      <w:r>
        <w:rPr>
          <w:rFonts w:cs="Times New Roman"/>
        </w:rPr>
        <w:t>智慧管理平台，覆盖一般工业固体废物、危险废物、生活垃圾、建筑垃圾多领域，形成各类固体废物信息化监管</w:t>
      </w:r>
      <w:r>
        <w:rPr>
          <w:rFonts w:hint="eastAsia" w:cs="Times New Roman"/>
        </w:rPr>
        <w:t>“</w:t>
      </w:r>
      <w:r>
        <w:rPr>
          <w:rFonts w:cs="Times New Roman"/>
        </w:rPr>
        <w:t>一张网</w:t>
      </w:r>
      <w:r>
        <w:rPr>
          <w:rFonts w:hint="eastAsia" w:cs="Times New Roman"/>
        </w:rPr>
        <w:t>”。</w:t>
      </w:r>
      <w:r>
        <w:rPr>
          <w:rFonts w:cs="Times New Roman"/>
        </w:rPr>
        <w:t>完善网格化固体废物巡查机制，以</w:t>
      </w:r>
      <w:r>
        <w:rPr>
          <w:rFonts w:hint="eastAsia" w:cs="Times New Roman"/>
        </w:rPr>
        <w:t>“</w:t>
      </w:r>
      <w:r>
        <w:rPr>
          <w:rFonts w:cs="Times New Roman"/>
        </w:rPr>
        <w:t>一园一策</w:t>
      </w:r>
      <w:r>
        <w:rPr>
          <w:rFonts w:hint="eastAsia" w:cs="Times New Roman"/>
        </w:rPr>
        <w:t>”“</w:t>
      </w:r>
      <w:r>
        <w:rPr>
          <w:rFonts w:cs="Times New Roman"/>
        </w:rPr>
        <w:t>一企一策</w:t>
      </w:r>
      <w:r>
        <w:rPr>
          <w:rFonts w:hint="eastAsia" w:cs="Times New Roman"/>
        </w:rPr>
        <w:t>”</w:t>
      </w:r>
      <w:r>
        <w:rPr>
          <w:rFonts w:cs="Times New Roman"/>
        </w:rPr>
        <w:t>模式推动建立重点环境风险源防控体系，实现</w:t>
      </w:r>
      <w:r>
        <w:rPr>
          <w:rFonts w:hint="eastAsia" w:cs="Times New Roman"/>
        </w:rPr>
        <w:t>“</w:t>
      </w:r>
      <w:r>
        <w:rPr>
          <w:rFonts w:cs="Times New Roman"/>
        </w:rPr>
        <w:t>大事不出网，小事不出格</w:t>
      </w:r>
      <w:r>
        <w:rPr>
          <w:rFonts w:hint="eastAsia" w:cs="Times New Roman"/>
        </w:rPr>
        <w:t>”。</w:t>
      </w:r>
      <w:r>
        <w:rPr>
          <w:rFonts w:cs="Times New Roman"/>
        </w:rPr>
        <w:t>加快推进</w:t>
      </w:r>
      <w:r>
        <w:rPr>
          <w:rFonts w:hint="eastAsia" w:cs="Times New Roman"/>
        </w:rPr>
        <w:t>“</w:t>
      </w:r>
      <w:r>
        <w:rPr>
          <w:rFonts w:cs="Times New Roman"/>
        </w:rPr>
        <w:t>互联网+监管+协调联动</w:t>
      </w:r>
      <w:r>
        <w:rPr>
          <w:rFonts w:hint="eastAsia" w:cs="Times New Roman"/>
        </w:rPr>
        <w:t>”，</w:t>
      </w:r>
      <w:r>
        <w:rPr>
          <w:rFonts w:cs="Times New Roman"/>
        </w:rPr>
        <w:t>建立线上监管与线下现场执法协调机制，打造案件上报、案件派发处置、批管同步、双随机抽查、联合监管、风险预警的</w:t>
      </w:r>
      <w:r>
        <w:rPr>
          <w:rFonts w:hint="eastAsia" w:cs="Times New Roman"/>
        </w:rPr>
        <w:t>“</w:t>
      </w:r>
      <w:r>
        <w:rPr>
          <w:rFonts w:cs="Times New Roman"/>
        </w:rPr>
        <w:t>一体化在线监管</w:t>
      </w:r>
      <w:r>
        <w:rPr>
          <w:rFonts w:hint="eastAsia" w:cs="Times New Roman"/>
        </w:rPr>
        <w:t>”</w:t>
      </w:r>
      <w:r>
        <w:rPr>
          <w:rFonts w:cs="Times New Roman"/>
        </w:rPr>
        <w:t>模式。强化部门联动，加强生态环境、商务、公安、城管、建设等部门的信息互通与执法协同，开展危险废物等安全专项整治行动、垃圾分类执法检查、塑料污染专项整治、邮件快件综合治理专项行动等一系列专项工作，严厉打击各类固废违法、违规转移、倾倒、外售等行为。</w:t>
      </w:r>
      <w:bookmarkEnd w:id="152"/>
      <w:r>
        <w:rPr>
          <w:rFonts w:cs="Times New Roman"/>
        </w:rPr>
        <w:t>持续推进危险废物</w:t>
      </w:r>
      <w:r>
        <w:rPr>
          <w:rFonts w:hint="eastAsia" w:cs="Times New Roman"/>
        </w:rPr>
        <w:t>“</w:t>
      </w:r>
      <w:r>
        <w:rPr>
          <w:rFonts w:cs="Times New Roman"/>
        </w:rPr>
        <w:t>减存量、控风险</w:t>
      </w:r>
      <w:r>
        <w:rPr>
          <w:rFonts w:hint="eastAsia" w:cs="Times New Roman"/>
        </w:rPr>
        <w:t>”</w:t>
      </w:r>
      <w:r>
        <w:rPr>
          <w:rFonts w:cs="Times New Roman"/>
        </w:rPr>
        <w:t>工作，有效防范化解危险废物长期贮存带来的环境安全隐患。</w:t>
      </w:r>
      <w:r>
        <w:rPr>
          <w:rFonts w:hint="eastAsia" w:cs="Times New Roman"/>
        </w:rPr>
        <w:t xml:space="preserve"> </w:t>
      </w:r>
      <w:r>
        <w:rPr>
          <w:rFonts w:cs="Times New Roman"/>
        </w:rPr>
        <w:t xml:space="preserve">    </w:t>
      </w:r>
    </w:p>
    <w:p w14:paraId="24AFD872">
      <w:pPr>
        <w:spacing w:line="520" w:lineRule="exact"/>
        <w:ind w:firstLine="640" w:firstLineChars="200"/>
        <w:rPr>
          <w:rFonts w:cs="Times New Roman"/>
        </w:rPr>
      </w:pPr>
    </w:p>
    <w:p w14:paraId="3BFEE2DA">
      <w:pPr>
        <w:pStyle w:val="2"/>
        <w:numPr>
          <w:ilvl w:val="0"/>
          <w:numId w:val="0"/>
        </w:numPr>
        <w:spacing w:beforeLines="0" w:after="0" w:line="520" w:lineRule="exact"/>
        <w:rPr>
          <w:rFonts w:ascii="方正黑体_GBK" w:cs="Times New Roman"/>
          <w:szCs w:val="28"/>
        </w:rPr>
      </w:pPr>
      <w:bookmarkStart w:id="153" w:name="_Toc129882963"/>
      <w:bookmarkStart w:id="154" w:name="_Toc140150525"/>
      <w:r>
        <w:rPr>
          <w:rFonts w:hint="eastAsia" w:ascii="方正黑体_GBK" w:cs="Times New Roman"/>
          <w:szCs w:val="28"/>
        </w:rPr>
        <w:t>第五章 主要任务及进度安排</w:t>
      </w:r>
      <w:bookmarkEnd w:id="153"/>
      <w:bookmarkEnd w:id="154"/>
    </w:p>
    <w:p w14:paraId="4B6434F7">
      <w:pPr>
        <w:spacing w:line="520" w:lineRule="exact"/>
        <w:rPr>
          <w:rFonts w:hint="eastAsia"/>
        </w:rPr>
      </w:pPr>
    </w:p>
    <w:p w14:paraId="3E3EE95C">
      <w:pPr>
        <w:spacing w:line="520" w:lineRule="exact"/>
        <w:ind w:firstLine="596" w:firstLineChars="200"/>
        <w:rPr>
          <w:rFonts w:hint="eastAsia" w:cs="Times New Roman"/>
          <w:spacing w:val="-11"/>
          <w:szCs w:val="28"/>
        </w:rPr>
        <w:sectPr>
          <w:pgSz w:w="11906" w:h="16838"/>
          <w:pgMar w:top="2098" w:right="1474" w:bottom="1701" w:left="1588" w:header="851" w:footer="1247" w:gutter="0"/>
          <w:cols w:space="0" w:num="1"/>
          <w:docGrid w:type="lines" w:linePitch="449" w:charSpace="0"/>
        </w:sectPr>
      </w:pPr>
      <w:r>
        <w:rPr>
          <w:rFonts w:cs="Times New Roman"/>
          <w:spacing w:val="-11"/>
          <w:szCs w:val="28"/>
        </w:rPr>
        <w:t>为推动</w:t>
      </w:r>
      <w:r>
        <w:rPr>
          <w:rFonts w:hint="eastAsia" w:cs="Times New Roman"/>
          <w:spacing w:val="-11"/>
          <w:szCs w:val="28"/>
        </w:rPr>
        <w:t>“</w:t>
      </w:r>
      <w:r>
        <w:rPr>
          <w:rFonts w:cs="Times New Roman"/>
          <w:spacing w:val="-11"/>
          <w:szCs w:val="28"/>
        </w:rPr>
        <w:t>无废城市</w:t>
      </w:r>
      <w:r>
        <w:rPr>
          <w:rFonts w:hint="eastAsia" w:cs="Times New Roman"/>
          <w:spacing w:val="-11"/>
          <w:szCs w:val="28"/>
        </w:rPr>
        <w:t>”</w:t>
      </w:r>
      <w:r>
        <w:rPr>
          <w:rFonts w:cs="Times New Roman"/>
          <w:spacing w:val="-11"/>
          <w:szCs w:val="28"/>
        </w:rPr>
        <w:t>的建设，厘清部门职责和工作内容，从制度体系、技术体系、市场体系、监管体系四</w:t>
      </w:r>
      <w:r>
        <w:rPr>
          <w:rFonts w:hint="eastAsia" w:cs="Times New Roman"/>
          <w:spacing w:val="-11"/>
          <w:szCs w:val="28"/>
        </w:rPr>
        <w:t>个</w:t>
      </w:r>
      <w:r>
        <w:rPr>
          <w:rFonts w:cs="Times New Roman"/>
          <w:spacing w:val="-11"/>
          <w:szCs w:val="28"/>
        </w:rPr>
        <w:t>方面进行梳理，</w:t>
      </w:r>
      <w:r>
        <w:rPr>
          <w:rFonts w:hint="eastAsia" w:cs="Times New Roman"/>
          <w:spacing w:val="-11"/>
          <w:szCs w:val="28"/>
        </w:rPr>
        <w:t>制定</w:t>
      </w:r>
      <w:r>
        <w:rPr>
          <w:rFonts w:cs="Times New Roman"/>
          <w:spacing w:val="-11"/>
          <w:szCs w:val="28"/>
        </w:rPr>
        <w:t>34项工作任务，确保玄武区</w:t>
      </w:r>
      <w:r>
        <w:rPr>
          <w:rFonts w:hint="eastAsia" w:cs="Times New Roman"/>
          <w:spacing w:val="-11"/>
          <w:szCs w:val="28"/>
        </w:rPr>
        <w:t>“</w:t>
      </w:r>
      <w:r>
        <w:rPr>
          <w:rFonts w:cs="Times New Roman"/>
          <w:spacing w:val="-11"/>
          <w:szCs w:val="28"/>
        </w:rPr>
        <w:t>无废城市</w:t>
      </w:r>
      <w:r>
        <w:rPr>
          <w:rFonts w:hint="eastAsia" w:cs="Times New Roman"/>
          <w:spacing w:val="-11"/>
          <w:szCs w:val="28"/>
        </w:rPr>
        <w:t>”</w:t>
      </w:r>
      <w:r>
        <w:rPr>
          <w:rFonts w:cs="Times New Roman"/>
          <w:spacing w:val="-11"/>
          <w:szCs w:val="28"/>
        </w:rPr>
        <w:t>建设工作落到实处。</w:t>
      </w:r>
    </w:p>
    <w:p w14:paraId="2C15AB20">
      <w:pPr>
        <w:pStyle w:val="3"/>
        <w:spacing w:before="0" w:after="0"/>
        <w:rPr>
          <w:rFonts w:ascii="方正黑体_GBK" w:cs="Times New Roman"/>
          <w:szCs w:val="28"/>
        </w:rPr>
      </w:pPr>
      <w:bookmarkStart w:id="155" w:name="_Toc129882964"/>
      <w:bookmarkStart w:id="156" w:name="_Toc140150526"/>
      <w:r>
        <w:rPr>
          <w:rFonts w:hint="eastAsia" w:ascii="方正黑体_GBK" w:cs="Times New Roman"/>
          <w:szCs w:val="28"/>
        </w:rPr>
        <w:t>第一节 制度体系建设</w:t>
      </w:r>
      <w:bookmarkEnd w:id="155"/>
      <w:r>
        <w:rPr>
          <w:rFonts w:hint="eastAsia" w:ascii="方正黑体_GBK" w:cs="Times New Roman"/>
          <w:szCs w:val="28"/>
        </w:rPr>
        <w:t>任务清单</w:t>
      </w:r>
      <w:bookmarkEnd w:id="156"/>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748"/>
        <w:gridCol w:w="6092"/>
        <w:gridCol w:w="3262"/>
        <w:gridCol w:w="1570"/>
      </w:tblGrid>
      <w:tr w14:paraId="7C17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597" w:type="pct"/>
            <w:shd w:val="clear" w:color="000000" w:fill="D0CECE"/>
            <w:vAlign w:val="center"/>
          </w:tcPr>
          <w:p w14:paraId="60932720">
            <w:pPr>
              <w:pStyle w:val="47"/>
              <w:snapToGrid w:val="0"/>
              <w:spacing w:line="400" w:lineRule="exact"/>
              <w:jc w:val="center"/>
              <w:rPr>
                <w:rFonts w:cs="Times New Roman"/>
                <w:b/>
                <w:bCs/>
                <w:sz w:val="24"/>
                <w:szCs w:val="24"/>
              </w:rPr>
            </w:pPr>
            <w:r>
              <w:rPr>
                <w:rFonts w:cs="Times New Roman"/>
                <w:b/>
                <w:bCs/>
                <w:sz w:val="24"/>
                <w:szCs w:val="24"/>
              </w:rPr>
              <w:t>类型</w:t>
            </w:r>
          </w:p>
        </w:tc>
        <w:tc>
          <w:tcPr>
            <w:tcW w:w="282" w:type="pct"/>
            <w:shd w:val="clear" w:color="000000" w:fill="D0CECE"/>
            <w:vAlign w:val="center"/>
          </w:tcPr>
          <w:p w14:paraId="2D03176D">
            <w:pPr>
              <w:pStyle w:val="47"/>
              <w:snapToGrid w:val="0"/>
              <w:spacing w:line="400" w:lineRule="exact"/>
              <w:jc w:val="center"/>
              <w:rPr>
                <w:rFonts w:cs="Times New Roman"/>
                <w:b/>
                <w:bCs/>
                <w:sz w:val="24"/>
                <w:szCs w:val="24"/>
              </w:rPr>
            </w:pPr>
            <w:r>
              <w:rPr>
                <w:rFonts w:cs="Times New Roman"/>
                <w:b/>
                <w:bCs/>
                <w:sz w:val="24"/>
                <w:szCs w:val="24"/>
              </w:rPr>
              <w:t>序号</w:t>
            </w:r>
          </w:p>
        </w:tc>
        <w:tc>
          <w:tcPr>
            <w:tcW w:w="2297" w:type="pct"/>
            <w:shd w:val="clear" w:color="000000" w:fill="D0CECE"/>
            <w:vAlign w:val="center"/>
          </w:tcPr>
          <w:p w14:paraId="63926FCA">
            <w:pPr>
              <w:pStyle w:val="47"/>
              <w:snapToGrid w:val="0"/>
              <w:spacing w:line="400" w:lineRule="exact"/>
              <w:jc w:val="center"/>
              <w:rPr>
                <w:rFonts w:cs="Times New Roman"/>
                <w:b/>
                <w:bCs/>
                <w:sz w:val="24"/>
                <w:szCs w:val="24"/>
              </w:rPr>
            </w:pPr>
            <w:r>
              <w:rPr>
                <w:rFonts w:cs="Times New Roman"/>
                <w:b/>
                <w:bCs/>
                <w:sz w:val="24"/>
                <w:szCs w:val="24"/>
              </w:rPr>
              <w:t>任务清单</w:t>
            </w:r>
          </w:p>
        </w:tc>
        <w:tc>
          <w:tcPr>
            <w:tcW w:w="1230" w:type="pct"/>
            <w:shd w:val="clear" w:color="000000" w:fill="D0CECE"/>
            <w:vAlign w:val="center"/>
          </w:tcPr>
          <w:p w14:paraId="7183BB2A">
            <w:pPr>
              <w:pStyle w:val="47"/>
              <w:snapToGrid w:val="0"/>
              <w:spacing w:line="400" w:lineRule="exact"/>
              <w:jc w:val="center"/>
              <w:rPr>
                <w:rFonts w:cs="Times New Roman"/>
                <w:b/>
                <w:bCs/>
                <w:sz w:val="24"/>
                <w:szCs w:val="24"/>
              </w:rPr>
            </w:pPr>
            <w:r>
              <w:rPr>
                <w:rFonts w:cs="Times New Roman"/>
                <w:b/>
                <w:bCs/>
                <w:sz w:val="24"/>
                <w:szCs w:val="24"/>
              </w:rPr>
              <w:t>责任单位</w:t>
            </w:r>
          </w:p>
        </w:tc>
        <w:tc>
          <w:tcPr>
            <w:tcW w:w="592" w:type="pct"/>
            <w:shd w:val="clear" w:color="000000" w:fill="D0CECE"/>
            <w:vAlign w:val="center"/>
          </w:tcPr>
          <w:p w14:paraId="788E6E3A">
            <w:pPr>
              <w:pStyle w:val="47"/>
              <w:snapToGrid w:val="0"/>
              <w:spacing w:line="400" w:lineRule="exact"/>
              <w:jc w:val="center"/>
              <w:rPr>
                <w:rFonts w:cs="Times New Roman"/>
                <w:b/>
                <w:bCs/>
                <w:sz w:val="24"/>
                <w:szCs w:val="24"/>
              </w:rPr>
            </w:pPr>
            <w:r>
              <w:rPr>
                <w:rFonts w:cs="Times New Roman"/>
                <w:b/>
                <w:bCs/>
                <w:sz w:val="24"/>
                <w:szCs w:val="24"/>
              </w:rPr>
              <w:t>时间要求</w:t>
            </w:r>
          </w:p>
        </w:tc>
      </w:tr>
      <w:tr w14:paraId="36C1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restart"/>
            <w:shd w:val="clear" w:color="auto" w:fill="auto"/>
            <w:vAlign w:val="center"/>
          </w:tcPr>
          <w:p w14:paraId="7D0C5E61">
            <w:pPr>
              <w:pStyle w:val="47"/>
              <w:snapToGrid w:val="0"/>
              <w:spacing w:line="400" w:lineRule="exact"/>
              <w:jc w:val="center"/>
              <w:rPr>
                <w:rFonts w:cs="Times New Roman"/>
                <w:b/>
                <w:bCs/>
                <w:sz w:val="24"/>
                <w:szCs w:val="24"/>
              </w:rPr>
            </w:pPr>
            <w:r>
              <w:rPr>
                <w:rFonts w:cs="Times New Roman"/>
                <w:b/>
                <w:bCs/>
                <w:sz w:val="24"/>
                <w:szCs w:val="24"/>
              </w:rPr>
              <w:t>A1领导机制</w:t>
            </w:r>
          </w:p>
        </w:tc>
        <w:tc>
          <w:tcPr>
            <w:tcW w:w="282" w:type="pct"/>
            <w:shd w:val="clear" w:color="auto" w:fill="auto"/>
            <w:vAlign w:val="center"/>
          </w:tcPr>
          <w:p w14:paraId="7564F882">
            <w:pPr>
              <w:pStyle w:val="47"/>
              <w:numPr>
                <w:ilvl w:val="0"/>
                <w:numId w:val="16"/>
              </w:numPr>
              <w:snapToGrid w:val="0"/>
              <w:spacing w:line="400" w:lineRule="exact"/>
              <w:jc w:val="center"/>
              <w:rPr>
                <w:rFonts w:cs="Times New Roman"/>
                <w:sz w:val="24"/>
                <w:szCs w:val="24"/>
              </w:rPr>
            </w:pPr>
          </w:p>
        </w:tc>
        <w:tc>
          <w:tcPr>
            <w:tcW w:w="2297" w:type="pct"/>
            <w:shd w:val="clear" w:color="auto" w:fill="auto"/>
            <w:vAlign w:val="center"/>
          </w:tcPr>
          <w:p w14:paraId="05D445A3">
            <w:pPr>
              <w:pStyle w:val="47"/>
              <w:snapToGrid w:val="0"/>
              <w:spacing w:line="400" w:lineRule="exact"/>
              <w:jc w:val="center"/>
              <w:rPr>
                <w:rFonts w:cs="Times New Roman"/>
                <w:sz w:val="24"/>
                <w:szCs w:val="24"/>
              </w:rPr>
            </w:pPr>
            <w:r>
              <w:rPr>
                <w:rFonts w:cs="Times New Roman"/>
                <w:sz w:val="24"/>
                <w:szCs w:val="24"/>
              </w:rPr>
              <w:t>设立</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工作小组</w:t>
            </w:r>
          </w:p>
        </w:tc>
        <w:tc>
          <w:tcPr>
            <w:tcW w:w="1230" w:type="pct"/>
            <w:shd w:val="clear" w:color="auto" w:fill="auto"/>
            <w:vAlign w:val="center"/>
          </w:tcPr>
          <w:p w14:paraId="3F9F2D79">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1C643239">
            <w:pPr>
              <w:pStyle w:val="47"/>
              <w:snapToGrid w:val="0"/>
              <w:spacing w:line="400" w:lineRule="exact"/>
              <w:jc w:val="center"/>
              <w:rPr>
                <w:rFonts w:cs="Times New Roman"/>
                <w:sz w:val="24"/>
                <w:szCs w:val="24"/>
              </w:rPr>
            </w:pPr>
            <w:r>
              <w:rPr>
                <w:rFonts w:cs="Times New Roman"/>
                <w:sz w:val="24"/>
                <w:szCs w:val="24"/>
              </w:rPr>
              <w:t>已建</w:t>
            </w:r>
          </w:p>
        </w:tc>
      </w:tr>
      <w:tr w14:paraId="6ED5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6D32E42F">
            <w:pPr>
              <w:pStyle w:val="47"/>
              <w:snapToGrid w:val="0"/>
              <w:spacing w:line="400" w:lineRule="exact"/>
              <w:jc w:val="center"/>
              <w:rPr>
                <w:rFonts w:cs="Times New Roman"/>
                <w:b/>
                <w:bCs/>
                <w:sz w:val="24"/>
                <w:szCs w:val="24"/>
              </w:rPr>
            </w:pPr>
          </w:p>
        </w:tc>
        <w:tc>
          <w:tcPr>
            <w:tcW w:w="282" w:type="pct"/>
            <w:shd w:val="clear" w:color="auto" w:fill="auto"/>
            <w:vAlign w:val="center"/>
          </w:tcPr>
          <w:p w14:paraId="5DEA76D3">
            <w:pPr>
              <w:pStyle w:val="47"/>
              <w:numPr>
                <w:ilvl w:val="0"/>
                <w:numId w:val="16"/>
              </w:numPr>
              <w:snapToGrid w:val="0"/>
              <w:spacing w:line="400" w:lineRule="exact"/>
              <w:jc w:val="center"/>
              <w:rPr>
                <w:rFonts w:cs="Times New Roman"/>
                <w:sz w:val="24"/>
                <w:szCs w:val="24"/>
              </w:rPr>
            </w:pPr>
          </w:p>
        </w:tc>
        <w:tc>
          <w:tcPr>
            <w:tcW w:w="2297" w:type="pct"/>
            <w:shd w:val="clear" w:color="auto" w:fill="auto"/>
            <w:vAlign w:val="center"/>
          </w:tcPr>
          <w:p w14:paraId="048D4C30">
            <w:pPr>
              <w:pStyle w:val="47"/>
              <w:snapToGrid w:val="0"/>
              <w:spacing w:line="400" w:lineRule="exact"/>
              <w:jc w:val="center"/>
              <w:rPr>
                <w:rFonts w:cs="Times New Roman"/>
                <w:sz w:val="24"/>
                <w:szCs w:val="24"/>
              </w:rPr>
            </w:pPr>
            <w:r>
              <w:rPr>
                <w:rFonts w:cs="Times New Roman"/>
                <w:sz w:val="24"/>
                <w:szCs w:val="24"/>
              </w:rPr>
              <w:t>建立</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建设联席会议制度</w:t>
            </w:r>
          </w:p>
        </w:tc>
        <w:tc>
          <w:tcPr>
            <w:tcW w:w="1230" w:type="pct"/>
            <w:shd w:val="clear" w:color="auto" w:fill="auto"/>
            <w:vAlign w:val="center"/>
          </w:tcPr>
          <w:p w14:paraId="43EBAB1D">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3F6B139C">
            <w:pPr>
              <w:pStyle w:val="47"/>
              <w:snapToGrid w:val="0"/>
              <w:spacing w:line="400" w:lineRule="exact"/>
              <w:jc w:val="center"/>
              <w:rPr>
                <w:rFonts w:cs="Times New Roman"/>
                <w:sz w:val="24"/>
                <w:szCs w:val="24"/>
              </w:rPr>
            </w:pPr>
            <w:r>
              <w:rPr>
                <w:rFonts w:cs="Times New Roman"/>
                <w:sz w:val="24"/>
                <w:szCs w:val="24"/>
              </w:rPr>
              <w:t>2023年前</w:t>
            </w:r>
          </w:p>
        </w:tc>
      </w:tr>
      <w:tr w14:paraId="7CB7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18BE941D">
            <w:pPr>
              <w:pStyle w:val="47"/>
              <w:snapToGrid w:val="0"/>
              <w:spacing w:line="400" w:lineRule="exact"/>
              <w:jc w:val="center"/>
              <w:rPr>
                <w:rFonts w:cs="Times New Roman"/>
                <w:b/>
                <w:bCs/>
                <w:sz w:val="24"/>
                <w:szCs w:val="24"/>
              </w:rPr>
            </w:pPr>
          </w:p>
        </w:tc>
        <w:tc>
          <w:tcPr>
            <w:tcW w:w="282" w:type="pct"/>
            <w:shd w:val="clear" w:color="auto" w:fill="auto"/>
            <w:vAlign w:val="center"/>
          </w:tcPr>
          <w:p w14:paraId="2FB9EB28">
            <w:pPr>
              <w:pStyle w:val="47"/>
              <w:numPr>
                <w:ilvl w:val="0"/>
                <w:numId w:val="16"/>
              </w:numPr>
              <w:snapToGrid w:val="0"/>
              <w:spacing w:line="400" w:lineRule="exact"/>
              <w:jc w:val="center"/>
              <w:rPr>
                <w:rFonts w:cs="Times New Roman"/>
                <w:sz w:val="24"/>
                <w:szCs w:val="24"/>
              </w:rPr>
            </w:pPr>
          </w:p>
        </w:tc>
        <w:tc>
          <w:tcPr>
            <w:tcW w:w="2297" w:type="pct"/>
            <w:shd w:val="clear" w:color="auto" w:fill="auto"/>
            <w:vAlign w:val="center"/>
          </w:tcPr>
          <w:p w14:paraId="27BF166F">
            <w:pPr>
              <w:pStyle w:val="47"/>
              <w:snapToGrid w:val="0"/>
              <w:spacing w:line="400" w:lineRule="exact"/>
              <w:jc w:val="center"/>
              <w:rPr>
                <w:rFonts w:cs="Times New Roman"/>
                <w:sz w:val="24"/>
                <w:szCs w:val="24"/>
              </w:rPr>
            </w:pPr>
            <w:r>
              <w:rPr>
                <w:rFonts w:cs="Times New Roman"/>
                <w:sz w:val="24"/>
                <w:szCs w:val="24"/>
              </w:rPr>
              <w:t>建立</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建设重点问题会商制度</w:t>
            </w:r>
          </w:p>
        </w:tc>
        <w:tc>
          <w:tcPr>
            <w:tcW w:w="1230" w:type="pct"/>
            <w:shd w:val="clear" w:color="auto" w:fill="auto"/>
            <w:vAlign w:val="center"/>
          </w:tcPr>
          <w:p w14:paraId="197DB647">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4B1CFA7B">
            <w:pPr>
              <w:pStyle w:val="47"/>
              <w:snapToGrid w:val="0"/>
              <w:spacing w:line="400" w:lineRule="exact"/>
              <w:jc w:val="center"/>
              <w:rPr>
                <w:rFonts w:cs="Times New Roman"/>
                <w:sz w:val="24"/>
                <w:szCs w:val="24"/>
              </w:rPr>
            </w:pPr>
            <w:r>
              <w:rPr>
                <w:rFonts w:cs="Times New Roman"/>
                <w:sz w:val="24"/>
                <w:szCs w:val="24"/>
              </w:rPr>
              <w:t>2023年前</w:t>
            </w:r>
          </w:p>
        </w:tc>
      </w:tr>
      <w:tr w14:paraId="307B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7CA5C31A">
            <w:pPr>
              <w:pStyle w:val="47"/>
              <w:snapToGrid w:val="0"/>
              <w:spacing w:line="400" w:lineRule="exact"/>
              <w:jc w:val="center"/>
              <w:rPr>
                <w:rFonts w:cs="Times New Roman"/>
                <w:b/>
                <w:bCs/>
                <w:sz w:val="24"/>
                <w:szCs w:val="24"/>
              </w:rPr>
            </w:pPr>
          </w:p>
        </w:tc>
        <w:tc>
          <w:tcPr>
            <w:tcW w:w="282" w:type="pct"/>
            <w:shd w:val="clear" w:color="auto" w:fill="auto"/>
            <w:vAlign w:val="center"/>
          </w:tcPr>
          <w:p w14:paraId="6F33039D">
            <w:pPr>
              <w:pStyle w:val="47"/>
              <w:numPr>
                <w:ilvl w:val="0"/>
                <w:numId w:val="16"/>
              </w:numPr>
              <w:snapToGrid w:val="0"/>
              <w:spacing w:line="400" w:lineRule="exact"/>
              <w:jc w:val="center"/>
              <w:rPr>
                <w:rFonts w:cs="Times New Roman"/>
                <w:sz w:val="24"/>
                <w:szCs w:val="24"/>
              </w:rPr>
            </w:pPr>
          </w:p>
        </w:tc>
        <w:tc>
          <w:tcPr>
            <w:tcW w:w="2297" w:type="pct"/>
            <w:shd w:val="clear" w:color="auto" w:fill="auto"/>
            <w:vAlign w:val="center"/>
          </w:tcPr>
          <w:p w14:paraId="4B44ABFB">
            <w:pPr>
              <w:pStyle w:val="47"/>
              <w:snapToGrid w:val="0"/>
              <w:spacing w:line="400" w:lineRule="exact"/>
              <w:jc w:val="center"/>
              <w:rPr>
                <w:rFonts w:cs="Times New Roman"/>
                <w:sz w:val="24"/>
                <w:szCs w:val="24"/>
              </w:rPr>
            </w:pPr>
            <w:r>
              <w:rPr>
                <w:rFonts w:cs="Times New Roman"/>
                <w:sz w:val="24"/>
                <w:szCs w:val="24"/>
              </w:rPr>
              <w:t>制定</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建设绩效考核机制</w:t>
            </w:r>
          </w:p>
        </w:tc>
        <w:tc>
          <w:tcPr>
            <w:tcW w:w="1230" w:type="pct"/>
            <w:shd w:val="clear" w:color="auto" w:fill="auto"/>
            <w:vAlign w:val="center"/>
          </w:tcPr>
          <w:p w14:paraId="67FF9760">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365C060F">
            <w:pPr>
              <w:pStyle w:val="47"/>
              <w:snapToGrid w:val="0"/>
              <w:spacing w:line="400" w:lineRule="exact"/>
              <w:jc w:val="center"/>
              <w:rPr>
                <w:rFonts w:cs="Times New Roman"/>
                <w:sz w:val="24"/>
                <w:szCs w:val="24"/>
              </w:rPr>
            </w:pPr>
            <w:r>
              <w:rPr>
                <w:rFonts w:cs="Times New Roman"/>
                <w:sz w:val="24"/>
                <w:szCs w:val="24"/>
              </w:rPr>
              <w:t>2023年前</w:t>
            </w:r>
          </w:p>
        </w:tc>
      </w:tr>
      <w:tr w14:paraId="323F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29795DD6">
            <w:pPr>
              <w:pStyle w:val="47"/>
              <w:snapToGrid w:val="0"/>
              <w:spacing w:line="400" w:lineRule="exact"/>
              <w:jc w:val="center"/>
              <w:rPr>
                <w:rFonts w:cs="Times New Roman"/>
                <w:b/>
                <w:bCs/>
                <w:sz w:val="24"/>
                <w:szCs w:val="24"/>
              </w:rPr>
            </w:pPr>
          </w:p>
        </w:tc>
        <w:tc>
          <w:tcPr>
            <w:tcW w:w="282" w:type="pct"/>
            <w:shd w:val="clear" w:color="auto" w:fill="auto"/>
            <w:vAlign w:val="center"/>
          </w:tcPr>
          <w:p w14:paraId="31466A9E">
            <w:pPr>
              <w:pStyle w:val="47"/>
              <w:numPr>
                <w:ilvl w:val="0"/>
                <w:numId w:val="16"/>
              </w:numPr>
              <w:snapToGrid w:val="0"/>
              <w:spacing w:line="400" w:lineRule="exact"/>
              <w:jc w:val="center"/>
              <w:rPr>
                <w:rFonts w:cs="Times New Roman"/>
                <w:sz w:val="24"/>
                <w:szCs w:val="24"/>
              </w:rPr>
            </w:pPr>
          </w:p>
        </w:tc>
        <w:tc>
          <w:tcPr>
            <w:tcW w:w="2297" w:type="pct"/>
            <w:shd w:val="clear" w:color="auto" w:fill="auto"/>
            <w:vAlign w:val="center"/>
          </w:tcPr>
          <w:p w14:paraId="65E4C3DE">
            <w:pPr>
              <w:pStyle w:val="47"/>
              <w:snapToGrid w:val="0"/>
              <w:spacing w:line="400" w:lineRule="exact"/>
              <w:jc w:val="center"/>
              <w:rPr>
                <w:rFonts w:cs="Times New Roman"/>
                <w:sz w:val="24"/>
                <w:szCs w:val="24"/>
              </w:rPr>
            </w:pPr>
            <w:r>
              <w:rPr>
                <w:rFonts w:cs="Times New Roman"/>
                <w:sz w:val="24"/>
                <w:szCs w:val="24"/>
              </w:rPr>
              <w:t>制定</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建设成效评估机制</w:t>
            </w:r>
          </w:p>
        </w:tc>
        <w:tc>
          <w:tcPr>
            <w:tcW w:w="1230" w:type="pct"/>
            <w:shd w:val="clear" w:color="auto" w:fill="auto"/>
            <w:vAlign w:val="center"/>
          </w:tcPr>
          <w:p w14:paraId="4AE25063">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18C9686E">
            <w:pPr>
              <w:pStyle w:val="47"/>
              <w:snapToGrid w:val="0"/>
              <w:spacing w:line="400" w:lineRule="exact"/>
              <w:jc w:val="center"/>
              <w:rPr>
                <w:rFonts w:cs="Times New Roman"/>
                <w:sz w:val="24"/>
                <w:szCs w:val="24"/>
              </w:rPr>
            </w:pPr>
            <w:r>
              <w:rPr>
                <w:rFonts w:cs="Times New Roman"/>
                <w:sz w:val="24"/>
                <w:szCs w:val="24"/>
              </w:rPr>
              <w:t>2023年前</w:t>
            </w:r>
          </w:p>
        </w:tc>
      </w:tr>
      <w:tr w14:paraId="4362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restart"/>
            <w:shd w:val="clear" w:color="auto" w:fill="auto"/>
            <w:vAlign w:val="center"/>
          </w:tcPr>
          <w:p w14:paraId="1C045DF8">
            <w:pPr>
              <w:pStyle w:val="47"/>
              <w:snapToGrid w:val="0"/>
              <w:spacing w:line="400" w:lineRule="exact"/>
              <w:jc w:val="center"/>
              <w:rPr>
                <w:rFonts w:cs="Times New Roman"/>
                <w:b/>
                <w:bCs/>
                <w:sz w:val="24"/>
                <w:szCs w:val="24"/>
              </w:rPr>
            </w:pPr>
            <w:r>
              <w:rPr>
                <w:rFonts w:cs="Times New Roman"/>
                <w:b/>
                <w:bCs/>
                <w:sz w:val="24"/>
                <w:szCs w:val="24"/>
              </w:rPr>
              <w:t>A2制度政策</w:t>
            </w:r>
          </w:p>
        </w:tc>
        <w:tc>
          <w:tcPr>
            <w:tcW w:w="282" w:type="pct"/>
            <w:shd w:val="clear" w:color="auto" w:fill="auto"/>
            <w:vAlign w:val="center"/>
          </w:tcPr>
          <w:p w14:paraId="3B64A20E">
            <w:pPr>
              <w:pStyle w:val="47"/>
              <w:numPr>
                <w:ilvl w:val="0"/>
                <w:numId w:val="17"/>
              </w:numPr>
              <w:snapToGrid w:val="0"/>
              <w:spacing w:line="400" w:lineRule="exact"/>
              <w:jc w:val="center"/>
              <w:rPr>
                <w:rFonts w:cs="Times New Roman"/>
                <w:sz w:val="24"/>
                <w:szCs w:val="24"/>
              </w:rPr>
            </w:pPr>
          </w:p>
        </w:tc>
        <w:tc>
          <w:tcPr>
            <w:tcW w:w="2297" w:type="pct"/>
            <w:shd w:val="clear" w:color="auto" w:fill="auto"/>
            <w:vAlign w:val="center"/>
          </w:tcPr>
          <w:p w14:paraId="57FDDCA6">
            <w:pPr>
              <w:pStyle w:val="47"/>
              <w:snapToGrid w:val="0"/>
              <w:spacing w:line="400" w:lineRule="exact"/>
              <w:jc w:val="center"/>
              <w:rPr>
                <w:rFonts w:cs="Times New Roman"/>
                <w:sz w:val="24"/>
                <w:szCs w:val="24"/>
              </w:rPr>
            </w:pPr>
            <w:r>
              <w:rPr>
                <w:rFonts w:cs="Times New Roman"/>
                <w:sz w:val="24"/>
                <w:szCs w:val="24"/>
              </w:rPr>
              <w:t>落实工业固体废物排污许可申报制度</w:t>
            </w:r>
          </w:p>
        </w:tc>
        <w:tc>
          <w:tcPr>
            <w:tcW w:w="1230" w:type="pct"/>
            <w:shd w:val="clear" w:color="auto" w:fill="auto"/>
            <w:vAlign w:val="center"/>
          </w:tcPr>
          <w:p w14:paraId="74A1556D">
            <w:pPr>
              <w:pStyle w:val="47"/>
              <w:snapToGrid w:val="0"/>
              <w:spacing w:line="400" w:lineRule="exact"/>
              <w:jc w:val="center"/>
              <w:rPr>
                <w:rFonts w:cs="Times New Roman"/>
                <w:sz w:val="24"/>
                <w:szCs w:val="24"/>
              </w:rPr>
            </w:pPr>
            <w:r>
              <w:rPr>
                <w:rFonts w:cs="Times New Roman"/>
                <w:sz w:val="24"/>
                <w:szCs w:val="24"/>
              </w:rPr>
              <w:t>玄武生态环境局</w:t>
            </w:r>
          </w:p>
        </w:tc>
        <w:tc>
          <w:tcPr>
            <w:tcW w:w="592" w:type="pct"/>
            <w:shd w:val="clear" w:color="auto" w:fill="auto"/>
            <w:vAlign w:val="center"/>
          </w:tcPr>
          <w:p w14:paraId="23CA7281">
            <w:pPr>
              <w:pStyle w:val="47"/>
              <w:snapToGrid w:val="0"/>
              <w:spacing w:line="400" w:lineRule="exact"/>
              <w:jc w:val="center"/>
              <w:rPr>
                <w:rFonts w:cs="Times New Roman"/>
                <w:sz w:val="24"/>
                <w:szCs w:val="24"/>
              </w:rPr>
            </w:pPr>
            <w:r>
              <w:rPr>
                <w:rFonts w:cs="Times New Roman"/>
                <w:sz w:val="24"/>
                <w:szCs w:val="24"/>
              </w:rPr>
              <w:t>持续推进</w:t>
            </w:r>
          </w:p>
        </w:tc>
      </w:tr>
      <w:tr w14:paraId="197B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71057325">
            <w:pPr>
              <w:pStyle w:val="47"/>
              <w:snapToGrid w:val="0"/>
              <w:spacing w:line="400" w:lineRule="exact"/>
              <w:jc w:val="center"/>
              <w:rPr>
                <w:rFonts w:cs="Times New Roman"/>
                <w:b/>
                <w:bCs/>
                <w:sz w:val="24"/>
                <w:szCs w:val="24"/>
              </w:rPr>
            </w:pPr>
          </w:p>
        </w:tc>
        <w:tc>
          <w:tcPr>
            <w:tcW w:w="282" w:type="pct"/>
            <w:shd w:val="clear" w:color="auto" w:fill="auto"/>
            <w:vAlign w:val="center"/>
          </w:tcPr>
          <w:p w14:paraId="7672FA80">
            <w:pPr>
              <w:pStyle w:val="47"/>
              <w:numPr>
                <w:ilvl w:val="0"/>
                <w:numId w:val="17"/>
              </w:numPr>
              <w:snapToGrid w:val="0"/>
              <w:spacing w:line="400" w:lineRule="exact"/>
              <w:jc w:val="center"/>
              <w:rPr>
                <w:rFonts w:cs="Times New Roman"/>
                <w:sz w:val="24"/>
                <w:szCs w:val="24"/>
              </w:rPr>
            </w:pPr>
          </w:p>
        </w:tc>
        <w:tc>
          <w:tcPr>
            <w:tcW w:w="2297" w:type="pct"/>
            <w:shd w:val="clear" w:color="auto" w:fill="auto"/>
            <w:vAlign w:val="center"/>
          </w:tcPr>
          <w:p w14:paraId="08428B73">
            <w:pPr>
              <w:pStyle w:val="47"/>
              <w:snapToGrid w:val="0"/>
              <w:spacing w:line="400" w:lineRule="exact"/>
              <w:jc w:val="center"/>
              <w:rPr>
                <w:rFonts w:cs="Times New Roman"/>
                <w:sz w:val="24"/>
                <w:szCs w:val="24"/>
              </w:rPr>
            </w:pPr>
            <w:r>
              <w:rPr>
                <w:rFonts w:cs="Times New Roman"/>
                <w:sz w:val="24"/>
                <w:szCs w:val="24"/>
              </w:rPr>
              <w:t>建立建筑垃圾产生量分段申报和台账管理制度</w:t>
            </w:r>
          </w:p>
        </w:tc>
        <w:tc>
          <w:tcPr>
            <w:tcW w:w="1230" w:type="pct"/>
            <w:shd w:val="clear" w:color="auto" w:fill="auto"/>
            <w:vAlign w:val="center"/>
          </w:tcPr>
          <w:p w14:paraId="4C17F21E">
            <w:pPr>
              <w:pStyle w:val="47"/>
              <w:snapToGrid w:val="0"/>
              <w:spacing w:line="300" w:lineRule="exact"/>
              <w:jc w:val="center"/>
              <w:rPr>
                <w:rFonts w:cs="Times New Roman"/>
                <w:sz w:val="24"/>
                <w:szCs w:val="24"/>
              </w:rPr>
            </w:pPr>
            <w:r>
              <w:rPr>
                <w:rFonts w:cs="Times New Roman"/>
                <w:sz w:val="24"/>
                <w:szCs w:val="24"/>
              </w:rPr>
              <w:t>区房产局、区城管局、</w:t>
            </w:r>
          </w:p>
          <w:p w14:paraId="5FA2BB44">
            <w:pPr>
              <w:pStyle w:val="47"/>
              <w:snapToGrid w:val="0"/>
              <w:spacing w:line="300" w:lineRule="exact"/>
              <w:jc w:val="center"/>
              <w:rPr>
                <w:rFonts w:cs="Times New Roman"/>
                <w:sz w:val="24"/>
                <w:szCs w:val="24"/>
              </w:rPr>
            </w:pPr>
            <w:r>
              <w:rPr>
                <w:rFonts w:cs="Times New Roman"/>
                <w:sz w:val="24"/>
                <w:szCs w:val="24"/>
              </w:rPr>
              <w:t>区建设局</w:t>
            </w:r>
          </w:p>
        </w:tc>
        <w:tc>
          <w:tcPr>
            <w:tcW w:w="592" w:type="pct"/>
            <w:shd w:val="clear" w:color="auto" w:fill="auto"/>
            <w:vAlign w:val="center"/>
          </w:tcPr>
          <w:p w14:paraId="6329F5A0">
            <w:pPr>
              <w:pStyle w:val="47"/>
              <w:snapToGrid w:val="0"/>
              <w:spacing w:line="400" w:lineRule="exact"/>
              <w:jc w:val="center"/>
              <w:rPr>
                <w:rFonts w:cs="Times New Roman"/>
                <w:sz w:val="24"/>
                <w:szCs w:val="24"/>
              </w:rPr>
            </w:pPr>
            <w:r>
              <w:rPr>
                <w:rFonts w:cs="Times New Roman"/>
                <w:sz w:val="24"/>
                <w:szCs w:val="24"/>
              </w:rPr>
              <w:t>2025年前</w:t>
            </w:r>
          </w:p>
        </w:tc>
      </w:tr>
      <w:tr w14:paraId="5D8E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0E45FBE1">
            <w:pPr>
              <w:pStyle w:val="47"/>
              <w:snapToGrid w:val="0"/>
              <w:spacing w:line="400" w:lineRule="exact"/>
              <w:jc w:val="center"/>
              <w:rPr>
                <w:rFonts w:cs="Times New Roman"/>
                <w:b/>
                <w:bCs/>
                <w:sz w:val="24"/>
                <w:szCs w:val="24"/>
              </w:rPr>
            </w:pPr>
            <w:bookmarkStart w:id="157" w:name="_Hlk129180458"/>
          </w:p>
        </w:tc>
        <w:tc>
          <w:tcPr>
            <w:tcW w:w="282" w:type="pct"/>
            <w:shd w:val="clear" w:color="auto" w:fill="auto"/>
            <w:vAlign w:val="center"/>
          </w:tcPr>
          <w:p w14:paraId="083F7C74">
            <w:pPr>
              <w:pStyle w:val="47"/>
              <w:numPr>
                <w:ilvl w:val="0"/>
                <w:numId w:val="17"/>
              </w:numPr>
              <w:snapToGrid w:val="0"/>
              <w:spacing w:line="400" w:lineRule="exact"/>
              <w:jc w:val="center"/>
              <w:rPr>
                <w:rFonts w:cs="Times New Roman"/>
                <w:sz w:val="24"/>
                <w:szCs w:val="24"/>
              </w:rPr>
            </w:pPr>
          </w:p>
        </w:tc>
        <w:tc>
          <w:tcPr>
            <w:tcW w:w="2297" w:type="pct"/>
            <w:shd w:val="clear" w:color="auto" w:fill="auto"/>
            <w:vAlign w:val="center"/>
          </w:tcPr>
          <w:p w14:paraId="74DF4BA6">
            <w:pPr>
              <w:pStyle w:val="47"/>
              <w:snapToGrid w:val="0"/>
              <w:spacing w:line="400" w:lineRule="exact"/>
              <w:jc w:val="center"/>
              <w:rPr>
                <w:rFonts w:cs="Times New Roman"/>
                <w:sz w:val="24"/>
                <w:szCs w:val="24"/>
              </w:rPr>
            </w:pPr>
            <w:r>
              <w:rPr>
                <w:rFonts w:cs="Times New Roman"/>
                <w:sz w:val="24"/>
                <w:szCs w:val="24"/>
              </w:rPr>
              <w:t>深入落实生产者责任延伸制度</w:t>
            </w:r>
          </w:p>
        </w:tc>
        <w:tc>
          <w:tcPr>
            <w:tcW w:w="1230" w:type="pct"/>
            <w:shd w:val="clear" w:color="auto" w:fill="auto"/>
            <w:vAlign w:val="center"/>
          </w:tcPr>
          <w:p w14:paraId="27A0FF84">
            <w:pPr>
              <w:pStyle w:val="47"/>
              <w:snapToGrid w:val="0"/>
              <w:spacing w:line="300" w:lineRule="exact"/>
              <w:jc w:val="center"/>
              <w:rPr>
                <w:rFonts w:cs="Times New Roman"/>
                <w:sz w:val="24"/>
                <w:szCs w:val="24"/>
              </w:rPr>
            </w:pPr>
            <w:r>
              <w:rPr>
                <w:rFonts w:cs="Times New Roman"/>
                <w:sz w:val="24"/>
                <w:szCs w:val="24"/>
              </w:rPr>
              <w:t>区发改委、</w:t>
            </w:r>
            <w:r>
              <w:rPr>
                <w:rFonts w:cs="Times New Roman"/>
                <w:spacing w:val="1"/>
                <w:w w:val="85"/>
                <w:kern w:val="0"/>
                <w:sz w:val="24"/>
                <w:szCs w:val="24"/>
                <w:fitText w:val="1440" w:id="1790800011"/>
              </w:rPr>
              <w:t>玄武生态环境</w:t>
            </w:r>
            <w:r>
              <w:rPr>
                <w:rFonts w:cs="Times New Roman"/>
                <w:spacing w:val="17"/>
                <w:w w:val="85"/>
                <w:kern w:val="0"/>
                <w:sz w:val="24"/>
                <w:szCs w:val="24"/>
                <w:fitText w:val="1440" w:id="1790800011"/>
              </w:rPr>
              <w:t>局</w:t>
            </w:r>
            <w:r>
              <w:rPr>
                <w:rFonts w:cs="Times New Roman"/>
                <w:sz w:val="24"/>
                <w:szCs w:val="24"/>
              </w:rPr>
              <w:t>、区商务局等</w:t>
            </w:r>
          </w:p>
        </w:tc>
        <w:tc>
          <w:tcPr>
            <w:tcW w:w="592" w:type="pct"/>
            <w:shd w:val="clear" w:color="auto" w:fill="auto"/>
            <w:vAlign w:val="center"/>
          </w:tcPr>
          <w:p w14:paraId="6AA72E87">
            <w:pPr>
              <w:pStyle w:val="47"/>
              <w:snapToGrid w:val="0"/>
              <w:spacing w:line="400" w:lineRule="exact"/>
              <w:jc w:val="center"/>
              <w:rPr>
                <w:rFonts w:cs="Times New Roman"/>
                <w:sz w:val="24"/>
                <w:szCs w:val="24"/>
              </w:rPr>
            </w:pPr>
            <w:r>
              <w:rPr>
                <w:rFonts w:cs="Times New Roman"/>
                <w:sz w:val="24"/>
                <w:szCs w:val="24"/>
              </w:rPr>
              <w:t>持续推进</w:t>
            </w:r>
          </w:p>
        </w:tc>
      </w:tr>
      <w:bookmarkEnd w:id="157"/>
      <w:tr w14:paraId="1F29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restart"/>
            <w:shd w:val="clear" w:color="auto" w:fill="auto"/>
            <w:vAlign w:val="center"/>
          </w:tcPr>
          <w:p w14:paraId="1AAE2715">
            <w:pPr>
              <w:pStyle w:val="47"/>
              <w:snapToGrid w:val="0"/>
              <w:spacing w:line="400" w:lineRule="exact"/>
              <w:jc w:val="center"/>
              <w:rPr>
                <w:rFonts w:cs="Times New Roman"/>
                <w:b/>
                <w:bCs/>
                <w:sz w:val="24"/>
                <w:szCs w:val="24"/>
              </w:rPr>
            </w:pPr>
            <w:r>
              <w:rPr>
                <w:rFonts w:cs="Times New Roman"/>
                <w:b/>
                <w:bCs/>
                <w:sz w:val="24"/>
                <w:szCs w:val="24"/>
              </w:rPr>
              <w:t>A3宣传教育</w:t>
            </w:r>
          </w:p>
        </w:tc>
        <w:tc>
          <w:tcPr>
            <w:tcW w:w="282" w:type="pct"/>
            <w:shd w:val="clear" w:color="auto" w:fill="auto"/>
            <w:vAlign w:val="center"/>
          </w:tcPr>
          <w:p w14:paraId="180D94AF">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5BC17865">
            <w:pPr>
              <w:pStyle w:val="47"/>
              <w:snapToGrid w:val="0"/>
              <w:spacing w:line="400" w:lineRule="exact"/>
              <w:jc w:val="center"/>
              <w:rPr>
                <w:rFonts w:cs="Times New Roman"/>
                <w:sz w:val="24"/>
                <w:szCs w:val="24"/>
              </w:rPr>
            </w:pPr>
            <w:r>
              <w:rPr>
                <w:rFonts w:cs="Times New Roman"/>
                <w:sz w:val="24"/>
                <w:szCs w:val="24"/>
              </w:rPr>
              <w:t>制定</w:t>
            </w:r>
            <w:r>
              <w:rPr>
                <w:rFonts w:hint="eastAsia" w:cs="Times New Roman"/>
                <w:sz w:val="24"/>
                <w:szCs w:val="24"/>
              </w:rPr>
              <w:t>《“</w:t>
            </w:r>
            <w:r>
              <w:rPr>
                <w:rFonts w:cs="Times New Roman"/>
                <w:sz w:val="24"/>
                <w:szCs w:val="24"/>
              </w:rPr>
              <w:t>无废细胞</w:t>
            </w:r>
            <w:r>
              <w:rPr>
                <w:rFonts w:hint="eastAsia" w:cs="Times New Roman"/>
                <w:sz w:val="24"/>
                <w:szCs w:val="24"/>
              </w:rPr>
              <w:t>”</w:t>
            </w:r>
            <w:r>
              <w:rPr>
                <w:rFonts w:cs="Times New Roman"/>
                <w:sz w:val="24"/>
                <w:szCs w:val="24"/>
              </w:rPr>
              <w:t>创建行动计划</w:t>
            </w:r>
            <w:r>
              <w:rPr>
                <w:rFonts w:hint="eastAsia" w:cs="Times New Roman"/>
                <w:sz w:val="24"/>
                <w:szCs w:val="24"/>
              </w:rPr>
              <w:t>》</w:t>
            </w:r>
          </w:p>
        </w:tc>
        <w:tc>
          <w:tcPr>
            <w:tcW w:w="1230" w:type="pct"/>
            <w:shd w:val="clear" w:color="auto" w:fill="auto"/>
            <w:vAlign w:val="center"/>
          </w:tcPr>
          <w:p w14:paraId="594D9F30">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56D1704C">
            <w:pPr>
              <w:pStyle w:val="47"/>
              <w:snapToGrid w:val="0"/>
              <w:spacing w:line="400" w:lineRule="exact"/>
              <w:jc w:val="center"/>
              <w:rPr>
                <w:rFonts w:cs="Times New Roman"/>
                <w:sz w:val="24"/>
                <w:szCs w:val="24"/>
              </w:rPr>
            </w:pPr>
            <w:r>
              <w:rPr>
                <w:rFonts w:cs="Times New Roman"/>
                <w:sz w:val="24"/>
                <w:szCs w:val="24"/>
              </w:rPr>
              <w:t>持续推进</w:t>
            </w:r>
          </w:p>
        </w:tc>
      </w:tr>
      <w:tr w14:paraId="47D6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shd w:val="clear" w:color="auto" w:fill="auto"/>
            <w:vAlign w:val="center"/>
          </w:tcPr>
          <w:p w14:paraId="00275545">
            <w:pPr>
              <w:pStyle w:val="47"/>
              <w:snapToGrid w:val="0"/>
              <w:spacing w:line="400" w:lineRule="exact"/>
              <w:jc w:val="center"/>
              <w:rPr>
                <w:rFonts w:cs="Times New Roman"/>
                <w:b/>
                <w:bCs/>
                <w:sz w:val="24"/>
                <w:szCs w:val="24"/>
              </w:rPr>
            </w:pPr>
          </w:p>
        </w:tc>
        <w:tc>
          <w:tcPr>
            <w:tcW w:w="282" w:type="pct"/>
            <w:shd w:val="clear" w:color="auto" w:fill="auto"/>
            <w:vAlign w:val="center"/>
          </w:tcPr>
          <w:p w14:paraId="467D2F33">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1CDC7567">
            <w:pPr>
              <w:pStyle w:val="47"/>
              <w:snapToGrid w:val="0"/>
              <w:spacing w:line="400" w:lineRule="exact"/>
              <w:jc w:val="center"/>
              <w:rPr>
                <w:rFonts w:cs="Times New Roman"/>
                <w:sz w:val="24"/>
                <w:szCs w:val="24"/>
              </w:rPr>
            </w:pPr>
            <w:r>
              <w:rPr>
                <w:rFonts w:cs="Times New Roman"/>
                <w:sz w:val="24"/>
                <w:szCs w:val="24"/>
              </w:rPr>
              <w:t>创建</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信息公开专门通道</w:t>
            </w:r>
          </w:p>
        </w:tc>
        <w:tc>
          <w:tcPr>
            <w:tcW w:w="1230" w:type="pct"/>
            <w:shd w:val="clear" w:color="auto" w:fill="auto"/>
            <w:vAlign w:val="center"/>
          </w:tcPr>
          <w:p w14:paraId="20BD4D4E">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023B0AE9">
            <w:pPr>
              <w:pStyle w:val="47"/>
              <w:snapToGrid w:val="0"/>
              <w:spacing w:line="400" w:lineRule="exact"/>
              <w:jc w:val="center"/>
              <w:rPr>
                <w:rFonts w:cs="Times New Roman"/>
                <w:sz w:val="24"/>
                <w:szCs w:val="24"/>
              </w:rPr>
            </w:pPr>
            <w:r>
              <w:rPr>
                <w:rFonts w:cs="Times New Roman"/>
                <w:sz w:val="24"/>
                <w:szCs w:val="24"/>
              </w:rPr>
              <w:t>持续推进</w:t>
            </w:r>
          </w:p>
        </w:tc>
      </w:tr>
      <w:tr w14:paraId="3841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shd w:val="clear" w:color="auto" w:fill="auto"/>
            <w:vAlign w:val="center"/>
          </w:tcPr>
          <w:p w14:paraId="4F7D686F">
            <w:pPr>
              <w:pStyle w:val="47"/>
              <w:snapToGrid w:val="0"/>
              <w:spacing w:line="400" w:lineRule="exact"/>
              <w:jc w:val="center"/>
              <w:rPr>
                <w:rFonts w:cs="Times New Roman"/>
                <w:b/>
                <w:bCs/>
                <w:sz w:val="24"/>
                <w:szCs w:val="24"/>
              </w:rPr>
            </w:pPr>
          </w:p>
        </w:tc>
        <w:tc>
          <w:tcPr>
            <w:tcW w:w="282" w:type="pct"/>
            <w:shd w:val="clear" w:color="auto" w:fill="auto"/>
            <w:vAlign w:val="center"/>
          </w:tcPr>
          <w:p w14:paraId="74A574F6">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05BB6D16">
            <w:pPr>
              <w:pStyle w:val="47"/>
              <w:snapToGrid w:val="0"/>
              <w:spacing w:line="400" w:lineRule="exact"/>
              <w:jc w:val="center"/>
              <w:rPr>
                <w:rFonts w:cs="Times New Roman"/>
                <w:sz w:val="24"/>
                <w:szCs w:val="24"/>
              </w:rPr>
            </w:pPr>
            <w:r>
              <w:rPr>
                <w:rFonts w:cs="Times New Roman"/>
                <w:sz w:val="24"/>
                <w:szCs w:val="24"/>
              </w:rPr>
              <w:t>创建</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公众意见反馈通道</w:t>
            </w:r>
          </w:p>
        </w:tc>
        <w:tc>
          <w:tcPr>
            <w:tcW w:w="1230" w:type="pct"/>
            <w:shd w:val="clear" w:color="auto" w:fill="auto"/>
            <w:vAlign w:val="center"/>
          </w:tcPr>
          <w:p w14:paraId="31C8733A">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6E66B9C5">
            <w:pPr>
              <w:pStyle w:val="47"/>
              <w:snapToGrid w:val="0"/>
              <w:spacing w:line="400" w:lineRule="exact"/>
              <w:jc w:val="center"/>
              <w:rPr>
                <w:rFonts w:cs="Times New Roman"/>
                <w:sz w:val="24"/>
                <w:szCs w:val="24"/>
              </w:rPr>
            </w:pPr>
            <w:r>
              <w:rPr>
                <w:rFonts w:cs="Times New Roman"/>
                <w:sz w:val="24"/>
                <w:szCs w:val="24"/>
              </w:rPr>
              <w:t>持续推进</w:t>
            </w:r>
          </w:p>
        </w:tc>
      </w:tr>
      <w:tr w14:paraId="1D7C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shd w:val="clear" w:color="auto" w:fill="auto"/>
            <w:vAlign w:val="center"/>
          </w:tcPr>
          <w:p w14:paraId="2077C2B7">
            <w:pPr>
              <w:pStyle w:val="47"/>
              <w:snapToGrid w:val="0"/>
              <w:spacing w:line="400" w:lineRule="exact"/>
              <w:jc w:val="center"/>
              <w:rPr>
                <w:rFonts w:cs="Times New Roman"/>
                <w:b/>
                <w:bCs/>
                <w:sz w:val="24"/>
                <w:szCs w:val="24"/>
              </w:rPr>
            </w:pPr>
          </w:p>
        </w:tc>
        <w:tc>
          <w:tcPr>
            <w:tcW w:w="282" w:type="pct"/>
            <w:shd w:val="clear" w:color="auto" w:fill="auto"/>
            <w:vAlign w:val="center"/>
          </w:tcPr>
          <w:p w14:paraId="69616822">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7E7E3452">
            <w:pPr>
              <w:pStyle w:val="47"/>
              <w:snapToGrid w:val="0"/>
              <w:spacing w:line="400" w:lineRule="exact"/>
              <w:jc w:val="center"/>
              <w:rPr>
                <w:rFonts w:cs="Times New Roman"/>
                <w:sz w:val="24"/>
                <w:szCs w:val="24"/>
              </w:rPr>
            </w:pPr>
            <w:r>
              <w:rPr>
                <w:rFonts w:cs="Times New Roman"/>
                <w:sz w:val="24"/>
                <w:szCs w:val="24"/>
              </w:rPr>
              <w:t>制定</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宣传教育方案</w:t>
            </w:r>
          </w:p>
        </w:tc>
        <w:tc>
          <w:tcPr>
            <w:tcW w:w="1230" w:type="pct"/>
            <w:shd w:val="clear" w:color="auto" w:fill="auto"/>
            <w:vAlign w:val="center"/>
          </w:tcPr>
          <w:p w14:paraId="1EEC1E94">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6C3716B4">
            <w:pPr>
              <w:pStyle w:val="47"/>
              <w:snapToGrid w:val="0"/>
              <w:spacing w:line="400" w:lineRule="exact"/>
              <w:jc w:val="center"/>
              <w:rPr>
                <w:rFonts w:cs="Times New Roman"/>
                <w:sz w:val="24"/>
                <w:szCs w:val="24"/>
              </w:rPr>
            </w:pPr>
            <w:r>
              <w:rPr>
                <w:rFonts w:cs="Times New Roman"/>
                <w:sz w:val="24"/>
                <w:szCs w:val="24"/>
              </w:rPr>
              <w:t>持续推进</w:t>
            </w:r>
          </w:p>
        </w:tc>
      </w:tr>
      <w:tr w14:paraId="1763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3139E006">
            <w:pPr>
              <w:pStyle w:val="47"/>
              <w:snapToGrid w:val="0"/>
              <w:spacing w:line="400" w:lineRule="exact"/>
              <w:jc w:val="center"/>
              <w:rPr>
                <w:rFonts w:cs="Times New Roman"/>
                <w:b/>
                <w:bCs/>
                <w:sz w:val="24"/>
                <w:szCs w:val="24"/>
              </w:rPr>
            </w:pPr>
          </w:p>
        </w:tc>
        <w:tc>
          <w:tcPr>
            <w:tcW w:w="282" w:type="pct"/>
            <w:shd w:val="clear" w:color="auto" w:fill="auto"/>
            <w:vAlign w:val="center"/>
          </w:tcPr>
          <w:p w14:paraId="210199F4">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32DD25B4">
            <w:pPr>
              <w:pStyle w:val="47"/>
              <w:snapToGrid w:val="0"/>
              <w:spacing w:line="400" w:lineRule="exact"/>
              <w:jc w:val="center"/>
              <w:rPr>
                <w:rFonts w:cs="Times New Roman"/>
                <w:sz w:val="24"/>
                <w:szCs w:val="24"/>
              </w:rPr>
            </w:pPr>
            <w:r>
              <w:rPr>
                <w:rFonts w:cs="Times New Roman"/>
                <w:sz w:val="24"/>
                <w:szCs w:val="24"/>
              </w:rPr>
              <w:t>开展</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主题宣传活动</w:t>
            </w:r>
          </w:p>
        </w:tc>
        <w:tc>
          <w:tcPr>
            <w:tcW w:w="1230" w:type="pct"/>
            <w:shd w:val="clear" w:color="auto" w:fill="auto"/>
            <w:vAlign w:val="center"/>
          </w:tcPr>
          <w:p w14:paraId="7B0F465D">
            <w:pPr>
              <w:pStyle w:val="47"/>
              <w:snapToGrid w:val="0"/>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13762ABB">
            <w:pPr>
              <w:pStyle w:val="47"/>
              <w:snapToGrid w:val="0"/>
              <w:spacing w:line="400" w:lineRule="exact"/>
              <w:jc w:val="center"/>
              <w:rPr>
                <w:rFonts w:cs="Times New Roman"/>
                <w:sz w:val="24"/>
                <w:szCs w:val="24"/>
              </w:rPr>
            </w:pPr>
            <w:r>
              <w:rPr>
                <w:rFonts w:cs="Times New Roman"/>
                <w:sz w:val="24"/>
                <w:szCs w:val="24"/>
              </w:rPr>
              <w:t>持续推进</w:t>
            </w:r>
          </w:p>
        </w:tc>
      </w:tr>
      <w:tr w14:paraId="23CF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4CFF9AAC">
            <w:pPr>
              <w:pStyle w:val="47"/>
              <w:snapToGrid w:val="0"/>
              <w:spacing w:line="400" w:lineRule="exact"/>
              <w:jc w:val="center"/>
              <w:rPr>
                <w:rFonts w:cs="Times New Roman"/>
                <w:b/>
                <w:bCs/>
                <w:sz w:val="24"/>
                <w:szCs w:val="24"/>
              </w:rPr>
            </w:pPr>
          </w:p>
        </w:tc>
        <w:tc>
          <w:tcPr>
            <w:tcW w:w="282" w:type="pct"/>
            <w:shd w:val="clear" w:color="auto" w:fill="auto"/>
            <w:vAlign w:val="center"/>
          </w:tcPr>
          <w:p w14:paraId="42B907E9">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6F5194C0">
            <w:pPr>
              <w:pStyle w:val="47"/>
              <w:snapToGrid w:val="0"/>
              <w:spacing w:line="400" w:lineRule="exact"/>
              <w:jc w:val="center"/>
              <w:rPr>
                <w:rFonts w:cs="Times New Roman"/>
                <w:sz w:val="24"/>
                <w:szCs w:val="24"/>
              </w:rPr>
            </w:pPr>
            <w:r>
              <w:rPr>
                <w:rFonts w:cs="Times New Roman"/>
                <w:sz w:val="24"/>
                <w:szCs w:val="24"/>
              </w:rPr>
              <w:t>开展</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新闻推送，公益宣传活动</w:t>
            </w:r>
          </w:p>
        </w:tc>
        <w:tc>
          <w:tcPr>
            <w:tcW w:w="1230" w:type="pct"/>
            <w:shd w:val="clear" w:color="auto" w:fill="auto"/>
            <w:vAlign w:val="center"/>
          </w:tcPr>
          <w:p w14:paraId="4EC1C44F">
            <w:pPr>
              <w:pStyle w:val="47"/>
              <w:snapToGrid w:val="0"/>
              <w:spacing w:line="400" w:lineRule="exact"/>
              <w:jc w:val="center"/>
              <w:rPr>
                <w:rFonts w:cs="Times New Roman"/>
                <w:sz w:val="24"/>
                <w:szCs w:val="24"/>
              </w:rPr>
            </w:pPr>
            <w:r>
              <w:rPr>
                <w:rFonts w:cs="Times New Roman"/>
                <w:sz w:val="24"/>
                <w:szCs w:val="24"/>
              </w:rPr>
              <w:t>区委宣传部</w:t>
            </w:r>
          </w:p>
        </w:tc>
        <w:tc>
          <w:tcPr>
            <w:tcW w:w="592" w:type="pct"/>
            <w:shd w:val="clear" w:color="auto" w:fill="auto"/>
            <w:vAlign w:val="center"/>
          </w:tcPr>
          <w:p w14:paraId="3CA4136D">
            <w:pPr>
              <w:pStyle w:val="47"/>
              <w:snapToGrid w:val="0"/>
              <w:spacing w:line="400" w:lineRule="exact"/>
              <w:jc w:val="center"/>
              <w:rPr>
                <w:rFonts w:cs="Times New Roman"/>
                <w:sz w:val="24"/>
                <w:szCs w:val="24"/>
              </w:rPr>
            </w:pPr>
            <w:r>
              <w:rPr>
                <w:rFonts w:cs="Times New Roman"/>
                <w:sz w:val="24"/>
                <w:szCs w:val="24"/>
              </w:rPr>
              <w:t>持续推进</w:t>
            </w:r>
          </w:p>
        </w:tc>
      </w:tr>
      <w:tr w14:paraId="2A8D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0F376AF9">
            <w:pPr>
              <w:pStyle w:val="47"/>
              <w:snapToGrid w:val="0"/>
              <w:spacing w:line="400" w:lineRule="exact"/>
              <w:jc w:val="center"/>
              <w:rPr>
                <w:rFonts w:cs="Times New Roman"/>
                <w:b/>
                <w:bCs/>
                <w:sz w:val="24"/>
                <w:szCs w:val="24"/>
              </w:rPr>
            </w:pPr>
          </w:p>
        </w:tc>
        <w:tc>
          <w:tcPr>
            <w:tcW w:w="282" w:type="pct"/>
            <w:shd w:val="clear" w:color="auto" w:fill="auto"/>
            <w:vAlign w:val="center"/>
          </w:tcPr>
          <w:p w14:paraId="49C10BB3">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0D08BE4C">
            <w:pPr>
              <w:pStyle w:val="47"/>
              <w:snapToGrid w:val="0"/>
              <w:spacing w:line="400" w:lineRule="exact"/>
              <w:jc w:val="center"/>
              <w:rPr>
                <w:rFonts w:cs="Times New Roman"/>
                <w:sz w:val="24"/>
                <w:szCs w:val="24"/>
              </w:rPr>
            </w:pPr>
            <w:r>
              <w:rPr>
                <w:rFonts w:cs="Times New Roman"/>
                <w:sz w:val="24"/>
                <w:szCs w:val="24"/>
              </w:rPr>
              <w:t>推广</w:t>
            </w:r>
            <w:r>
              <w:rPr>
                <w:rFonts w:hint="eastAsia" w:cs="Times New Roman"/>
                <w:sz w:val="24"/>
                <w:szCs w:val="24"/>
              </w:rPr>
              <w:t>“</w:t>
            </w:r>
            <w:r>
              <w:rPr>
                <w:rFonts w:cs="Times New Roman"/>
                <w:sz w:val="24"/>
                <w:szCs w:val="24"/>
              </w:rPr>
              <w:t>光盘行动</w:t>
            </w:r>
            <w:r>
              <w:rPr>
                <w:rFonts w:hint="eastAsia" w:cs="Times New Roman"/>
                <w:sz w:val="24"/>
                <w:szCs w:val="24"/>
              </w:rPr>
              <w:t>”，</w:t>
            </w:r>
            <w:r>
              <w:rPr>
                <w:rFonts w:cs="Times New Roman"/>
                <w:sz w:val="24"/>
                <w:szCs w:val="24"/>
              </w:rPr>
              <w:t>引导适量消费</w:t>
            </w:r>
          </w:p>
        </w:tc>
        <w:tc>
          <w:tcPr>
            <w:tcW w:w="1230" w:type="pct"/>
            <w:shd w:val="clear" w:color="auto" w:fill="auto"/>
            <w:vAlign w:val="center"/>
          </w:tcPr>
          <w:p w14:paraId="30EE8173">
            <w:pPr>
              <w:pStyle w:val="47"/>
              <w:snapToGrid w:val="0"/>
              <w:spacing w:line="400" w:lineRule="exact"/>
              <w:jc w:val="center"/>
              <w:rPr>
                <w:rFonts w:cs="Times New Roman"/>
                <w:sz w:val="24"/>
                <w:szCs w:val="24"/>
              </w:rPr>
            </w:pPr>
            <w:r>
              <w:rPr>
                <w:rFonts w:cs="Times New Roman"/>
                <w:sz w:val="24"/>
                <w:szCs w:val="24"/>
              </w:rPr>
              <w:t>区委宣传部</w:t>
            </w:r>
          </w:p>
        </w:tc>
        <w:tc>
          <w:tcPr>
            <w:tcW w:w="592" w:type="pct"/>
            <w:shd w:val="clear" w:color="auto" w:fill="auto"/>
            <w:vAlign w:val="center"/>
          </w:tcPr>
          <w:p w14:paraId="3B6C1E43">
            <w:pPr>
              <w:pStyle w:val="47"/>
              <w:snapToGrid w:val="0"/>
              <w:spacing w:line="400" w:lineRule="exact"/>
              <w:jc w:val="center"/>
              <w:rPr>
                <w:rFonts w:cs="Times New Roman"/>
                <w:sz w:val="24"/>
                <w:szCs w:val="24"/>
              </w:rPr>
            </w:pPr>
            <w:r>
              <w:rPr>
                <w:rFonts w:cs="Times New Roman"/>
                <w:sz w:val="24"/>
                <w:szCs w:val="24"/>
              </w:rPr>
              <w:t>持续推进</w:t>
            </w:r>
          </w:p>
        </w:tc>
      </w:tr>
      <w:tr w14:paraId="1138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5804A92C">
            <w:pPr>
              <w:pStyle w:val="47"/>
              <w:snapToGrid w:val="0"/>
              <w:spacing w:line="400" w:lineRule="exact"/>
              <w:jc w:val="center"/>
              <w:rPr>
                <w:rFonts w:cs="Times New Roman"/>
                <w:b/>
                <w:bCs/>
                <w:sz w:val="24"/>
                <w:szCs w:val="24"/>
              </w:rPr>
            </w:pPr>
          </w:p>
        </w:tc>
        <w:tc>
          <w:tcPr>
            <w:tcW w:w="282" w:type="pct"/>
            <w:shd w:val="clear" w:color="auto" w:fill="auto"/>
            <w:vAlign w:val="center"/>
          </w:tcPr>
          <w:p w14:paraId="447DA930">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40CB9856">
            <w:pPr>
              <w:pStyle w:val="47"/>
              <w:snapToGrid w:val="0"/>
              <w:spacing w:line="400" w:lineRule="exact"/>
              <w:jc w:val="center"/>
              <w:rPr>
                <w:rFonts w:cs="Times New Roman"/>
                <w:sz w:val="24"/>
                <w:szCs w:val="24"/>
              </w:rPr>
            </w:pPr>
            <w:r>
              <w:rPr>
                <w:rFonts w:cs="Times New Roman"/>
                <w:sz w:val="24"/>
                <w:szCs w:val="24"/>
              </w:rPr>
              <w:t>开展</w:t>
            </w:r>
            <w:r>
              <w:rPr>
                <w:rFonts w:hint="eastAsia" w:cs="Times New Roman"/>
                <w:sz w:val="24"/>
                <w:szCs w:val="24"/>
              </w:rPr>
              <w:t>“</w:t>
            </w:r>
            <w:r>
              <w:rPr>
                <w:rFonts w:cs="Times New Roman"/>
                <w:sz w:val="24"/>
                <w:szCs w:val="24"/>
              </w:rPr>
              <w:t>无废</w:t>
            </w:r>
            <w:r>
              <w:rPr>
                <w:rFonts w:hint="eastAsia" w:cs="Times New Roman"/>
                <w:sz w:val="24"/>
                <w:szCs w:val="24"/>
              </w:rPr>
              <w:t>”</w:t>
            </w:r>
            <w:r>
              <w:rPr>
                <w:rFonts w:cs="Times New Roman"/>
                <w:sz w:val="24"/>
                <w:szCs w:val="24"/>
              </w:rPr>
              <w:t>科普教育活动</w:t>
            </w:r>
          </w:p>
        </w:tc>
        <w:tc>
          <w:tcPr>
            <w:tcW w:w="1230" w:type="pct"/>
            <w:shd w:val="clear" w:color="auto" w:fill="auto"/>
            <w:vAlign w:val="center"/>
          </w:tcPr>
          <w:p w14:paraId="0033CD9B">
            <w:pPr>
              <w:pStyle w:val="47"/>
              <w:snapToGrid w:val="0"/>
              <w:spacing w:line="300" w:lineRule="exact"/>
              <w:jc w:val="center"/>
              <w:rPr>
                <w:rFonts w:cs="Times New Roman"/>
                <w:sz w:val="24"/>
                <w:szCs w:val="24"/>
              </w:rPr>
            </w:pPr>
            <w:r>
              <w:rPr>
                <w:rFonts w:cs="Times New Roman"/>
                <w:sz w:val="24"/>
                <w:szCs w:val="24"/>
              </w:rPr>
              <w:t>区科技局、</w:t>
            </w:r>
            <w:r>
              <w:rPr>
                <w:rFonts w:cs="Times New Roman"/>
                <w:spacing w:val="1"/>
                <w:w w:val="85"/>
                <w:kern w:val="0"/>
                <w:sz w:val="24"/>
                <w:szCs w:val="24"/>
                <w:fitText w:val="1440" w:id="248915211"/>
              </w:rPr>
              <w:t>玄武生态环境</w:t>
            </w:r>
            <w:r>
              <w:rPr>
                <w:rFonts w:cs="Times New Roman"/>
                <w:spacing w:val="17"/>
                <w:w w:val="85"/>
                <w:kern w:val="0"/>
                <w:sz w:val="24"/>
                <w:szCs w:val="24"/>
                <w:fitText w:val="1440" w:id="248915211"/>
              </w:rPr>
              <w:t>局</w:t>
            </w:r>
            <w:r>
              <w:rPr>
                <w:rFonts w:cs="Times New Roman"/>
                <w:sz w:val="24"/>
                <w:szCs w:val="24"/>
              </w:rPr>
              <w:t>、区建设局、区城管局、</w:t>
            </w:r>
          </w:p>
          <w:p w14:paraId="5B04B211">
            <w:pPr>
              <w:pStyle w:val="47"/>
              <w:snapToGrid w:val="0"/>
              <w:spacing w:line="300" w:lineRule="exact"/>
              <w:jc w:val="center"/>
              <w:rPr>
                <w:rFonts w:cs="Times New Roman"/>
                <w:sz w:val="24"/>
                <w:szCs w:val="24"/>
              </w:rPr>
            </w:pPr>
            <w:r>
              <w:rPr>
                <w:rFonts w:cs="Times New Roman"/>
                <w:sz w:val="24"/>
                <w:szCs w:val="24"/>
              </w:rPr>
              <w:t>区教育局等</w:t>
            </w:r>
          </w:p>
        </w:tc>
        <w:tc>
          <w:tcPr>
            <w:tcW w:w="592" w:type="pct"/>
            <w:shd w:val="clear" w:color="auto" w:fill="auto"/>
            <w:vAlign w:val="center"/>
          </w:tcPr>
          <w:p w14:paraId="63726EF2">
            <w:pPr>
              <w:pStyle w:val="47"/>
              <w:snapToGrid w:val="0"/>
              <w:spacing w:line="400" w:lineRule="exact"/>
              <w:jc w:val="center"/>
              <w:rPr>
                <w:rFonts w:cs="Times New Roman"/>
                <w:sz w:val="24"/>
                <w:szCs w:val="24"/>
              </w:rPr>
            </w:pPr>
            <w:r>
              <w:rPr>
                <w:rFonts w:cs="Times New Roman"/>
                <w:sz w:val="24"/>
                <w:szCs w:val="24"/>
              </w:rPr>
              <w:t>持续推进</w:t>
            </w:r>
          </w:p>
        </w:tc>
      </w:tr>
      <w:tr w14:paraId="6294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7DA07B58">
            <w:pPr>
              <w:pStyle w:val="47"/>
              <w:snapToGrid w:val="0"/>
              <w:spacing w:line="400" w:lineRule="exact"/>
              <w:jc w:val="center"/>
              <w:rPr>
                <w:rFonts w:cs="Times New Roman"/>
                <w:b/>
                <w:bCs/>
                <w:sz w:val="24"/>
                <w:szCs w:val="24"/>
              </w:rPr>
            </w:pPr>
          </w:p>
        </w:tc>
        <w:tc>
          <w:tcPr>
            <w:tcW w:w="282" w:type="pct"/>
            <w:shd w:val="clear" w:color="auto" w:fill="auto"/>
            <w:vAlign w:val="center"/>
          </w:tcPr>
          <w:p w14:paraId="2A92BE6D">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117089A1">
            <w:pPr>
              <w:pStyle w:val="47"/>
              <w:snapToGrid w:val="0"/>
              <w:spacing w:line="400" w:lineRule="exact"/>
              <w:jc w:val="center"/>
              <w:rPr>
                <w:rFonts w:cs="Times New Roman"/>
                <w:sz w:val="24"/>
                <w:szCs w:val="24"/>
              </w:rPr>
            </w:pPr>
            <w:r>
              <w:rPr>
                <w:rFonts w:cs="Times New Roman"/>
                <w:sz w:val="24"/>
                <w:szCs w:val="24"/>
              </w:rPr>
              <w:t>打造</w:t>
            </w:r>
            <w:r>
              <w:rPr>
                <w:rFonts w:hint="eastAsia" w:cs="Times New Roman"/>
                <w:sz w:val="24"/>
                <w:szCs w:val="24"/>
              </w:rPr>
              <w:t>“</w:t>
            </w:r>
            <w:r>
              <w:rPr>
                <w:rFonts w:cs="Times New Roman"/>
                <w:sz w:val="24"/>
                <w:szCs w:val="24"/>
              </w:rPr>
              <w:t>无废</w:t>
            </w:r>
            <w:r>
              <w:rPr>
                <w:rFonts w:hint="eastAsia" w:cs="Times New Roman"/>
                <w:sz w:val="24"/>
                <w:szCs w:val="24"/>
              </w:rPr>
              <w:t>”</w:t>
            </w:r>
            <w:r>
              <w:rPr>
                <w:rFonts w:cs="Times New Roman"/>
                <w:sz w:val="24"/>
                <w:szCs w:val="24"/>
              </w:rPr>
              <w:t>文化旅游路线</w:t>
            </w:r>
          </w:p>
        </w:tc>
        <w:tc>
          <w:tcPr>
            <w:tcW w:w="1230" w:type="pct"/>
            <w:shd w:val="clear" w:color="auto" w:fill="auto"/>
            <w:vAlign w:val="center"/>
          </w:tcPr>
          <w:p w14:paraId="4D17BAF6">
            <w:pPr>
              <w:pStyle w:val="47"/>
              <w:snapToGrid w:val="0"/>
              <w:spacing w:line="400" w:lineRule="exact"/>
              <w:jc w:val="center"/>
              <w:rPr>
                <w:rFonts w:cs="Times New Roman"/>
                <w:sz w:val="24"/>
                <w:szCs w:val="24"/>
              </w:rPr>
            </w:pPr>
            <w:r>
              <w:rPr>
                <w:rFonts w:cs="Times New Roman"/>
                <w:sz w:val="24"/>
                <w:szCs w:val="24"/>
              </w:rPr>
              <w:t>区文旅局</w:t>
            </w:r>
          </w:p>
        </w:tc>
        <w:tc>
          <w:tcPr>
            <w:tcW w:w="592" w:type="pct"/>
            <w:shd w:val="clear" w:color="auto" w:fill="auto"/>
            <w:vAlign w:val="center"/>
          </w:tcPr>
          <w:p w14:paraId="42A00E79">
            <w:pPr>
              <w:pStyle w:val="47"/>
              <w:snapToGrid w:val="0"/>
              <w:spacing w:line="400" w:lineRule="exact"/>
              <w:jc w:val="center"/>
              <w:rPr>
                <w:rFonts w:cs="Times New Roman"/>
                <w:sz w:val="24"/>
                <w:szCs w:val="24"/>
              </w:rPr>
            </w:pPr>
            <w:r>
              <w:rPr>
                <w:rFonts w:cs="Times New Roman"/>
                <w:sz w:val="24"/>
                <w:szCs w:val="24"/>
              </w:rPr>
              <w:t>持续推进</w:t>
            </w:r>
          </w:p>
        </w:tc>
      </w:tr>
      <w:tr w14:paraId="642F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7" w:type="pct"/>
            <w:vMerge w:val="continue"/>
            <w:vAlign w:val="center"/>
          </w:tcPr>
          <w:p w14:paraId="7D83E52E">
            <w:pPr>
              <w:pStyle w:val="47"/>
              <w:snapToGrid w:val="0"/>
              <w:spacing w:line="400" w:lineRule="exact"/>
              <w:jc w:val="center"/>
              <w:rPr>
                <w:rFonts w:cs="Times New Roman"/>
                <w:b/>
                <w:bCs/>
                <w:sz w:val="24"/>
                <w:szCs w:val="24"/>
              </w:rPr>
            </w:pPr>
          </w:p>
        </w:tc>
        <w:tc>
          <w:tcPr>
            <w:tcW w:w="282" w:type="pct"/>
            <w:shd w:val="clear" w:color="auto" w:fill="auto"/>
            <w:vAlign w:val="center"/>
          </w:tcPr>
          <w:p w14:paraId="6B632439">
            <w:pPr>
              <w:pStyle w:val="47"/>
              <w:numPr>
                <w:ilvl w:val="0"/>
                <w:numId w:val="18"/>
              </w:numPr>
              <w:snapToGrid w:val="0"/>
              <w:spacing w:line="400" w:lineRule="exact"/>
              <w:jc w:val="center"/>
              <w:rPr>
                <w:rFonts w:cs="Times New Roman"/>
                <w:sz w:val="24"/>
                <w:szCs w:val="24"/>
              </w:rPr>
            </w:pPr>
          </w:p>
        </w:tc>
        <w:tc>
          <w:tcPr>
            <w:tcW w:w="2297" w:type="pct"/>
            <w:shd w:val="clear" w:color="auto" w:fill="auto"/>
            <w:vAlign w:val="center"/>
          </w:tcPr>
          <w:p w14:paraId="409F14E8">
            <w:pPr>
              <w:pStyle w:val="47"/>
              <w:snapToGrid w:val="0"/>
              <w:spacing w:line="400" w:lineRule="exact"/>
              <w:jc w:val="center"/>
              <w:rPr>
                <w:rFonts w:cs="Times New Roman"/>
                <w:sz w:val="24"/>
                <w:szCs w:val="24"/>
              </w:rPr>
            </w:pPr>
            <w:r>
              <w:rPr>
                <w:rFonts w:cs="Times New Roman"/>
                <w:sz w:val="24"/>
                <w:szCs w:val="24"/>
              </w:rPr>
              <w:t>举办</w:t>
            </w:r>
            <w:r>
              <w:rPr>
                <w:rFonts w:hint="eastAsia" w:cs="Times New Roman"/>
                <w:sz w:val="24"/>
                <w:szCs w:val="24"/>
              </w:rPr>
              <w:t>“</w:t>
            </w:r>
            <w:r>
              <w:rPr>
                <w:rFonts w:cs="Times New Roman"/>
                <w:sz w:val="24"/>
                <w:szCs w:val="24"/>
              </w:rPr>
              <w:t>无废</w:t>
            </w:r>
            <w:r>
              <w:rPr>
                <w:rFonts w:hint="eastAsia" w:cs="Times New Roman"/>
                <w:sz w:val="24"/>
                <w:szCs w:val="24"/>
              </w:rPr>
              <w:t>”</w:t>
            </w:r>
            <w:r>
              <w:rPr>
                <w:rFonts w:cs="Times New Roman"/>
                <w:sz w:val="24"/>
                <w:szCs w:val="24"/>
              </w:rPr>
              <w:t>文化交流活动</w:t>
            </w:r>
          </w:p>
        </w:tc>
        <w:tc>
          <w:tcPr>
            <w:tcW w:w="1230" w:type="pct"/>
            <w:shd w:val="clear" w:color="auto" w:fill="auto"/>
            <w:vAlign w:val="center"/>
          </w:tcPr>
          <w:p w14:paraId="10D87412">
            <w:pPr>
              <w:pStyle w:val="47"/>
              <w:snapToGrid w:val="0"/>
              <w:spacing w:line="400" w:lineRule="exact"/>
              <w:jc w:val="center"/>
              <w:rPr>
                <w:rFonts w:cs="Times New Roman"/>
                <w:sz w:val="24"/>
                <w:szCs w:val="24"/>
              </w:rPr>
            </w:pPr>
            <w:r>
              <w:rPr>
                <w:rFonts w:cs="Times New Roman"/>
                <w:sz w:val="24"/>
                <w:szCs w:val="24"/>
              </w:rPr>
              <w:t>区文旅局、区教育局等</w:t>
            </w:r>
          </w:p>
        </w:tc>
        <w:tc>
          <w:tcPr>
            <w:tcW w:w="592" w:type="pct"/>
            <w:shd w:val="clear" w:color="auto" w:fill="auto"/>
            <w:vAlign w:val="center"/>
          </w:tcPr>
          <w:p w14:paraId="24D926FF">
            <w:pPr>
              <w:pStyle w:val="47"/>
              <w:snapToGrid w:val="0"/>
              <w:spacing w:line="400" w:lineRule="exact"/>
              <w:jc w:val="center"/>
              <w:rPr>
                <w:rFonts w:cs="Times New Roman"/>
                <w:sz w:val="24"/>
                <w:szCs w:val="24"/>
              </w:rPr>
            </w:pPr>
            <w:r>
              <w:rPr>
                <w:rFonts w:cs="Times New Roman"/>
                <w:sz w:val="24"/>
                <w:szCs w:val="24"/>
              </w:rPr>
              <w:t>持续推进</w:t>
            </w:r>
          </w:p>
        </w:tc>
      </w:tr>
    </w:tbl>
    <w:p w14:paraId="4C988A58">
      <w:pPr>
        <w:pStyle w:val="3"/>
        <w:spacing w:before="0" w:after="0"/>
        <w:rPr>
          <w:rFonts w:ascii="方正黑体_GBK" w:cs="Times New Roman"/>
          <w:szCs w:val="28"/>
        </w:rPr>
      </w:pPr>
      <w:bookmarkStart w:id="158" w:name="_Toc129882965"/>
      <w:bookmarkStart w:id="159" w:name="_Toc140150527"/>
    </w:p>
    <w:p w14:paraId="5CB1D500">
      <w:pPr>
        <w:pStyle w:val="3"/>
        <w:spacing w:before="0" w:after="0"/>
        <w:rPr>
          <w:rFonts w:ascii="方正黑体_GBK" w:cs="Times New Roman"/>
          <w:szCs w:val="28"/>
        </w:rPr>
      </w:pPr>
      <w:r>
        <w:rPr>
          <w:rFonts w:hint="eastAsia" w:ascii="方正黑体_GBK" w:cs="Times New Roman"/>
          <w:szCs w:val="28"/>
        </w:rPr>
        <w:t>第二节 技术体系建设</w:t>
      </w:r>
      <w:bookmarkEnd w:id="158"/>
      <w:r>
        <w:rPr>
          <w:rFonts w:hint="eastAsia" w:ascii="方正黑体_GBK" w:cs="Times New Roman"/>
          <w:szCs w:val="28"/>
        </w:rPr>
        <w:t>任务清单</w:t>
      </w:r>
      <w:bookmarkEnd w:id="159"/>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740"/>
        <w:gridCol w:w="6120"/>
        <w:gridCol w:w="3264"/>
        <w:gridCol w:w="1570"/>
      </w:tblGrid>
      <w:tr w14:paraId="5A89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9" w:type="pct"/>
            <w:shd w:val="clear" w:color="000000" w:fill="D0CECE"/>
            <w:vAlign w:val="center"/>
          </w:tcPr>
          <w:p w14:paraId="086199F6">
            <w:pPr>
              <w:pStyle w:val="47"/>
              <w:spacing w:line="560" w:lineRule="exact"/>
              <w:jc w:val="center"/>
              <w:rPr>
                <w:rFonts w:cs="Times New Roman"/>
                <w:b/>
                <w:bCs/>
                <w:sz w:val="24"/>
                <w:szCs w:val="24"/>
              </w:rPr>
            </w:pPr>
            <w:r>
              <w:rPr>
                <w:rFonts w:cs="Times New Roman"/>
                <w:b/>
                <w:bCs/>
                <w:sz w:val="24"/>
                <w:szCs w:val="24"/>
              </w:rPr>
              <w:t>类型</w:t>
            </w:r>
          </w:p>
        </w:tc>
        <w:tc>
          <w:tcPr>
            <w:tcW w:w="279" w:type="pct"/>
            <w:shd w:val="clear" w:color="000000" w:fill="D0CECE"/>
            <w:vAlign w:val="center"/>
          </w:tcPr>
          <w:p w14:paraId="773F2DD2">
            <w:pPr>
              <w:pStyle w:val="47"/>
              <w:spacing w:line="560" w:lineRule="exact"/>
              <w:jc w:val="center"/>
              <w:rPr>
                <w:rFonts w:cs="Times New Roman"/>
                <w:b/>
                <w:bCs/>
                <w:sz w:val="24"/>
                <w:szCs w:val="24"/>
              </w:rPr>
            </w:pPr>
            <w:r>
              <w:rPr>
                <w:rFonts w:cs="Times New Roman"/>
                <w:b/>
                <w:bCs/>
                <w:sz w:val="24"/>
                <w:szCs w:val="24"/>
              </w:rPr>
              <w:t>序号</w:t>
            </w:r>
          </w:p>
        </w:tc>
        <w:tc>
          <w:tcPr>
            <w:tcW w:w="2308" w:type="pct"/>
            <w:shd w:val="clear" w:color="000000" w:fill="D0CECE"/>
            <w:vAlign w:val="center"/>
          </w:tcPr>
          <w:p w14:paraId="43ACAEC6">
            <w:pPr>
              <w:pStyle w:val="47"/>
              <w:spacing w:line="560" w:lineRule="exact"/>
              <w:jc w:val="center"/>
              <w:rPr>
                <w:rFonts w:cs="Times New Roman"/>
                <w:b/>
                <w:bCs/>
                <w:sz w:val="24"/>
                <w:szCs w:val="24"/>
              </w:rPr>
            </w:pPr>
            <w:r>
              <w:rPr>
                <w:rFonts w:cs="Times New Roman"/>
                <w:b/>
                <w:bCs/>
                <w:sz w:val="24"/>
                <w:szCs w:val="24"/>
              </w:rPr>
              <w:t>任务清单</w:t>
            </w:r>
          </w:p>
        </w:tc>
        <w:tc>
          <w:tcPr>
            <w:tcW w:w="1231" w:type="pct"/>
            <w:shd w:val="clear" w:color="000000" w:fill="D0CECE"/>
            <w:vAlign w:val="center"/>
          </w:tcPr>
          <w:p w14:paraId="6DCCD8CA">
            <w:pPr>
              <w:pStyle w:val="47"/>
              <w:spacing w:line="560" w:lineRule="exact"/>
              <w:jc w:val="center"/>
              <w:rPr>
                <w:rFonts w:cs="Times New Roman"/>
                <w:b/>
                <w:bCs/>
                <w:sz w:val="24"/>
                <w:szCs w:val="24"/>
              </w:rPr>
            </w:pPr>
            <w:r>
              <w:rPr>
                <w:rFonts w:cs="Times New Roman"/>
                <w:b/>
                <w:bCs/>
                <w:sz w:val="24"/>
                <w:szCs w:val="24"/>
              </w:rPr>
              <w:t>责任单位</w:t>
            </w:r>
          </w:p>
        </w:tc>
        <w:tc>
          <w:tcPr>
            <w:tcW w:w="592" w:type="pct"/>
            <w:shd w:val="clear" w:color="000000" w:fill="D0CECE"/>
            <w:vAlign w:val="center"/>
          </w:tcPr>
          <w:p w14:paraId="5BA2A4D7">
            <w:pPr>
              <w:pStyle w:val="47"/>
              <w:spacing w:line="560" w:lineRule="exact"/>
              <w:jc w:val="center"/>
              <w:rPr>
                <w:rFonts w:cs="Times New Roman"/>
                <w:b/>
                <w:bCs/>
                <w:sz w:val="24"/>
                <w:szCs w:val="24"/>
              </w:rPr>
            </w:pPr>
            <w:r>
              <w:rPr>
                <w:rFonts w:cs="Times New Roman"/>
                <w:b/>
                <w:bCs/>
                <w:sz w:val="24"/>
                <w:szCs w:val="24"/>
              </w:rPr>
              <w:t>时间要求</w:t>
            </w:r>
          </w:p>
        </w:tc>
      </w:tr>
      <w:tr w14:paraId="0F7A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9" w:type="pct"/>
            <w:vMerge w:val="restart"/>
            <w:shd w:val="clear" w:color="auto" w:fill="auto"/>
            <w:vAlign w:val="center"/>
          </w:tcPr>
          <w:p w14:paraId="0D3CAB82">
            <w:pPr>
              <w:pStyle w:val="47"/>
              <w:spacing w:line="560" w:lineRule="exact"/>
              <w:jc w:val="center"/>
              <w:rPr>
                <w:rFonts w:eastAsia="等线" w:cs="Times New Roman"/>
                <w:b/>
                <w:bCs/>
                <w:sz w:val="24"/>
                <w:szCs w:val="24"/>
              </w:rPr>
            </w:pPr>
            <w:r>
              <w:rPr>
                <w:rFonts w:eastAsia="等线" w:cs="Times New Roman"/>
                <w:b/>
                <w:bCs/>
                <w:sz w:val="24"/>
                <w:szCs w:val="24"/>
              </w:rPr>
              <w:t>B1</w:t>
            </w:r>
            <w:r>
              <w:rPr>
                <w:rFonts w:cs="Times New Roman"/>
                <w:b/>
                <w:bCs/>
                <w:sz w:val="24"/>
                <w:szCs w:val="24"/>
              </w:rPr>
              <w:t>技术帮扶</w:t>
            </w:r>
          </w:p>
        </w:tc>
        <w:tc>
          <w:tcPr>
            <w:tcW w:w="279" w:type="pct"/>
            <w:shd w:val="clear" w:color="auto" w:fill="auto"/>
            <w:vAlign w:val="center"/>
          </w:tcPr>
          <w:p w14:paraId="77E17F6C">
            <w:pPr>
              <w:pStyle w:val="47"/>
              <w:numPr>
                <w:ilvl w:val="0"/>
                <w:numId w:val="19"/>
              </w:numPr>
              <w:spacing w:line="560" w:lineRule="exact"/>
              <w:jc w:val="center"/>
              <w:rPr>
                <w:rFonts w:eastAsia="等线" w:cs="Times New Roman"/>
                <w:sz w:val="24"/>
                <w:szCs w:val="24"/>
              </w:rPr>
            </w:pPr>
          </w:p>
        </w:tc>
        <w:tc>
          <w:tcPr>
            <w:tcW w:w="2308" w:type="pct"/>
            <w:shd w:val="clear" w:color="auto" w:fill="auto"/>
            <w:vAlign w:val="center"/>
          </w:tcPr>
          <w:p w14:paraId="02D5708D">
            <w:pPr>
              <w:pStyle w:val="47"/>
              <w:spacing w:line="400" w:lineRule="exact"/>
              <w:jc w:val="center"/>
              <w:rPr>
                <w:rFonts w:cs="Times New Roman"/>
                <w:sz w:val="24"/>
                <w:szCs w:val="24"/>
              </w:rPr>
            </w:pPr>
            <w:r>
              <w:rPr>
                <w:rFonts w:cs="Times New Roman"/>
                <w:sz w:val="24"/>
                <w:szCs w:val="24"/>
              </w:rPr>
              <w:t>组建专家团队，建立专家帮扶机制</w:t>
            </w:r>
          </w:p>
        </w:tc>
        <w:tc>
          <w:tcPr>
            <w:tcW w:w="1231" w:type="pct"/>
            <w:shd w:val="clear" w:color="auto" w:fill="auto"/>
            <w:vAlign w:val="center"/>
          </w:tcPr>
          <w:p w14:paraId="261C2D0B">
            <w:pPr>
              <w:pStyle w:val="47"/>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7A6F3CD5">
            <w:pPr>
              <w:pStyle w:val="47"/>
              <w:spacing w:line="400" w:lineRule="exact"/>
              <w:jc w:val="center"/>
              <w:rPr>
                <w:rFonts w:eastAsia="等线" w:cs="Times New Roman"/>
                <w:sz w:val="24"/>
                <w:szCs w:val="24"/>
              </w:rPr>
            </w:pPr>
            <w:r>
              <w:rPr>
                <w:rFonts w:eastAsia="等线" w:cs="Times New Roman"/>
                <w:sz w:val="24"/>
                <w:szCs w:val="24"/>
              </w:rPr>
              <w:t>2023</w:t>
            </w:r>
            <w:r>
              <w:rPr>
                <w:rFonts w:cs="Times New Roman"/>
                <w:sz w:val="24"/>
                <w:szCs w:val="24"/>
              </w:rPr>
              <w:t>年底前</w:t>
            </w:r>
          </w:p>
        </w:tc>
      </w:tr>
      <w:tr w14:paraId="4954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9" w:type="pct"/>
            <w:vMerge w:val="continue"/>
            <w:shd w:val="clear" w:color="auto" w:fill="auto"/>
            <w:vAlign w:val="center"/>
          </w:tcPr>
          <w:p w14:paraId="345946E4">
            <w:pPr>
              <w:pStyle w:val="47"/>
              <w:spacing w:line="560" w:lineRule="exact"/>
              <w:jc w:val="center"/>
              <w:rPr>
                <w:rFonts w:eastAsia="等线" w:cs="Times New Roman"/>
                <w:b/>
                <w:bCs/>
                <w:sz w:val="24"/>
                <w:szCs w:val="24"/>
              </w:rPr>
            </w:pPr>
          </w:p>
        </w:tc>
        <w:tc>
          <w:tcPr>
            <w:tcW w:w="279" w:type="pct"/>
            <w:shd w:val="clear" w:color="auto" w:fill="auto"/>
            <w:vAlign w:val="center"/>
          </w:tcPr>
          <w:p w14:paraId="7EF93759">
            <w:pPr>
              <w:pStyle w:val="47"/>
              <w:numPr>
                <w:ilvl w:val="0"/>
                <w:numId w:val="19"/>
              </w:numPr>
              <w:spacing w:line="560" w:lineRule="exact"/>
              <w:jc w:val="center"/>
              <w:rPr>
                <w:rFonts w:eastAsia="等线" w:cs="Times New Roman"/>
                <w:sz w:val="24"/>
                <w:szCs w:val="24"/>
              </w:rPr>
            </w:pPr>
          </w:p>
        </w:tc>
        <w:tc>
          <w:tcPr>
            <w:tcW w:w="2308" w:type="pct"/>
            <w:shd w:val="clear" w:color="auto" w:fill="auto"/>
          </w:tcPr>
          <w:p w14:paraId="3CE6F95D">
            <w:pPr>
              <w:pStyle w:val="47"/>
              <w:spacing w:line="400" w:lineRule="exact"/>
              <w:jc w:val="center"/>
              <w:rPr>
                <w:rFonts w:cs="Times New Roman"/>
                <w:sz w:val="24"/>
                <w:szCs w:val="24"/>
              </w:rPr>
            </w:pPr>
            <w:r>
              <w:rPr>
                <w:rFonts w:cs="Times New Roman"/>
                <w:sz w:val="24"/>
                <w:szCs w:val="24"/>
              </w:rPr>
              <w:t>紧抓驻区高校与大院大所优势，定期举办</w:t>
            </w:r>
            <w:r>
              <w:rPr>
                <w:rFonts w:hint="eastAsia" w:cs="Times New Roman"/>
                <w:sz w:val="24"/>
                <w:szCs w:val="24"/>
              </w:rPr>
              <w:t>“</w:t>
            </w:r>
            <w:r>
              <w:rPr>
                <w:rFonts w:cs="Times New Roman"/>
                <w:sz w:val="24"/>
                <w:szCs w:val="24"/>
              </w:rPr>
              <w:t>无废</w:t>
            </w:r>
            <w:r>
              <w:rPr>
                <w:rFonts w:hint="eastAsia" w:cs="Times New Roman"/>
                <w:sz w:val="24"/>
                <w:szCs w:val="24"/>
              </w:rPr>
              <w:t>”工作</w:t>
            </w:r>
            <w:r>
              <w:rPr>
                <w:rFonts w:cs="Times New Roman"/>
                <w:sz w:val="24"/>
                <w:szCs w:val="24"/>
              </w:rPr>
              <w:t>交流会</w:t>
            </w:r>
          </w:p>
        </w:tc>
        <w:tc>
          <w:tcPr>
            <w:tcW w:w="1231" w:type="pct"/>
            <w:shd w:val="clear" w:color="auto" w:fill="auto"/>
            <w:vAlign w:val="center"/>
          </w:tcPr>
          <w:p w14:paraId="512737DA">
            <w:pPr>
              <w:pStyle w:val="47"/>
              <w:spacing w:line="400" w:lineRule="exact"/>
              <w:jc w:val="center"/>
              <w:rPr>
                <w:rFonts w:cs="Times New Roman"/>
                <w:sz w:val="24"/>
                <w:szCs w:val="24"/>
              </w:rPr>
            </w:pPr>
            <w:r>
              <w:rPr>
                <w:rFonts w:cs="Times New Roman"/>
                <w:sz w:val="24"/>
                <w:szCs w:val="24"/>
              </w:rPr>
              <w:t>区攻坚办无废工作组</w:t>
            </w:r>
          </w:p>
        </w:tc>
        <w:tc>
          <w:tcPr>
            <w:tcW w:w="592" w:type="pct"/>
            <w:shd w:val="clear" w:color="auto" w:fill="auto"/>
            <w:vAlign w:val="center"/>
          </w:tcPr>
          <w:p w14:paraId="74C87B8C">
            <w:pPr>
              <w:pStyle w:val="47"/>
              <w:spacing w:line="400" w:lineRule="exact"/>
              <w:jc w:val="center"/>
              <w:rPr>
                <w:rFonts w:cs="Times New Roman"/>
                <w:sz w:val="24"/>
                <w:szCs w:val="24"/>
              </w:rPr>
            </w:pPr>
            <w:r>
              <w:rPr>
                <w:rFonts w:cs="Times New Roman"/>
                <w:sz w:val="24"/>
                <w:szCs w:val="24"/>
              </w:rPr>
              <w:t>持续推进</w:t>
            </w:r>
          </w:p>
        </w:tc>
      </w:tr>
      <w:tr w14:paraId="6847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9" w:type="pct"/>
            <w:vAlign w:val="center"/>
          </w:tcPr>
          <w:p w14:paraId="41D0C241">
            <w:pPr>
              <w:pStyle w:val="47"/>
              <w:spacing w:line="560" w:lineRule="exact"/>
              <w:jc w:val="center"/>
              <w:rPr>
                <w:rFonts w:eastAsia="等线" w:cs="Times New Roman"/>
                <w:b/>
                <w:bCs/>
                <w:sz w:val="24"/>
                <w:szCs w:val="24"/>
              </w:rPr>
            </w:pPr>
            <w:r>
              <w:rPr>
                <w:rFonts w:eastAsia="等线" w:cs="Times New Roman"/>
                <w:b/>
                <w:bCs/>
                <w:sz w:val="24"/>
                <w:szCs w:val="24"/>
              </w:rPr>
              <w:t>B2</w:t>
            </w:r>
            <w:r>
              <w:rPr>
                <w:rFonts w:cs="Times New Roman"/>
                <w:b/>
                <w:bCs/>
                <w:sz w:val="24"/>
                <w:szCs w:val="24"/>
              </w:rPr>
              <w:t>技术研究</w:t>
            </w:r>
          </w:p>
        </w:tc>
        <w:tc>
          <w:tcPr>
            <w:tcW w:w="279" w:type="pct"/>
            <w:shd w:val="clear" w:color="auto" w:fill="auto"/>
            <w:vAlign w:val="center"/>
          </w:tcPr>
          <w:p w14:paraId="0214F7B5">
            <w:pPr>
              <w:pStyle w:val="47"/>
              <w:numPr>
                <w:ilvl w:val="0"/>
                <w:numId w:val="20"/>
              </w:numPr>
              <w:spacing w:line="560" w:lineRule="exact"/>
              <w:jc w:val="center"/>
              <w:rPr>
                <w:rFonts w:eastAsia="等线" w:cs="Times New Roman"/>
                <w:sz w:val="24"/>
                <w:szCs w:val="24"/>
              </w:rPr>
            </w:pPr>
          </w:p>
        </w:tc>
        <w:tc>
          <w:tcPr>
            <w:tcW w:w="2308" w:type="pct"/>
            <w:shd w:val="clear" w:color="auto" w:fill="auto"/>
            <w:vAlign w:val="center"/>
          </w:tcPr>
          <w:p w14:paraId="0B5ED5B7">
            <w:pPr>
              <w:pStyle w:val="47"/>
              <w:spacing w:line="400" w:lineRule="exact"/>
              <w:jc w:val="center"/>
              <w:rPr>
                <w:rFonts w:cs="Times New Roman"/>
                <w:sz w:val="24"/>
                <w:szCs w:val="24"/>
              </w:rPr>
            </w:pPr>
            <w:r>
              <w:rPr>
                <w:rFonts w:cs="Times New Roman"/>
                <w:sz w:val="24"/>
                <w:szCs w:val="24"/>
              </w:rPr>
              <w:t>支持、鼓励或推动驻区高校院所</w:t>
            </w:r>
            <w:r>
              <w:rPr>
                <w:rFonts w:hint="eastAsia" w:cs="Times New Roman"/>
                <w:sz w:val="24"/>
                <w:szCs w:val="24"/>
              </w:rPr>
              <w:t>及企业</w:t>
            </w:r>
            <w:r>
              <w:rPr>
                <w:rFonts w:cs="Times New Roman"/>
                <w:sz w:val="24"/>
                <w:szCs w:val="24"/>
              </w:rPr>
              <w:t>参与</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相关技术研究和成果转化、促进产学研相结合</w:t>
            </w:r>
          </w:p>
        </w:tc>
        <w:tc>
          <w:tcPr>
            <w:tcW w:w="1231" w:type="pct"/>
            <w:shd w:val="clear" w:color="auto" w:fill="auto"/>
            <w:vAlign w:val="center"/>
          </w:tcPr>
          <w:p w14:paraId="547EDD08">
            <w:pPr>
              <w:pStyle w:val="47"/>
              <w:spacing w:line="400" w:lineRule="exact"/>
              <w:jc w:val="center"/>
              <w:rPr>
                <w:rFonts w:cs="Times New Roman"/>
                <w:sz w:val="24"/>
                <w:szCs w:val="24"/>
              </w:rPr>
            </w:pPr>
            <w:r>
              <w:rPr>
                <w:rFonts w:cs="Times New Roman"/>
                <w:sz w:val="24"/>
                <w:szCs w:val="24"/>
              </w:rPr>
              <w:t>区科技局</w:t>
            </w:r>
          </w:p>
        </w:tc>
        <w:tc>
          <w:tcPr>
            <w:tcW w:w="592" w:type="pct"/>
            <w:shd w:val="clear" w:color="auto" w:fill="auto"/>
            <w:vAlign w:val="center"/>
          </w:tcPr>
          <w:p w14:paraId="3C02A377">
            <w:pPr>
              <w:pStyle w:val="47"/>
              <w:spacing w:line="400" w:lineRule="exact"/>
              <w:jc w:val="center"/>
              <w:rPr>
                <w:rFonts w:eastAsia="等线" w:cs="Times New Roman"/>
                <w:sz w:val="24"/>
                <w:szCs w:val="24"/>
              </w:rPr>
            </w:pPr>
            <w:r>
              <w:rPr>
                <w:rFonts w:cs="Times New Roman"/>
                <w:sz w:val="24"/>
                <w:szCs w:val="24"/>
              </w:rPr>
              <w:t>持续推进</w:t>
            </w:r>
          </w:p>
        </w:tc>
      </w:tr>
    </w:tbl>
    <w:p w14:paraId="6E12BEFC">
      <w:pPr>
        <w:pStyle w:val="3"/>
        <w:spacing w:before="0" w:after="0"/>
        <w:rPr>
          <w:rFonts w:ascii="方正黑体_GBK" w:cs="Times New Roman"/>
          <w:szCs w:val="28"/>
        </w:rPr>
      </w:pPr>
      <w:bookmarkStart w:id="160" w:name="_Toc129882966"/>
      <w:bookmarkStart w:id="161" w:name="_Toc140150528"/>
    </w:p>
    <w:p w14:paraId="16D8CDBC">
      <w:pPr>
        <w:pStyle w:val="3"/>
        <w:spacing w:before="0" w:after="0"/>
        <w:rPr>
          <w:rFonts w:ascii="方正黑体_GBK" w:cs="Times New Roman"/>
          <w:szCs w:val="28"/>
        </w:rPr>
      </w:pPr>
      <w:r>
        <w:rPr>
          <w:rFonts w:hint="eastAsia" w:ascii="方正黑体_GBK" w:cs="Times New Roman"/>
          <w:szCs w:val="28"/>
        </w:rPr>
        <w:t>第三节 市场体系建设</w:t>
      </w:r>
      <w:bookmarkEnd w:id="160"/>
      <w:r>
        <w:rPr>
          <w:rFonts w:hint="eastAsia" w:ascii="方正黑体_GBK" w:cs="Times New Roman"/>
          <w:szCs w:val="28"/>
        </w:rPr>
        <w:t>任务清单</w:t>
      </w:r>
      <w:bookmarkEnd w:id="161"/>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703"/>
        <w:gridCol w:w="6165"/>
        <w:gridCol w:w="3257"/>
        <w:gridCol w:w="1578"/>
      </w:tblGrid>
      <w:tr w14:paraId="6D9B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85" w:type="pct"/>
            <w:shd w:val="clear" w:color="000000" w:fill="D0CECE"/>
            <w:vAlign w:val="center"/>
          </w:tcPr>
          <w:p w14:paraId="0B66A4D8">
            <w:pPr>
              <w:pStyle w:val="47"/>
              <w:spacing w:line="560" w:lineRule="exact"/>
              <w:jc w:val="center"/>
              <w:rPr>
                <w:rFonts w:cs="Times New Roman"/>
                <w:b/>
                <w:bCs/>
                <w:sz w:val="24"/>
                <w:szCs w:val="24"/>
              </w:rPr>
            </w:pPr>
            <w:r>
              <w:rPr>
                <w:rFonts w:cs="Times New Roman"/>
                <w:b/>
                <w:bCs/>
                <w:sz w:val="24"/>
                <w:szCs w:val="24"/>
              </w:rPr>
              <w:t>类型</w:t>
            </w:r>
          </w:p>
        </w:tc>
        <w:tc>
          <w:tcPr>
            <w:tcW w:w="265" w:type="pct"/>
            <w:shd w:val="clear" w:color="000000" w:fill="D0CECE"/>
            <w:vAlign w:val="center"/>
          </w:tcPr>
          <w:p w14:paraId="151B7428">
            <w:pPr>
              <w:pStyle w:val="47"/>
              <w:spacing w:line="560" w:lineRule="exact"/>
              <w:jc w:val="center"/>
              <w:rPr>
                <w:rFonts w:cs="Times New Roman"/>
                <w:b/>
                <w:bCs/>
                <w:sz w:val="24"/>
                <w:szCs w:val="24"/>
              </w:rPr>
            </w:pPr>
            <w:r>
              <w:rPr>
                <w:rFonts w:cs="Times New Roman"/>
                <w:b/>
                <w:bCs/>
                <w:sz w:val="24"/>
                <w:szCs w:val="24"/>
              </w:rPr>
              <w:t>序号</w:t>
            </w:r>
          </w:p>
        </w:tc>
        <w:tc>
          <w:tcPr>
            <w:tcW w:w="2324" w:type="pct"/>
            <w:shd w:val="clear" w:color="000000" w:fill="D0CECE"/>
            <w:vAlign w:val="center"/>
          </w:tcPr>
          <w:p w14:paraId="3D98BC3D">
            <w:pPr>
              <w:pStyle w:val="47"/>
              <w:spacing w:line="560" w:lineRule="exact"/>
              <w:jc w:val="center"/>
              <w:rPr>
                <w:rFonts w:cs="Times New Roman"/>
                <w:b/>
                <w:bCs/>
                <w:sz w:val="24"/>
                <w:szCs w:val="24"/>
              </w:rPr>
            </w:pPr>
            <w:r>
              <w:rPr>
                <w:rFonts w:cs="Times New Roman"/>
                <w:b/>
                <w:bCs/>
                <w:sz w:val="24"/>
                <w:szCs w:val="24"/>
              </w:rPr>
              <w:t>任务清单</w:t>
            </w:r>
          </w:p>
        </w:tc>
        <w:tc>
          <w:tcPr>
            <w:tcW w:w="1228" w:type="pct"/>
            <w:shd w:val="clear" w:color="000000" w:fill="D0CECE"/>
            <w:vAlign w:val="center"/>
          </w:tcPr>
          <w:p w14:paraId="79ABD64D">
            <w:pPr>
              <w:pStyle w:val="47"/>
              <w:spacing w:line="560" w:lineRule="exact"/>
              <w:jc w:val="center"/>
              <w:rPr>
                <w:rFonts w:cs="Times New Roman"/>
                <w:b/>
                <w:bCs/>
                <w:sz w:val="24"/>
                <w:szCs w:val="24"/>
              </w:rPr>
            </w:pPr>
            <w:r>
              <w:rPr>
                <w:rFonts w:cs="Times New Roman"/>
                <w:b/>
                <w:bCs/>
                <w:sz w:val="24"/>
                <w:szCs w:val="24"/>
              </w:rPr>
              <w:t>责任单位</w:t>
            </w:r>
          </w:p>
        </w:tc>
        <w:tc>
          <w:tcPr>
            <w:tcW w:w="595" w:type="pct"/>
            <w:shd w:val="clear" w:color="000000" w:fill="D0CECE"/>
            <w:vAlign w:val="center"/>
          </w:tcPr>
          <w:p w14:paraId="6159E60B">
            <w:pPr>
              <w:pStyle w:val="47"/>
              <w:spacing w:line="560" w:lineRule="exact"/>
              <w:jc w:val="center"/>
              <w:rPr>
                <w:rFonts w:cs="Times New Roman"/>
                <w:b/>
                <w:bCs/>
                <w:sz w:val="24"/>
                <w:szCs w:val="24"/>
              </w:rPr>
            </w:pPr>
            <w:r>
              <w:rPr>
                <w:rFonts w:cs="Times New Roman"/>
                <w:b/>
                <w:bCs/>
                <w:sz w:val="24"/>
                <w:szCs w:val="24"/>
              </w:rPr>
              <w:t>时间要求</w:t>
            </w:r>
          </w:p>
        </w:tc>
      </w:tr>
      <w:tr w14:paraId="0BBD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5" w:type="pct"/>
            <w:shd w:val="clear" w:color="auto" w:fill="auto"/>
            <w:vAlign w:val="center"/>
          </w:tcPr>
          <w:p w14:paraId="567EB624">
            <w:pPr>
              <w:pStyle w:val="47"/>
              <w:spacing w:line="560" w:lineRule="exact"/>
              <w:jc w:val="center"/>
              <w:rPr>
                <w:rFonts w:cs="Times New Roman"/>
                <w:sz w:val="24"/>
                <w:szCs w:val="24"/>
              </w:rPr>
            </w:pPr>
            <w:r>
              <w:rPr>
                <w:rFonts w:cs="Times New Roman"/>
                <w:b/>
                <w:bCs/>
                <w:sz w:val="24"/>
                <w:szCs w:val="24"/>
              </w:rPr>
              <w:t>C1金融调控</w:t>
            </w:r>
          </w:p>
        </w:tc>
        <w:tc>
          <w:tcPr>
            <w:tcW w:w="265" w:type="pct"/>
            <w:shd w:val="clear" w:color="auto" w:fill="auto"/>
            <w:vAlign w:val="center"/>
          </w:tcPr>
          <w:p w14:paraId="42E4694E">
            <w:pPr>
              <w:pStyle w:val="47"/>
              <w:numPr>
                <w:ilvl w:val="0"/>
                <w:numId w:val="21"/>
              </w:numPr>
              <w:spacing w:line="560" w:lineRule="exact"/>
              <w:jc w:val="center"/>
              <w:rPr>
                <w:rFonts w:cs="Times New Roman"/>
                <w:sz w:val="24"/>
                <w:szCs w:val="24"/>
              </w:rPr>
            </w:pPr>
          </w:p>
        </w:tc>
        <w:tc>
          <w:tcPr>
            <w:tcW w:w="2324" w:type="pct"/>
            <w:shd w:val="clear" w:color="auto" w:fill="auto"/>
            <w:vAlign w:val="center"/>
          </w:tcPr>
          <w:p w14:paraId="32B768F2">
            <w:pPr>
              <w:pStyle w:val="47"/>
              <w:spacing w:line="300" w:lineRule="exact"/>
              <w:jc w:val="center"/>
              <w:rPr>
                <w:rFonts w:cs="Times New Roman"/>
                <w:sz w:val="24"/>
                <w:szCs w:val="24"/>
              </w:rPr>
            </w:pPr>
            <w:r>
              <w:rPr>
                <w:rFonts w:cs="Times New Roman"/>
                <w:sz w:val="24"/>
                <w:szCs w:val="24"/>
              </w:rPr>
              <w:t>支持绿色企业、绿色项目申请</w:t>
            </w:r>
            <w:r>
              <w:rPr>
                <w:rFonts w:hint="eastAsia" w:cs="Times New Roman"/>
                <w:sz w:val="24"/>
                <w:szCs w:val="24"/>
              </w:rPr>
              <w:t>“</w:t>
            </w:r>
            <w:r>
              <w:rPr>
                <w:rFonts w:cs="Times New Roman"/>
                <w:sz w:val="24"/>
                <w:szCs w:val="24"/>
              </w:rPr>
              <w:t>环保贷</w:t>
            </w:r>
            <w:r>
              <w:rPr>
                <w:rFonts w:hint="eastAsia" w:cs="Times New Roman"/>
                <w:sz w:val="24"/>
                <w:szCs w:val="24"/>
              </w:rPr>
              <w:t>”</w:t>
            </w:r>
          </w:p>
        </w:tc>
        <w:tc>
          <w:tcPr>
            <w:tcW w:w="1228" w:type="pct"/>
            <w:shd w:val="clear" w:color="auto" w:fill="auto"/>
            <w:vAlign w:val="center"/>
          </w:tcPr>
          <w:p w14:paraId="4535ED56">
            <w:pPr>
              <w:pStyle w:val="47"/>
              <w:spacing w:line="300" w:lineRule="exact"/>
              <w:jc w:val="center"/>
              <w:rPr>
                <w:rFonts w:cs="Times New Roman"/>
                <w:sz w:val="24"/>
                <w:szCs w:val="24"/>
              </w:rPr>
            </w:pPr>
            <w:r>
              <w:rPr>
                <w:rFonts w:cs="Times New Roman"/>
                <w:sz w:val="24"/>
                <w:szCs w:val="24"/>
              </w:rPr>
              <w:t>玄武生态环境局</w:t>
            </w:r>
          </w:p>
        </w:tc>
        <w:tc>
          <w:tcPr>
            <w:tcW w:w="595" w:type="pct"/>
            <w:shd w:val="clear" w:color="auto" w:fill="auto"/>
            <w:vAlign w:val="center"/>
          </w:tcPr>
          <w:p w14:paraId="1A490CEE">
            <w:pPr>
              <w:pStyle w:val="47"/>
              <w:spacing w:line="560" w:lineRule="exact"/>
              <w:jc w:val="center"/>
              <w:rPr>
                <w:rFonts w:cs="Times New Roman"/>
                <w:sz w:val="24"/>
                <w:szCs w:val="24"/>
              </w:rPr>
            </w:pPr>
            <w:r>
              <w:rPr>
                <w:rFonts w:cs="Times New Roman"/>
                <w:sz w:val="24"/>
                <w:szCs w:val="24"/>
              </w:rPr>
              <w:t>持续推进</w:t>
            </w:r>
          </w:p>
        </w:tc>
      </w:tr>
      <w:tr w14:paraId="09C3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5" w:type="pct"/>
            <w:vMerge w:val="restart"/>
            <w:shd w:val="clear" w:color="auto" w:fill="auto"/>
            <w:vAlign w:val="center"/>
          </w:tcPr>
          <w:p w14:paraId="51A83E25">
            <w:pPr>
              <w:pStyle w:val="47"/>
              <w:spacing w:line="560" w:lineRule="exact"/>
              <w:jc w:val="center"/>
              <w:rPr>
                <w:rFonts w:cs="Times New Roman"/>
                <w:b/>
                <w:bCs/>
                <w:sz w:val="24"/>
                <w:szCs w:val="24"/>
              </w:rPr>
            </w:pPr>
            <w:r>
              <w:rPr>
                <w:rFonts w:cs="Times New Roman"/>
                <w:b/>
                <w:bCs/>
                <w:sz w:val="24"/>
                <w:szCs w:val="24"/>
              </w:rPr>
              <w:t>C2政策扶持</w:t>
            </w:r>
          </w:p>
        </w:tc>
        <w:tc>
          <w:tcPr>
            <w:tcW w:w="265" w:type="pct"/>
            <w:shd w:val="clear" w:color="auto" w:fill="auto"/>
            <w:vAlign w:val="center"/>
          </w:tcPr>
          <w:p w14:paraId="0AC6BDE4">
            <w:pPr>
              <w:pStyle w:val="47"/>
              <w:numPr>
                <w:ilvl w:val="0"/>
                <w:numId w:val="22"/>
              </w:numPr>
              <w:spacing w:line="560" w:lineRule="exact"/>
              <w:jc w:val="center"/>
              <w:rPr>
                <w:rFonts w:cs="Times New Roman"/>
                <w:sz w:val="24"/>
                <w:szCs w:val="24"/>
              </w:rPr>
            </w:pPr>
          </w:p>
        </w:tc>
        <w:tc>
          <w:tcPr>
            <w:tcW w:w="2324" w:type="pct"/>
            <w:shd w:val="clear" w:color="auto" w:fill="auto"/>
            <w:vAlign w:val="center"/>
          </w:tcPr>
          <w:p w14:paraId="248A01B0">
            <w:pPr>
              <w:pStyle w:val="47"/>
              <w:spacing w:line="300" w:lineRule="exact"/>
              <w:jc w:val="center"/>
              <w:rPr>
                <w:rFonts w:cs="Times New Roman"/>
                <w:sz w:val="24"/>
                <w:szCs w:val="24"/>
              </w:rPr>
            </w:pPr>
            <w:r>
              <w:rPr>
                <w:rFonts w:cs="Times New Roman"/>
                <w:sz w:val="24"/>
                <w:szCs w:val="24"/>
              </w:rPr>
              <w:t>在节能减排、资源综合利用和环境保护等方面推行政府补贴政策，落实重点行业所得税</w:t>
            </w:r>
            <w:r>
              <w:rPr>
                <w:rFonts w:hint="eastAsia" w:cs="Times New Roman"/>
                <w:sz w:val="24"/>
                <w:szCs w:val="24"/>
              </w:rPr>
              <w:t>“</w:t>
            </w:r>
            <w:r>
              <w:rPr>
                <w:rFonts w:cs="Times New Roman"/>
                <w:sz w:val="24"/>
                <w:szCs w:val="24"/>
              </w:rPr>
              <w:t>三免三减半</w:t>
            </w:r>
            <w:r>
              <w:rPr>
                <w:rFonts w:hint="eastAsia" w:cs="Times New Roman"/>
                <w:sz w:val="24"/>
                <w:szCs w:val="24"/>
              </w:rPr>
              <w:t>”</w:t>
            </w:r>
            <w:r>
              <w:rPr>
                <w:rFonts w:cs="Times New Roman"/>
                <w:sz w:val="24"/>
                <w:szCs w:val="24"/>
              </w:rPr>
              <w:t>、</w:t>
            </w:r>
          </w:p>
          <w:p w14:paraId="48E24711">
            <w:pPr>
              <w:pStyle w:val="47"/>
              <w:spacing w:line="300" w:lineRule="exact"/>
              <w:jc w:val="center"/>
              <w:rPr>
                <w:rFonts w:cs="Times New Roman"/>
                <w:sz w:val="24"/>
                <w:szCs w:val="24"/>
              </w:rPr>
            </w:pPr>
            <w:r>
              <w:rPr>
                <w:rFonts w:cs="Times New Roman"/>
                <w:sz w:val="24"/>
                <w:szCs w:val="24"/>
              </w:rPr>
              <w:t>增值税即征即退等税收优惠政策</w:t>
            </w:r>
          </w:p>
        </w:tc>
        <w:tc>
          <w:tcPr>
            <w:tcW w:w="1228" w:type="pct"/>
            <w:shd w:val="clear" w:color="auto" w:fill="auto"/>
            <w:vAlign w:val="center"/>
          </w:tcPr>
          <w:p w14:paraId="05A22F6F">
            <w:pPr>
              <w:pStyle w:val="47"/>
              <w:spacing w:line="300" w:lineRule="exact"/>
              <w:jc w:val="center"/>
              <w:rPr>
                <w:rFonts w:cs="Times New Roman"/>
                <w:sz w:val="24"/>
                <w:szCs w:val="24"/>
              </w:rPr>
            </w:pPr>
            <w:r>
              <w:rPr>
                <w:rFonts w:cs="Times New Roman"/>
                <w:sz w:val="24"/>
                <w:szCs w:val="24"/>
              </w:rPr>
              <w:t>区税务局、区财政局、</w:t>
            </w:r>
          </w:p>
          <w:p w14:paraId="7654F998">
            <w:pPr>
              <w:pStyle w:val="47"/>
              <w:spacing w:line="300" w:lineRule="exact"/>
              <w:jc w:val="center"/>
              <w:rPr>
                <w:rFonts w:cs="Times New Roman"/>
                <w:sz w:val="24"/>
                <w:szCs w:val="24"/>
              </w:rPr>
            </w:pPr>
            <w:r>
              <w:rPr>
                <w:rFonts w:cs="Times New Roman"/>
                <w:sz w:val="24"/>
                <w:szCs w:val="24"/>
              </w:rPr>
              <w:t>玄武生态环境局</w:t>
            </w:r>
          </w:p>
        </w:tc>
        <w:tc>
          <w:tcPr>
            <w:tcW w:w="595" w:type="pct"/>
            <w:shd w:val="clear" w:color="auto" w:fill="auto"/>
            <w:vAlign w:val="center"/>
          </w:tcPr>
          <w:p w14:paraId="606E4167">
            <w:pPr>
              <w:pStyle w:val="47"/>
              <w:spacing w:line="560" w:lineRule="exact"/>
              <w:jc w:val="center"/>
              <w:rPr>
                <w:rFonts w:cs="Times New Roman"/>
                <w:sz w:val="24"/>
                <w:szCs w:val="24"/>
              </w:rPr>
            </w:pPr>
            <w:r>
              <w:rPr>
                <w:rFonts w:cs="Times New Roman"/>
                <w:sz w:val="24"/>
                <w:szCs w:val="24"/>
              </w:rPr>
              <w:t>持续推进</w:t>
            </w:r>
          </w:p>
        </w:tc>
      </w:tr>
      <w:tr w14:paraId="5CDF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5" w:type="pct"/>
            <w:vMerge w:val="continue"/>
            <w:vAlign w:val="center"/>
          </w:tcPr>
          <w:p w14:paraId="4CBAA9D4">
            <w:pPr>
              <w:pStyle w:val="47"/>
              <w:spacing w:line="560" w:lineRule="exact"/>
              <w:jc w:val="center"/>
              <w:rPr>
                <w:rFonts w:cs="Times New Roman"/>
                <w:b/>
                <w:bCs/>
                <w:sz w:val="24"/>
                <w:szCs w:val="24"/>
              </w:rPr>
            </w:pPr>
          </w:p>
        </w:tc>
        <w:tc>
          <w:tcPr>
            <w:tcW w:w="265" w:type="pct"/>
            <w:shd w:val="clear" w:color="auto" w:fill="auto"/>
            <w:vAlign w:val="center"/>
          </w:tcPr>
          <w:p w14:paraId="3CC9E618">
            <w:pPr>
              <w:pStyle w:val="47"/>
              <w:numPr>
                <w:ilvl w:val="0"/>
                <w:numId w:val="22"/>
              </w:numPr>
              <w:spacing w:line="560" w:lineRule="exact"/>
              <w:jc w:val="center"/>
              <w:rPr>
                <w:rFonts w:cs="Times New Roman"/>
                <w:sz w:val="24"/>
                <w:szCs w:val="24"/>
              </w:rPr>
            </w:pPr>
          </w:p>
        </w:tc>
        <w:tc>
          <w:tcPr>
            <w:tcW w:w="2324" w:type="pct"/>
            <w:shd w:val="clear" w:color="auto" w:fill="auto"/>
            <w:vAlign w:val="center"/>
          </w:tcPr>
          <w:p w14:paraId="1BBF5229">
            <w:pPr>
              <w:pStyle w:val="47"/>
              <w:spacing w:line="300" w:lineRule="exact"/>
              <w:jc w:val="center"/>
              <w:rPr>
                <w:rFonts w:cs="Times New Roman"/>
                <w:sz w:val="24"/>
                <w:szCs w:val="24"/>
              </w:rPr>
            </w:pPr>
            <w:r>
              <w:rPr>
                <w:rFonts w:cs="Times New Roman"/>
                <w:sz w:val="24"/>
                <w:szCs w:val="24"/>
              </w:rPr>
              <w:t>在政府投资公共工程中，优先使用以大宗工业固体废物等为原料的综合利用产品，推广新型墙材等绿色建材</w:t>
            </w:r>
          </w:p>
          <w:p w14:paraId="1673D0DD">
            <w:pPr>
              <w:pStyle w:val="47"/>
              <w:spacing w:line="300" w:lineRule="exact"/>
              <w:jc w:val="center"/>
              <w:rPr>
                <w:rFonts w:cs="Times New Roman"/>
                <w:sz w:val="24"/>
                <w:szCs w:val="24"/>
              </w:rPr>
            </w:pPr>
            <w:r>
              <w:rPr>
                <w:rFonts w:cs="Times New Roman"/>
                <w:sz w:val="24"/>
                <w:szCs w:val="24"/>
              </w:rPr>
              <w:t>应用，鼓励引导使用建筑垃圾资源化利用产品</w:t>
            </w:r>
          </w:p>
        </w:tc>
        <w:tc>
          <w:tcPr>
            <w:tcW w:w="1228" w:type="pct"/>
            <w:shd w:val="clear" w:color="auto" w:fill="auto"/>
            <w:vAlign w:val="center"/>
          </w:tcPr>
          <w:p w14:paraId="0BD9787F">
            <w:pPr>
              <w:pStyle w:val="47"/>
              <w:spacing w:line="300" w:lineRule="exact"/>
              <w:jc w:val="center"/>
              <w:rPr>
                <w:rFonts w:cs="Times New Roman"/>
                <w:sz w:val="24"/>
                <w:szCs w:val="24"/>
              </w:rPr>
            </w:pPr>
            <w:r>
              <w:rPr>
                <w:rFonts w:cs="Times New Roman"/>
                <w:sz w:val="24"/>
                <w:szCs w:val="24"/>
              </w:rPr>
              <w:t>区建设局</w:t>
            </w:r>
          </w:p>
        </w:tc>
        <w:tc>
          <w:tcPr>
            <w:tcW w:w="595" w:type="pct"/>
            <w:shd w:val="clear" w:color="auto" w:fill="auto"/>
            <w:vAlign w:val="center"/>
          </w:tcPr>
          <w:p w14:paraId="6A8B902F">
            <w:pPr>
              <w:pStyle w:val="47"/>
              <w:spacing w:line="560" w:lineRule="exact"/>
              <w:jc w:val="center"/>
              <w:rPr>
                <w:rFonts w:cs="Times New Roman"/>
                <w:sz w:val="24"/>
                <w:szCs w:val="24"/>
              </w:rPr>
            </w:pPr>
            <w:r>
              <w:rPr>
                <w:rFonts w:cs="Times New Roman"/>
                <w:sz w:val="24"/>
                <w:szCs w:val="24"/>
              </w:rPr>
              <w:t>持续推进</w:t>
            </w:r>
          </w:p>
        </w:tc>
      </w:tr>
      <w:tr w14:paraId="561B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5" w:type="pct"/>
            <w:vMerge w:val="restart"/>
            <w:shd w:val="clear" w:color="auto" w:fill="auto"/>
            <w:vAlign w:val="center"/>
          </w:tcPr>
          <w:p w14:paraId="1B1A5766">
            <w:pPr>
              <w:pStyle w:val="47"/>
              <w:spacing w:line="560" w:lineRule="exact"/>
              <w:jc w:val="center"/>
              <w:rPr>
                <w:rFonts w:cs="Times New Roman"/>
                <w:b/>
                <w:bCs/>
                <w:sz w:val="24"/>
                <w:szCs w:val="24"/>
              </w:rPr>
            </w:pPr>
            <w:r>
              <w:rPr>
                <w:rFonts w:cs="Times New Roman"/>
                <w:b/>
                <w:bCs/>
                <w:sz w:val="24"/>
                <w:szCs w:val="24"/>
              </w:rPr>
              <w:t>C3市场引导</w:t>
            </w:r>
          </w:p>
        </w:tc>
        <w:tc>
          <w:tcPr>
            <w:tcW w:w="265" w:type="pct"/>
            <w:shd w:val="clear" w:color="auto" w:fill="auto"/>
            <w:vAlign w:val="center"/>
          </w:tcPr>
          <w:p w14:paraId="227C5473">
            <w:pPr>
              <w:pStyle w:val="47"/>
              <w:numPr>
                <w:ilvl w:val="0"/>
                <w:numId w:val="23"/>
              </w:numPr>
              <w:spacing w:line="560" w:lineRule="exact"/>
              <w:jc w:val="center"/>
              <w:rPr>
                <w:rFonts w:cs="Times New Roman"/>
                <w:sz w:val="24"/>
                <w:szCs w:val="24"/>
              </w:rPr>
            </w:pPr>
          </w:p>
        </w:tc>
        <w:tc>
          <w:tcPr>
            <w:tcW w:w="2324" w:type="pct"/>
            <w:shd w:val="clear" w:color="auto" w:fill="auto"/>
            <w:vAlign w:val="center"/>
          </w:tcPr>
          <w:p w14:paraId="1E6CBDE9">
            <w:pPr>
              <w:pStyle w:val="47"/>
              <w:spacing w:line="300" w:lineRule="exact"/>
              <w:jc w:val="center"/>
              <w:rPr>
                <w:rFonts w:cs="Times New Roman"/>
                <w:sz w:val="24"/>
                <w:szCs w:val="24"/>
              </w:rPr>
            </w:pPr>
            <w:r>
              <w:rPr>
                <w:rFonts w:cs="Times New Roman"/>
                <w:sz w:val="24"/>
                <w:szCs w:val="24"/>
              </w:rPr>
              <w:t>开展企业环保信用评价工作</w:t>
            </w:r>
          </w:p>
        </w:tc>
        <w:tc>
          <w:tcPr>
            <w:tcW w:w="1228" w:type="pct"/>
            <w:shd w:val="clear" w:color="auto" w:fill="auto"/>
            <w:vAlign w:val="center"/>
          </w:tcPr>
          <w:p w14:paraId="454430DA">
            <w:pPr>
              <w:pStyle w:val="47"/>
              <w:spacing w:line="300" w:lineRule="exact"/>
              <w:jc w:val="center"/>
              <w:rPr>
                <w:rFonts w:cs="Times New Roman"/>
                <w:sz w:val="24"/>
                <w:szCs w:val="24"/>
              </w:rPr>
            </w:pPr>
            <w:r>
              <w:rPr>
                <w:rFonts w:cs="Times New Roman"/>
                <w:sz w:val="24"/>
                <w:szCs w:val="24"/>
              </w:rPr>
              <w:t>玄武生态环境局</w:t>
            </w:r>
          </w:p>
        </w:tc>
        <w:tc>
          <w:tcPr>
            <w:tcW w:w="595" w:type="pct"/>
            <w:shd w:val="clear" w:color="auto" w:fill="auto"/>
            <w:vAlign w:val="center"/>
          </w:tcPr>
          <w:p w14:paraId="57F538AA">
            <w:pPr>
              <w:pStyle w:val="47"/>
              <w:spacing w:line="560" w:lineRule="exact"/>
              <w:jc w:val="center"/>
              <w:rPr>
                <w:rFonts w:cs="Times New Roman"/>
                <w:sz w:val="24"/>
                <w:szCs w:val="24"/>
              </w:rPr>
            </w:pPr>
            <w:r>
              <w:rPr>
                <w:rFonts w:cs="Times New Roman"/>
                <w:sz w:val="24"/>
                <w:szCs w:val="24"/>
              </w:rPr>
              <w:t>持续推进</w:t>
            </w:r>
          </w:p>
        </w:tc>
      </w:tr>
      <w:tr w14:paraId="7466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5" w:type="pct"/>
            <w:vMerge w:val="continue"/>
            <w:vAlign w:val="center"/>
          </w:tcPr>
          <w:p w14:paraId="39503634">
            <w:pPr>
              <w:pStyle w:val="47"/>
              <w:spacing w:line="560" w:lineRule="exact"/>
              <w:jc w:val="center"/>
              <w:rPr>
                <w:rFonts w:cs="Times New Roman"/>
                <w:b/>
                <w:bCs/>
                <w:sz w:val="24"/>
                <w:szCs w:val="24"/>
              </w:rPr>
            </w:pPr>
          </w:p>
        </w:tc>
        <w:tc>
          <w:tcPr>
            <w:tcW w:w="265" w:type="pct"/>
            <w:shd w:val="clear" w:color="auto" w:fill="auto"/>
            <w:vAlign w:val="center"/>
          </w:tcPr>
          <w:p w14:paraId="417623C8">
            <w:pPr>
              <w:pStyle w:val="47"/>
              <w:numPr>
                <w:ilvl w:val="0"/>
                <w:numId w:val="23"/>
              </w:numPr>
              <w:spacing w:line="560" w:lineRule="exact"/>
              <w:jc w:val="center"/>
              <w:rPr>
                <w:rFonts w:cs="Times New Roman"/>
                <w:sz w:val="24"/>
                <w:szCs w:val="24"/>
              </w:rPr>
            </w:pPr>
          </w:p>
        </w:tc>
        <w:tc>
          <w:tcPr>
            <w:tcW w:w="2324" w:type="pct"/>
            <w:shd w:val="clear" w:color="auto" w:fill="auto"/>
            <w:vAlign w:val="center"/>
          </w:tcPr>
          <w:p w14:paraId="0806943D">
            <w:pPr>
              <w:pStyle w:val="47"/>
              <w:spacing w:line="300" w:lineRule="exact"/>
              <w:jc w:val="center"/>
              <w:rPr>
                <w:rFonts w:cs="Times New Roman"/>
                <w:sz w:val="24"/>
                <w:szCs w:val="24"/>
              </w:rPr>
            </w:pPr>
            <w:bookmarkStart w:id="162" w:name="_Hlk129180200"/>
            <w:r>
              <w:rPr>
                <w:rFonts w:cs="Times New Roman"/>
                <w:sz w:val="24"/>
                <w:szCs w:val="24"/>
              </w:rPr>
              <w:t>积极培育第三方市场，鼓励专业化第三方机构从事固体废物收集转运、环境污染治理与咨询服务，推动固体废物收集、转运工程项目和设施建设运行第三方治理</w:t>
            </w:r>
          </w:p>
          <w:p w14:paraId="7CEF8639">
            <w:pPr>
              <w:pStyle w:val="47"/>
              <w:spacing w:line="300" w:lineRule="exact"/>
              <w:jc w:val="center"/>
              <w:rPr>
                <w:rFonts w:cs="Times New Roman"/>
                <w:sz w:val="24"/>
                <w:szCs w:val="24"/>
              </w:rPr>
            </w:pPr>
            <w:r>
              <w:rPr>
                <w:rFonts w:cs="Times New Roman"/>
                <w:sz w:val="24"/>
                <w:szCs w:val="24"/>
              </w:rPr>
              <w:t>新模式</w:t>
            </w:r>
            <w:bookmarkEnd w:id="162"/>
          </w:p>
        </w:tc>
        <w:tc>
          <w:tcPr>
            <w:tcW w:w="1228" w:type="pct"/>
            <w:shd w:val="clear" w:color="auto" w:fill="auto"/>
            <w:vAlign w:val="center"/>
          </w:tcPr>
          <w:p w14:paraId="0282EB41">
            <w:pPr>
              <w:pStyle w:val="47"/>
              <w:spacing w:line="300" w:lineRule="exact"/>
              <w:jc w:val="center"/>
              <w:rPr>
                <w:rFonts w:cs="Times New Roman"/>
                <w:sz w:val="24"/>
                <w:szCs w:val="24"/>
              </w:rPr>
            </w:pPr>
            <w:r>
              <w:rPr>
                <w:rFonts w:cs="Times New Roman"/>
                <w:sz w:val="24"/>
                <w:szCs w:val="24"/>
              </w:rPr>
              <w:t>玄武生态环境局、</w:t>
            </w:r>
          </w:p>
          <w:p w14:paraId="1924A3EC">
            <w:pPr>
              <w:pStyle w:val="47"/>
              <w:spacing w:line="300" w:lineRule="exact"/>
              <w:jc w:val="center"/>
              <w:rPr>
                <w:rFonts w:cs="Times New Roman"/>
                <w:sz w:val="24"/>
                <w:szCs w:val="24"/>
              </w:rPr>
            </w:pPr>
            <w:r>
              <w:rPr>
                <w:rFonts w:cs="Times New Roman"/>
                <w:sz w:val="24"/>
                <w:szCs w:val="24"/>
              </w:rPr>
              <w:t>区城管局、区商务局</w:t>
            </w:r>
          </w:p>
        </w:tc>
        <w:tc>
          <w:tcPr>
            <w:tcW w:w="595" w:type="pct"/>
            <w:shd w:val="clear" w:color="auto" w:fill="auto"/>
            <w:vAlign w:val="center"/>
          </w:tcPr>
          <w:p w14:paraId="12888B21">
            <w:pPr>
              <w:pStyle w:val="47"/>
              <w:spacing w:line="560" w:lineRule="exact"/>
              <w:jc w:val="center"/>
              <w:rPr>
                <w:rFonts w:cs="Times New Roman"/>
                <w:sz w:val="24"/>
                <w:szCs w:val="24"/>
              </w:rPr>
            </w:pPr>
            <w:r>
              <w:rPr>
                <w:rFonts w:cs="Times New Roman"/>
                <w:sz w:val="24"/>
                <w:szCs w:val="24"/>
              </w:rPr>
              <w:t>2022-2025</w:t>
            </w:r>
          </w:p>
        </w:tc>
      </w:tr>
    </w:tbl>
    <w:p w14:paraId="5A85FA89">
      <w:pPr>
        <w:pStyle w:val="3"/>
        <w:spacing w:before="0" w:after="0"/>
        <w:rPr>
          <w:rFonts w:ascii="方正黑体_GBK" w:cs="Times New Roman"/>
          <w:szCs w:val="28"/>
        </w:rPr>
      </w:pPr>
      <w:bookmarkStart w:id="163" w:name="_Toc129882967"/>
      <w:bookmarkStart w:id="164" w:name="_Toc140150529"/>
    </w:p>
    <w:p w14:paraId="3763AC9B">
      <w:pPr>
        <w:pStyle w:val="3"/>
        <w:spacing w:before="0" w:after="0"/>
        <w:rPr>
          <w:rFonts w:ascii="方正黑体_GBK" w:cs="Times New Roman"/>
          <w:szCs w:val="28"/>
        </w:rPr>
      </w:pPr>
      <w:r>
        <w:rPr>
          <w:rFonts w:hint="eastAsia" w:ascii="方正黑体_GBK" w:cs="Times New Roman"/>
          <w:szCs w:val="28"/>
        </w:rPr>
        <w:t>第四节 监管体系建设</w:t>
      </w:r>
      <w:bookmarkEnd w:id="163"/>
      <w:r>
        <w:rPr>
          <w:rFonts w:hint="eastAsia" w:ascii="方正黑体_GBK" w:cs="Times New Roman"/>
          <w:szCs w:val="28"/>
        </w:rPr>
        <w:t>任务清单</w:t>
      </w:r>
      <w:bookmarkEnd w:id="164"/>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748"/>
        <w:gridCol w:w="6092"/>
        <w:gridCol w:w="3254"/>
        <w:gridCol w:w="1581"/>
      </w:tblGrid>
      <w:tr w14:paraId="657D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596" w:type="pct"/>
            <w:shd w:val="clear" w:color="000000" w:fill="D0CECE"/>
            <w:vAlign w:val="center"/>
          </w:tcPr>
          <w:p w14:paraId="4CF72813">
            <w:pPr>
              <w:pStyle w:val="47"/>
              <w:spacing w:line="560" w:lineRule="exact"/>
              <w:jc w:val="center"/>
              <w:rPr>
                <w:rFonts w:cs="Times New Roman"/>
                <w:b/>
                <w:bCs/>
                <w:sz w:val="24"/>
                <w:szCs w:val="24"/>
              </w:rPr>
            </w:pPr>
            <w:r>
              <w:rPr>
                <w:rFonts w:cs="Times New Roman"/>
                <w:b/>
                <w:bCs/>
                <w:sz w:val="24"/>
                <w:szCs w:val="24"/>
              </w:rPr>
              <w:t>类型</w:t>
            </w:r>
          </w:p>
        </w:tc>
        <w:tc>
          <w:tcPr>
            <w:tcW w:w="282" w:type="pct"/>
            <w:shd w:val="clear" w:color="000000" w:fill="D0CECE"/>
            <w:vAlign w:val="center"/>
          </w:tcPr>
          <w:p w14:paraId="2E24F4D8">
            <w:pPr>
              <w:pStyle w:val="47"/>
              <w:spacing w:line="560" w:lineRule="exact"/>
              <w:jc w:val="center"/>
              <w:rPr>
                <w:rFonts w:cs="Times New Roman"/>
                <w:b/>
                <w:bCs/>
                <w:sz w:val="24"/>
                <w:szCs w:val="24"/>
              </w:rPr>
            </w:pPr>
            <w:r>
              <w:rPr>
                <w:rFonts w:cs="Times New Roman"/>
                <w:b/>
                <w:bCs/>
                <w:sz w:val="24"/>
                <w:szCs w:val="24"/>
              </w:rPr>
              <w:t>序号</w:t>
            </w:r>
          </w:p>
        </w:tc>
        <w:tc>
          <w:tcPr>
            <w:tcW w:w="2297" w:type="pct"/>
            <w:shd w:val="clear" w:color="000000" w:fill="D0CECE"/>
            <w:vAlign w:val="center"/>
          </w:tcPr>
          <w:p w14:paraId="5C4DFBB0">
            <w:pPr>
              <w:pStyle w:val="47"/>
              <w:spacing w:line="560" w:lineRule="exact"/>
              <w:jc w:val="center"/>
              <w:rPr>
                <w:rFonts w:cs="Times New Roman"/>
                <w:b/>
                <w:bCs/>
                <w:sz w:val="24"/>
                <w:szCs w:val="24"/>
              </w:rPr>
            </w:pPr>
            <w:r>
              <w:rPr>
                <w:rFonts w:cs="Times New Roman"/>
                <w:b/>
                <w:bCs/>
                <w:sz w:val="24"/>
                <w:szCs w:val="24"/>
              </w:rPr>
              <w:t>任务清单</w:t>
            </w:r>
          </w:p>
        </w:tc>
        <w:tc>
          <w:tcPr>
            <w:tcW w:w="1227" w:type="pct"/>
            <w:shd w:val="clear" w:color="000000" w:fill="D0CECE"/>
            <w:vAlign w:val="center"/>
          </w:tcPr>
          <w:p w14:paraId="452C422B">
            <w:pPr>
              <w:pStyle w:val="47"/>
              <w:spacing w:line="560" w:lineRule="exact"/>
              <w:jc w:val="center"/>
              <w:rPr>
                <w:rFonts w:cs="Times New Roman"/>
                <w:b/>
                <w:bCs/>
                <w:sz w:val="24"/>
                <w:szCs w:val="24"/>
              </w:rPr>
            </w:pPr>
            <w:r>
              <w:rPr>
                <w:rFonts w:cs="Times New Roman"/>
                <w:b/>
                <w:bCs/>
                <w:sz w:val="24"/>
                <w:szCs w:val="24"/>
              </w:rPr>
              <w:t>责任单位</w:t>
            </w:r>
          </w:p>
        </w:tc>
        <w:tc>
          <w:tcPr>
            <w:tcW w:w="596" w:type="pct"/>
            <w:shd w:val="clear" w:color="000000" w:fill="D0CECE"/>
            <w:vAlign w:val="center"/>
          </w:tcPr>
          <w:p w14:paraId="2156CC5D">
            <w:pPr>
              <w:pStyle w:val="47"/>
              <w:spacing w:line="560" w:lineRule="exact"/>
              <w:jc w:val="center"/>
              <w:rPr>
                <w:rFonts w:cs="Times New Roman"/>
                <w:b/>
                <w:bCs/>
                <w:sz w:val="24"/>
                <w:szCs w:val="24"/>
              </w:rPr>
            </w:pPr>
            <w:r>
              <w:rPr>
                <w:rFonts w:cs="Times New Roman"/>
                <w:b/>
                <w:bCs/>
                <w:sz w:val="24"/>
                <w:szCs w:val="24"/>
              </w:rPr>
              <w:t>时间要求</w:t>
            </w:r>
          </w:p>
        </w:tc>
      </w:tr>
      <w:tr w14:paraId="1412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6" w:type="pct"/>
            <w:vMerge w:val="restart"/>
            <w:shd w:val="clear" w:color="auto" w:fill="auto"/>
            <w:vAlign w:val="center"/>
          </w:tcPr>
          <w:p w14:paraId="70BCFBEB">
            <w:pPr>
              <w:pStyle w:val="47"/>
              <w:spacing w:line="560" w:lineRule="exact"/>
              <w:jc w:val="center"/>
              <w:rPr>
                <w:rFonts w:cs="Times New Roman"/>
                <w:sz w:val="24"/>
                <w:szCs w:val="24"/>
              </w:rPr>
            </w:pPr>
            <w:r>
              <w:rPr>
                <w:rFonts w:eastAsia="等线" w:cs="Times New Roman"/>
                <w:b/>
                <w:bCs/>
                <w:sz w:val="24"/>
                <w:szCs w:val="24"/>
              </w:rPr>
              <w:t>D1</w:t>
            </w:r>
            <w:r>
              <w:rPr>
                <w:rFonts w:cs="Times New Roman"/>
                <w:b/>
                <w:bCs/>
                <w:sz w:val="24"/>
                <w:szCs w:val="24"/>
              </w:rPr>
              <w:t>监管机制</w:t>
            </w:r>
          </w:p>
        </w:tc>
        <w:tc>
          <w:tcPr>
            <w:tcW w:w="282" w:type="pct"/>
            <w:shd w:val="clear" w:color="auto" w:fill="auto"/>
            <w:vAlign w:val="center"/>
          </w:tcPr>
          <w:p w14:paraId="789AA818">
            <w:pPr>
              <w:pStyle w:val="47"/>
              <w:numPr>
                <w:ilvl w:val="0"/>
                <w:numId w:val="24"/>
              </w:numPr>
              <w:spacing w:line="560" w:lineRule="exact"/>
              <w:jc w:val="center"/>
              <w:rPr>
                <w:rFonts w:cs="Times New Roman"/>
                <w:sz w:val="24"/>
                <w:szCs w:val="24"/>
              </w:rPr>
            </w:pPr>
          </w:p>
        </w:tc>
        <w:tc>
          <w:tcPr>
            <w:tcW w:w="2297" w:type="pct"/>
            <w:shd w:val="clear" w:color="auto" w:fill="auto"/>
            <w:vAlign w:val="center"/>
          </w:tcPr>
          <w:p w14:paraId="3CCBD5F5">
            <w:pPr>
              <w:pStyle w:val="47"/>
              <w:spacing w:line="400" w:lineRule="exact"/>
              <w:jc w:val="center"/>
              <w:rPr>
                <w:rFonts w:cs="Times New Roman"/>
                <w:sz w:val="24"/>
                <w:szCs w:val="24"/>
              </w:rPr>
            </w:pPr>
            <w:r>
              <w:rPr>
                <w:rFonts w:cs="Times New Roman"/>
                <w:sz w:val="24"/>
                <w:szCs w:val="24"/>
              </w:rPr>
              <w:t>完善网格化的固体废物巡查机制</w:t>
            </w:r>
          </w:p>
        </w:tc>
        <w:tc>
          <w:tcPr>
            <w:tcW w:w="1227" w:type="pct"/>
            <w:shd w:val="clear" w:color="auto" w:fill="auto"/>
            <w:vAlign w:val="center"/>
          </w:tcPr>
          <w:p w14:paraId="78E613E6">
            <w:pPr>
              <w:pStyle w:val="47"/>
              <w:spacing w:line="400" w:lineRule="exact"/>
              <w:jc w:val="center"/>
              <w:rPr>
                <w:rFonts w:cs="Times New Roman"/>
                <w:sz w:val="24"/>
                <w:szCs w:val="24"/>
              </w:rPr>
            </w:pPr>
            <w:r>
              <w:rPr>
                <w:rFonts w:cs="Times New Roman"/>
                <w:sz w:val="24"/>
                <w:szCs w:val="24"/>
              </w:rPr>
              <w:t>玄武生态环境局</w:t>
            </w:r>
          </w:p>
        </w:tc>
        <w:tc>
          <w:tcPr>
            <w:tcW w:w="596" w:type="pct"/>
            <w:shd w:val="clear" w:color="auto" w:fill="auto"/>
            <w:vAlign w:val="center"/>
          </w:tcPr>
          <w:p w14:paraId="38CFF6C4">
            <w:pPr>
              <w:pStyle w:val="47"/>
              <w:spacing w:line="400" w:lineRule="exact"/>
              <w:jc w:val="center"/>
              <w:rPr>
                <w:rFonts w:cs="Times New Roman"/>
                <w:sz w:val="24"/>
                <w:szCs w:val="24"/>
              </w:rPr>
            </w:pPr>
            <w:r>
              <w:rPr>
                <w:rFonts w:eastAsia="等线" w:cs="Times New Roman"/>
                <w:sz w:val="24"/>
                <w:szCs w:val="24"/>
              </w:rPr>
              <w:t>2022</w:t>
            </w:r>
            <w:r>
              <w:rPr>
                <w:rFonts w:hint="eastAsia" w:eastAsia="等线" w:cs="Times New Roman"/>
                <w:sz w:val="24"/>
                <w:szCs w:val="24"/>
              </w:rPr>
              <w:t>－</w:t>
            </w:r>
            <w:r>
              <w:rPr>
                <w:rFonts w:eastAsia="等线" w:cs="Times New Roman"/>
                <w:sz w:val="24"/>
                <w:szCs w:val="24"/>
              </w:rPr>
              <w:t>2025</w:t>
            </w:r>
          </w:p>
        </w:tc>
      </w:tr>
      <w:tr w14:paraId="44DF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6" w:type="pct"/>
            <w:vMerge w:val="continue"/>
            <w:shd w:val="clear" w:color="auto" w:fill="auto"/>
            <w:vAlign w:val="center"/>
          </w:tcPr>
          <w:p w14:paraId="6F62687F">
            <w:pPr>
              <w:pStyle w:val="47"/>
              <w:spacing w:line="560" w:lineRule="exact"/>
              <w:jc w:val="center"/>
              <w:rPr>
                <w:rFonts w:cs="Times New Roman"/>
                <w:sz w:val="24"/>
                <w:szCs w:val="24"/>
              </w:rPr>
            </w:pPr>
          </w:p>
        </w:tc>
        <w:tc>
          <w:tcPr>
            <w:tcW w:w="282" w:type="pct"/>
            <w:shd w:val="clear" w:color="auto" w:fill="auto"/>
            <w:vAlign w:val="center"/>
          </w:tcPr>
          <w:p w14:paraId="1D581A30">
            <w:pPr>
              <w:pStyle w:val="47"/>
              <w:numPr>
                <w:ilvl w:val="0"/>
                <w:numId w:val="24"/>
              </w:numPr>
              <w:spacing w:line="560" w:lineRule="exact"/>
              <w:jc w:val="center"/>
              <w:rPr>
                <w:rFonts w:cs="Times New Roman"/>
                <w:sz w:val="24"/>
                <w:szCs w:val="24"/>
              </w:rPr>
            </w:pPr>
          </w:p>
        </w:tc>
        <w:tc>
          <w:tcPr>
            <w:tcW w:w="2297" w:type="pct"/>
            <w:shd w:val="clear" w:color="auto" w:fill="auto"/>
            <w:vAlign w:val="center"/>
          </w:tcPr>
          <w:p w14:paraId="67ACB5B7">
            <w:pPr>
              <w:pStyle w:val="47"/>
              <w:spacing w:line="400" w:lineRule="exact"/>
              <w:jc w:val="center"/>
              <w:rPr>
                <w:rFonts w:cs="Times New Roman"/>
                <w:sz w:val="24"/>
                <w:szCs w:val="24"/>
              </w:rPr>
            </w:pPr>
            <w:r>
              <w:rPr>
                <w:rFonts w:cs="Times New Roman"/>
                <w:sz w:val="24"/>
                <w:szCs w:val="24"/>
              </w:rPr>
              <w:t>建立</w:t>
            </w:r>
            <w:r>
              <w:rPr>
                <w:rFonts w:hint="eastAsia" w:cs="Times New Roman"/>
                <w:sz w:val="24"/>
                <w:szCs w:val="24"/>
              </w:rPr>
              <w:t>“</w:t>
            </w:r>
            <w:r>
              <w:rPr>
                <w:rFonts w:cs="Times New Roman"/>
                <w:sz w:val="24"/>
                <w:szCs w:val="24"/>
              </w:rPr>
              <w:t>一园一策</w:t>
            </w:r>
            <w:r>
              <w:rPr>
                <w:rFonts w:hint="eastAsia" w:cs="Times New Roman"/>
                <w:sz w:val="24"/>
                <w:szCs w:val="24"/>
              </w:rPr>
              <w:t>”“</w:t>
            </w:r>
            <w:r>
              <w:rPr>
                <w:rFonts w:cs="Times New Roman"/>
                <w:sz w:val="24"/>
                <w:szCs w:val="24"/>
              </w:rPr>
              <w:t>一企一策</w:t>
            </w:r>
            <w:r>
              <w:rPr>
                <w:rFonts w:hint="eastAsia" w:cs="Times New Roman"/>
                <w:sz w:val="24"/>
                <w:szCs w:val="24"/>
              </w:rPr>
              <w:t>”</w:t>
            </w:r>
            <w:r>
              <w:rPr>
                <w:rFonts w:cs="Times New Roman"/>
                <w:sz w:val="24"/>
                <w:szCs w:val="24"/>
              </w:rPr>
              <w:t>等重点环境风险源防控体系</w:t>
            </w:r>
          </w:p>
        </w:tc>
        <w:tc>
          <w:tcPr>
            <w:tcW w:w="1227" w:type="pct"/>
            <w:shd w:val="clear" w:color="auto" w:fill="auto"/>
            <w:vAlign w:val="center"/>
          </w:tcPr>
          <w:p w14:paraId="73548560">
            <w:pPr>
              <w:pStyle w:val="47"/>
              <w:spacing w:line="400" w:lineRule="exact"/>
              <w:jc w:val="center"/>
              <w:rPr>
                <w:rFonts w:cs="Times New Roman"/>
                <w:sz w:val="24"/>
                <w:szCs w:val="24"/>
              </w:rPr>
            </w:pPr>
            <w:r>
              <w:rPr>
                <w:rFonts w:cs="Times New Roman"/>
                <w:sz w:val="24"/>
                <w:szCs w:val="24"/>
              </w:rPr>
              <w:t>玄武生态环境局</w:t>
            </w:r>
          </w:p>
        </w:tc>
        <w:tc>
          <w:tcPr>
            <w:tcW w:w="596" w:type="pct"/>
            <w:shd w:val="clear" w:color="auto" w:fill="auto"/>
            <w:vAlign w:val="center"/>
          </w:tcPr>
          <w:p w14:paraId="440E834E">
            <w:pPr>
              <w:pStyle w:val="47"/>
              <w:spacing w:line="400" w:lineRule="exact"/>
              <w:jc w:val="center"/>
              <w:rPr>
                <w:rFonts w:cs="Times New Roman"/>
                <w:sz w:val="24"/>
                <w:szCs w:val="24"/>
              </w:rPr>
            </w:pPr>
            <w:r>
              <w:rPr>
                <w:rFonts w:eastAsia="等线" w:cs="Times New Roman"/>
                <w:sz w:val="24"/>
                <w:szCs w:val="24"/>
              </w:rPr>
              <w:t>2022</w:t>
            </w:r>
            <w:r>
              <w:rPr>
                <w:rFonts w:hint="eastAsia" w:eastAsia="等线" w:cs="Times New Roman"/>
                <w:sz w:val="24"/>
                <w:szCs w:val="24"/>
              </w:rPr>
              <w:t>－</w:t>
            </w:r>
            <w:r>
              <w:rPr>
                <w:rFonts w:eastAsia="等线" w:cs="Times New Roman"/>
                <w:sz w:val="24"/>
                <w:szCs w:val="24"/>
              </w:rPr>
              <w:t>2025</w:t>
            </w:r>
          </w:p>
        </w:tc>
      </w:tr>
      <w:tr w14:paraId="0445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6" w:type="pct"/>
            <w:vMerge w:val="continue"/>
            <w:shd w:val="clear" w:color="auto" w:fill="auto"/>
            <w:vAlign w:val="center"/>
          </w:tcPr>
          <w:p w14:paraId="5D6146C0">
            <w:pPr>
              <w:pStyle w:val="47"/>
              <w:spacing w:line="560" w:lineRule="exact"/>
              <w:jc w:val="center"/>
              <w:rPr>
                <w:rFonts w:cs="Times New Roman"/>
                <w:sz w:val="24"/>
                <w:szCs w:val="24"/>
              </w:rPr>
            </w:pPr>
          </w:p>
        </w:tc>
        <w:tc>
          <w:tcPr>
            <w:tcW w:w="282" w:type="pct"/>
            <w:shd w:val="clear" w:color="auto" w:fill="auto"/>
            <w:vAlign w:val="center"/>
          </w:tcPr>
          <w:p w14:paraId="0F9720B5">
            <w:pPr>
              <w:pStyle w:val="47"/>
              <w:numPr>
                <w:ilvl w:val="0"/>
                <w:numId w:val="24"/>
              </w:numPr>
              <w:spacing w:line="560" w:lineRule="exact"/>
              <w:jc w:val="center"/>
              <w:rPr>
                <w:rFonts w:eastAsia="等线" w:cs="Times New Roman"/>
                <w:sz w:val="24"/>
                <w:szCs w:val="24"/>
              </w:rPr>
            </w:pPr>
          </w:p>
        </w:tc>
        <w:tc>
          <w:tcPr>
            <w:tcW w:w="2297" w:type="pct"/>
            <w:shd w:val="clear" w:color="auto" w:fill="auto"/>
            <w:vAlign w:val="center"/>
          </w:tcPr>
          <w:p w14:paraId="6CAAC637">
            <w:pPr>
              <w:pStyle w:val="47"/>
              <w:spacing w:line="400" w:lineRule="exact"/>
              <w:jc w:val="center"/>
              <w:rPr>
                <w:rFonts w:cs="Times New Roman"/>
                <w:sz w:val="24"/>
                <w:szCs w:val="24"/>
              </w:rPr>
            </w:pPr>
            <w:r>
              <w:rPr>
                <w:rFonts w:cs="Times New Roman"/>
                <w:sz w:val="24"/>
                <w:szCs w:val="24"/>
              </w:rPr>
              <w:t>建立危险废物污染环境事件应急处置机制</w:t>
            </w:r>
          </w:p>
        </w:tc>
        <w:tc>
          <w:tcPr>
            <w:tcW w:w="1227" w:type="pct"/>
            <w:shd w:val="clear" w:color="auto" w:fill="auto"/>
            <w:vAlign w:val="center"/>
          </w:tcPr>
          <w:p w14:paraId="0AC09BF6">
            <w:pPr>
              <w:pStyle w:val="47"/>
              <w:spacing w:line="400" w:lineRule="exact"/>
              <w:jc w:val="center"/>
              <w:rPr>
                <w:rFonts w:cs="Times New Roman"/>
                <w:sz w:val="24"/>
                <w:szCs w:val="24"/>
              </w:rPr>
            </w:pPr>
            <w:r>
              <w:rPr>
                <w:rFonts w:cs="Times New Roman"/>
                <w:sz w:val="24"/>
                <w:szCs w:val="24"/>
              </w:rPr>
              <w:t>玄武生态环境局</w:t>
            </w:r>
          </w:p>
        </w:tc>
        <w:tc>
          <w:tcPr>
            <w:tcW w:w="596" w:type="pct"/>
            <w:shd w:val="clear" w:color="auto" w:fill="auto"/>
            <w:vAlign w:val="center"/>
          </w:tcPr>
          <w:p w14:paraId="3B4669F2">
            <w:pPr>
              <w:pStyle w:val="47"/>
              <w:spacing w:line="400" w:lineRule="exact"/>
              <w:jc w:val="center"/>
              <w:rPr>
                <w:rFonts w:eastAsia="等线" w:cs="Times New Roman"/>
                <w:sz w:val="24"/>
                <w:szCs w:val="24"/>
              </w:rPr>
            </w:pPr>
            <w:r>
              <w:rPr>
                <w:rFonts w:eastAsia="等线" w:cs="Times New Roman"/>
                <w:sz w:val="24"/>
                <w:szCs w:val="24"/>
              </w:rPr>
              <w:t>2022</w:t>
            </w:r>
            <w:r>
              <w:rPr>
                <w:rFonts w:hint="eastAsia" w:eastAsia="等线" w:cs="Times New Roman"/>
                <w:sz w:val="24"/>
                <w:szCs w:val="24"/>
              </w:rPr>
              <w:t>－</w:t>
            </w:r>
            <w:r>
              <w:rPr>
                <w:rFonts w:eastAsia="等线" w:cs="Times New Roman"/>
                <w:sz w:val="24"/>
                <w:szCs w:val="24"/>
              </w:rPr>
              <w:t>2025</w:t>
            </w:r>
          </w:p>
        </w:tc>
      </w:tr>
      <w:tr w14:paraId="6AC4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6" w:type="pct"/>
            <w:vMerge w:val="restart"/>
            <w:shd w:val="clear" w:color="auto" w:fill="auto"/>
            <w:vAlign w:val="center"/>
          </w:tcPr>
          <w:p w14:paraId="463E496F">
            <w:pPr>
              <w:pStyle w:val="47"/>
              <w:spacing w:line="560" w:lineRule="exact"/>
              <w:jc w:val="center"/>
              <w:rPr>
                <w:rFonts w:cs="Times New Roman"/>
                <w:sz w:val="24"/>
                <w:szCs w:val="24"/>
              </w:rPr>
            </w:pPr>
            <w:r>
              <w:rPr>
                <w:rFonts w:eastAsia="等线" w:cs="Times New Roman"/>
                <w:b/>
                <w:bCs/>
                <w:sz w:val="24"/>
                <w:szCs w:val="24"/>
              </w:rPr>
              <w:t>D2</w:t>
            </w:r>
            <w:r>
              <w:rPr>
                <w:rFonts w:cs="Times New Roman"/>
                <w:b/>
                <w:bCs/>
                <w:sz w:val="24"/>
                <w:szCs w:val="24"/>
              </w:rPr>
              <w:t>专项执法</w:t>
            </w:r>
          </w:p>
        </w:tc>
        <w:tc>
          <w:tcPr>
            <w:tcW w:w="282" w:type="pct"/>
            <w:shd w:val="clear" w:color="auto" w:fill="auto"/>
            <w:vAlign w:val="center"/>
          </w:tcPr>
          <w:p w14:paraId="4CBCF65E">
            <w:pPr>
              <w:pStyle w:val="47"/>
              <w:numPr>
                <w:ilvl w:val="0"/>
                <w:numId w:val="25"/>
              </w:numPr>
              <w:spacing w:line="560" w:lineRule="exact"/>
              <w:jc w:val="center"/>
              <w:rPr>
                <w:rFonts w:eastAsia="等线" w:cs="Times New Roman"/>
                <w:sz w:val="24"/>
                <w:szCs w:val="24"/>
              </w:rPr>
            </w:pPr>
          </w:p>
        </w:tc>
        <w:tc>
          <w:tcPr>
            <w:tcW w:w="2297" w:type="pct"/>
            <w:shd w:val="clear" w:color="auto" w:fill="auto"/>
            <w:vAlign w:val="center"/>
          </w:tcPr>
          <w:p w14:paraId="2E67F7E7">
            <w:pPr>
              <w:pStyle w:val="47"/>
              <w:spacing w:line="400" w:lineRule="exact"/>
              <w:jc w:val="center"/>
              <w:rPr>
                <w:rFonts w:cs="Times New Roman"/>
                <w:sz w:val="24"/>
                <w:szCs w:val="24"/>
              </w:rPr>
            </w:pPr>
            <w:r>
              <w:rPr>
                <w:rFonts w:cs="Times New Roman"/>
                <w:sz w:val="24"/>
                <w:szCs w:val="24"/>
              </w:rPr>
              <w:t>开展危险废物等安全专项整治行动</w:t>
            </w:r>
          </w:p>
        </w:tc>
        <w:tc>
          <w:tcPr>
            <w:tcW w:w="1227" w:type="pct"/>
            <w:shd w:val="clear" w:color="auto" w:fill="auto"/>
            <w:vAlign w:val="center"/>
          </w:tcPr>
          <w:p w14:paraId="43319554">
            <w:pPr>
              <w:pStyle w:val="47"/>
              <w:spacing w:line="400" w:lineRule="exact"/>
              <w:jc w:val="center"/>
              <w:rPr>
                <w:rFonts w:cs="Times New Roman"/>
                <w:sz w:val="24"/>
                <w:szCs w:val="24"/>
              </w:rPr>
            </w:pPr>
            <w:r>
              <w:rPr>
                <w:rFonts w:cs="Times New Roman"/>
                <w:sz w:val="24"/>
                <w:szCs w:val="24"/>
              </w:rPr>
              <w:t>玄武生态环境局</w:t>
            </w:r>
          </w:p>
        </w:tc>
        <w:tc>
          <w:tcPr>
            <w:tcW w:w="596" w:type="pct"/>
            <w:shd w:val="clear" w:color="auto" w:fill="auto"/>
            <w:vAlign w:val="center"/>
          </w:tcPr>
          <w:p w14:paraId="559511E3">
            <w:pPr>
              <w:pStyle w:val="47"/>
              <w:spacing w:line="400" w:lineRule="exact"/>
              <w:jc w:val="center"/>
              <w:rPr>
                <w:rFonts w:eastAsia="等线" w:cs="Times New Roman"/>
                <w:sz w:val="24"/>
                <w:szCs w:val="24"/>
              </w:rPr>
            </w:pPr>
            <w:r>
              <w:rPr>
                <w:rFonts w:cs="Times New Roman"/>
                <w:sz w:val="24"/>
                <w:szCs w:val="24"/>
              </w:rPr>
              <w:t>持续推进</w:t>
            </w:r>
          </w:p>
        </w:tc>
      </w:tr>
      <w:tr w14:paraId="758F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6" w:type="pct"/>
            <w:vMerge w:val="continue"/>
            <w:shd w:val="clear" w:color="auto" w:fill="auto"/>
            <w:vAlign w:val="center"/>
          </w:tcPr>
          <w:p w14:paraId="519271B9">
            <w:pPr>
              <w:pStyle w:val="47"/>
              <w:spacing w:line="560" w:lineRule="exact"/>
              <w:jc w:val="center"/>
              <w:rPr>
                <w:rFonts w:cs="Times New Roman"/>
                <w:sz w:val="24"/>
                <w:szCs w:val="24"/>
              </w:rPr>
            </w:pPr>
          </w:p>
        </w:tc>
        <w:tc>
          <w:tcPr>
            <w:tcW w:w="282" w:type="pct"/>
            <w:shd w:val="clear" w:color="auto" w:fill="auto"/>
            <w:vAlign w:val="center"/>
          </w:tcPr>
          <w:p w14:paraId="29324243">
            <w:pPr>
              <w:pStyle w:val="47"/>
              <w:numPr>
                <w:ilvl w:val="0"/>
                <w:numId w:val="25"/>
              </w:numPr>
              <w:spacing w:line="560" w:lineRule="exact"/>
              <w:jc w:val="center"/>
              <w:rPr>
                <w:rFonts w:eastAsia="等线" w:cs="Times New Roman"/>
                <w:sz w:val="24"/>
                <w:szCs w:val="24"/>
              </w:rPr>
            </w:pPr>
          </w:p>
        </w:tc>
        <w:tc>
          <w:tcPr>
            <w:tcW w:w="2297" w:type="pct"/>
            <w:shd w:val="clear" w:color="auto" w:fill="auto"/>
            <w:vAlign w:val="center"/>
          </w:tcPr>
          <w:p w14:paraId="3680B6B2">
            <w:pPr>
              <w:pStyle w:val="47"/>
              <w:spacing w:line="400" w:lineRule="exact"/>
              <w:jc w:val="center"/>
              <w:rPr>
                <w:rFonts w:cs="Times New Roman"/>
                <w:sz w:val="24"/>
                <w:szCs w:val="24"/>
              </w:rPr>
            </w:pPr>
            <w:r>
              <w:rPr>
                <w:rFonts w:cs="Times New Roman"/>
                <w:sz w:val="24"/>
                <w:szCs w:val="24"/>
              </w:rPr>
              <w:t>开展危险废物规范化管理评估</w:t>
            </w:r>
          </w:p>
        </w:tc>
        <w:tc>
          <w:tcPr>
            <w:tcW w:w="1227" w:type="pct"/>
            <w:shd w:val="clear" w:color="auto" w:fill="auto"/>
            <w:vAlign w:val="center"/>
          </w:tcPr>
          <w:p w14:paraId="4003A667">
            <w:pPr>
              <w:pStyle w:val="47"/>
              <w:spacing w:line="400" w:lineRule="exact"/>
              <w:jc w:val="center"/>
              <w:rPr>
                <w:rFonts w:cs="Times New Roman"/>
                <w:sz w:val="24"/>
                <w:szCs w:val="24"/>
              </w:rPr>
            </w:pPr>
            <w:r>
              <w:rPr>
                <w:rFonts w:cs="Times New Roman"/>
                <w:sz w:val="24"/>
                <w:szCs w:val="24"/>
              </w:rPr>
              <w:t>玄武生态环境局</w:t>
            </w:r>
          </w:p>
        </w:tc>
        <w:tc>
          <w:tcPr>
            <w:tcW w:w="596" w:type="pct"/>
            <w:shd w:val="clear" w:color="auto" w:fill="auto"/>
            <w:vAlign w:val="center"/>
          </w:tcPr>
          <w:p w14:paraId="723DDDB6">
            <w:pPr>
              <w:pStyle w:val="47"/>
              <w:spacing w:line="400" w:lineRule="exact"/>
              <w:jc w:val="center"/>
              <w:rPr>
                <w:rFonts w:eastAsia="等线" w:cs="Times New Roman"/>
                <w:sz w:val="24"/>
                <w:szCs w:val="24"/>
              </w:rPr>
            </w:pPr>
            <w:r>
              <w:rPr>
                <w:rFonts w:cs="Times New Roman"/>
                <w:sz w:val="24"/>
                <w:szCs w:val="24"/>
              </w:rPr>
              <w:t>持续推进</w:t>
            </w:r>
          </w:p>
        </w:tc>
      </w:tr>
      <w:tr w14:paraId="74E2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6" w:type="pct"/>
            <w:vMerge w:val="continue"/>
            <w:shd w:val="clear" w:color="auto" w:fill="auto"/>
            <w:vAlign w:val="center"/>
          </w:tcPr>
          <w:p w14:paraId="583FE3ED">
            <w:pPr>
              <w:pStyle w:val="47"/>
              <w:spacing w:line="560" w:lineRule="exact"/>
              <w:jc w:val="center"/>
              <w:rPr>
                <w:rFonts w:cs="Times New Roman"/>
                <w:sz w:val="24"/>
                <w:szCs w:val="24"/>
              </w:rPr>
            </w:pPr>
          </w:p>
        </w:tc>
        <w:tc>
          <w:tcPr>
            <w:tcW w:w="282" w:type="pct"/>
            <w:shd w:val="clear" w:color="auto" w:fill="auto"/>
            <w:vAlign w:val="center"/>
          </w:tcPr>
          <w:p w14:paraId="67F039D4">
            <w:pPr>
              <w:pStyle w:val="47"/>
              <w:numPr>
                <w:ilvl w:val="0"/>
                <w:numId w:val="25"/>
              </w:numPr>
              <w:spacing w:line="560" w:lineRule="exact"/>
              <w:jc w:val="center"/>
              <w:rPr>
                <w:rFonts w:eastAsia="等线" w:cs="Times New Roman"/>
                <w:sz w:val="24"/>
                <w:szCs w:val="24"/>
              </w:rPr>
            </w:pPr>
          </w:p>
        </w:tc>
        <w:tc>
          <w:tcPr>
            <w:tcW w:w="2297" w:type="pct"/>
            <w:shd w:val="clear" w:color="auto" w:fill="auto"/>
            <w:vAlign w:val="center"/>
          </w:tcPr>
          <w:p w14:paraId="42D02A57">
            <w:pPr>
              <w:pStyle w:val="47"/>
              <w:spacing w:line="400" w:lineRule="exact"/>
              <w:jc w:val="center"/>
              <w:rPr>
                <w:rFonts w:cs="Times New Roman"/>
                <w:sz w:val="24"/>
                <w:szCs w:val="24"/>
              </w:rPr>
            </w:pPr>
            <w:r>
              <w:rPr>
                <w:rFonts w:cs="Times New Roman"/>
                <w:sz w:val="24"/>
                <w:szCs w:val="24"/>
              </w:rPr>
              <w:t>开展垃圾分类执法检查</w:t>
            </w:r>
          </w:p>
        </w:tc>
        <w:tc>
          <w:tcPr>
            <w:tcW w:w="1227" w:type="pct"/>
            <w:shd w:val="clear" w:color="auto" w:fill="auto"/>
            <w:vAlign w:val="center"/>
          </w:tcPr>
          <w:p w14:paraId="1D2338C5">
            <w:pPr>
              <w:pStyle w:val="47"/>
              <w:spacing w:line="400" w:lineRule="exact"/>
              <w:jc w:val="center"/>
              <w:rPr>
                <w:rFonts w:cs="Times New Roman"/>
                <w:sz w:val="24"/>
                <w:szCs w:val="24"/>
              </w:rPr>
            </w:pPr>
            <w:r>
              <w:rPr>
                <w:rFonts w:cs="Times New Roman"/>
                <w:sz w:val="24"/>
                <w:szCs w:val="24"/>
              </w:rPr>
              <w:t>区城管局</w:t>
            </w:r>
          </w:p>
        </w:tc>
        <w:tc>
          <w:tcPr>
            <w:tcW w:w="596" w:type="pct"/>
            <w:shd w:val="clear" w:color="auto" w:fill="auto"/>
            <w:vAlign w:val="center"/>
          </w:tcPr>
          <w:p w14:paraId="58947BB1">
            <w:pPr>
              <w:pStyle w:val="47"/>
              <w:spacing w:line="400" w:lineRule="exact"/>
              <w:jc w:val="center"/>
              <w:rPr>
                <w:rFonts w:cs="Times New Roman"/>
                <w:sz w:val="24"/>
                <w:szCs w:val="24"/>
              </w:rPr>
            </w:pPr>
            <w:r>
              <w:rPr>
                <w:rFonts w:cs="Times New Roman"/>
                <w:sz w:val="24"/>
                <w:szCs w:val="24"/>
              </w:rPr>
              <w:t>持续推进</w:t>
            </w:r>
          </w:p>
        </w:tc>
      </w:tr>
      <w:tr w14:paraId="0A33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6" w:type="pct"/>
            <w:vMerge w:val="continue"/>
            <w:shd w:val="clear" w:color="auto" w:fill="auto"/>
            <w:vAlign w:val="center"/>
          </w:tcPr>
          <w:p w14:paraId="4334F47C">
            <w:pPr>
              <w:pStyle w:val="47"/>
              <w:spacing w:line="560" w:lineRule="exact"/>
              <w:jc w:val="center"/>
              <w:rPr>
                <w:rFonts w:cs="Times New Roman"/>
                <w:sz w:val="24"/>
                <w:szCs w:val="24"/>
              </w:rPr>
            </w:pPr>
          </w:p>
        </w:tc>
        <w:tc>
          <w:tcPr>
            <w:tcW w:w="282" w:type="pct"/>
            <w:shd w:val="clear" w:color="auto" w:fill="auto"/>
            <w:vAlign w:val="center"/>
          </w:tcPr>
          <w:p w14:paraId="5FD2F5B4">
            <w:pPr>
              <w:pStyle w:val="47"/>
              <w:numPr>
                <w:ilvl w:val="0"/>
                <w:numId w:val="25"/>
              </w:numPr>
              <w:spacing w:line="560" w:lineRule="exact"/>
              <w:jc w:val="center"/>
              <w:rPr>
                <w:rFonts w:eastAsia="等线" w:cs="Times New Roman"/>
                <w:sz w:val="24"/>
                <w:szCs w:val="24"/>
              </w:rPr>
            </w:pPr>
          </w:p>
        </w:tc>
        <w:tc>
          <w:tcPr>
            <w:tcW w:w="2297" w:type="pct"/>
            <w:shd w:val="clear" w:color="auto" w:fill="auto"/>
            <w:vAlign w:val="center"/>
          </w:tcPr>
          <w:p w14:paraId="26DCCA29">
            <w:pPr>
              <w:pStyle w:val="47"/>
              <w:spacing w:line="400" w:lineRule="exact"/>
              <w:jc w:val="center"/>
              <w:rPr>
                <w:rFonts w:cs="Times New Roman"/>
                <w:sz w:val="24"/>
                <w:szCs w:val="24"/>
              </w:rPr>
            </w:pPr>
            <w:r>
              <w:rPr>
                <w:rFonts w:cs="Times New Roman"/>
                <w:sz w:val="24"/>
                <w:szCs w:val="24"/>
              </w:rPr>
              <w:t>开展塑料污染专项整治</w:t>
            </w:r>
          </w:p>
        </w:tc>
        <w:tc>
          <w:tcPr>
            <w:tcW w:w="1227" w:type="pct"/>
            <w:shd w:val="clear" w:color="auto" w:fill="auto"/>
            <w:vAlign w:val="center"/>
          </w:tcPr>
          <w:p w14:paraId="2E5EDCF1">
            <w:pPr>
              <w:pStyle w:val="47"/>
              <w:spacing w:line="400" w:lineRule="exact"/>
              <w:jc w:val="center"/>
              <w:rPr>
                <w:rFonts w:cs="Times New Roman"/>
                <w:sz w:val="24"/>
                <w:szCs w:val="24"/>
              </w:rPr>
            </w:pPr>
            <w:r>
              <w:rPr>
                <w:rFonts w:cs="Times New Roman"/>
                <w:sz w:val="24"/>
                <w:szCs w:val="24"/>
              </w:rPr>
              <w:t>区发改委</w:t>
            </w:r>
          </w:p>
        </w:tc>
        <w:tc>
          <w:tcPr>
            <w:tcW w:w="596" w:type="pct"/>
            <w:shd w:val="clear" w:color="auto" w:fill="auto"/>
            <w:vAlign w:val="center"/>
          </w:tcPr>
          <w:p w14:paraId="2AE4ECD3">
            <w:pPr>
              <w:pStyle w:val="47"/>
              <w:spacing w:line="400" w:lineRule="exact"/>
              <w:jc w:val="center"/>
              <w:rPr>
                <w:rFonts w:eastAsia="等线" w:cs="Times New Roman"/>
                <w:sz w:val="24"/>
                <w:szCs w:val="24"/>
              </w:rPr>
            </w:pPr>
            <w:r>
              <w:rPr>
                <w:rFonts w:cs="Times New Roman"/>
                <w:sz w:val="24"/>
                <w:szCs w:val="24"/>
              </w:rPr>
              <w:t>持续推进</w:t>
            </w:r>
          </w:p>
        </w:tc>
      </w:tr>
      <w:tr w14:paraId="1FF9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6" w:type="pct"/>
            <w:shd w:val="clear" w:color="auto" w:fill="auto"/>
            <w:vAlign w:val="center"/>
          </w:tcPr>
          <w:p w14:paraId="39C778E7">
            <w:pPr>
              <w:pStyle w:val="47"/>
              <w:spacing w:line="560" w:lineRule="exact"/>
              <w:jc w:val="center"/>
              <w:rPr>
                <w:rFonts w:eastAsia="等线" w:cs="Times New Roman"/>
                <w:b/>
                <w:bCs/>
                <w:sz w:val="24"/>
                <w:szCs w:val="24"/>
              </w:rPr>
            </w:pPr>
            <w:r>
              <w:rPr>
                <w:rFonts w:eastAsia="等线" w:cs="Times New Roman"/>
                <w:b/>
                <w:bCs/>
                <w:sz w:val="24"/>
                <w:szCs w:val="24"/>
              </w:rPr>
              <w:t>D3</w:t>
            </w:r>
            <w:r>
              <w:rPr>
                <w:rFonts w:cs="Times New Roman"/>
                <w:b/>
                <w:bCs/>
                <w:sz w:val="24"/>
                <w:szCs w:val="24"/>
              </w:rPr>
              <w:t>信息化平台</w:t>
            </w:r>
          </w:p>
        </w:tc>
        <w:tc>
          <w:tcPr>
            <w:tcW w:w="282" w:type="pct"/>
            <w:shd w:val="clear" w:color="auto" w:fill="auto"/>
            <w:vAlign w:val="center"/>
          </w:tcPr>
          <w:p w14:paraId="5E27B99A">
            <w:pPr>
              <w:pStyle w:val="47"/>
              <w:numPr>
                <w:ilvl w:val="0"/>
                <w:numId w:val="26"/>
              </w:numPr>
              <w:spacing w:line="560" w:lineRule="exact"/>
              <w:jc w:val="center"/>
              <w:rPr>
                <w:rFonts w:eastAsia="等线" w:cs="Times New Roman"/>
                <w:sz w:val="24"/>
                <w:szCs w:val="24"/>
              </w:rPr>
            </w:pPr>
          </w:p>
        </w:tc>
        <w:tc>
          <w:tcPr>
            <w:tcW w:w="2297" w:type="pct"/>
            <w:shd w:val="clear" w:color="auto" w:fill="auto"/>
            <w:vAlign w:val="center"/>
          </w:tcPr>
          <w:p w14:paraId="453F4B1A">
            <w:pPr>
              <w:pStyle w:val="47"/>
              <w:spacing w:line="300" w:lineRule="exact"/>
              <w:jc w:val="center"/>
              <w:rPr>
                <w:rFonts w:cs="Times New Roman"/>
                <w:sz w:val="24"/>
                <w:szCs w:val="24"/>
              </w:rPr>
            </w:pPr>
            <w:r>
              <w:rPr>
                <w:rFonts w:cs="Times New Roman"/>
                <w:sz w:val="24"/>
                <w:szCs w:val="24"/>
              </w:rPr>
              <w:t>配合市级部门完善固体废物环境信息管理，</w:t>
            </w:r>
          </w:p>
          <w:p w14:paraId="758592E7">
            <w:pPr>
              <w:pStyle w:val="47"/>
              <w:spacing w:line="300" w:lineRule="exact"/>
              <w:jc w:val="center"/>
              <w:rPr>
                <w:rFonts w:cs="Times New Roman"/>
                <w:sz w:val="24"/>
                <w:szCs w:val="24"/>
              </w:rPr>
            </w:pPr>
            <w:r>
              <w:rPr>
                <w:rFonts w:cs="Times New Roman"/>
                <w:sz w:val="24"/>
                <w:szCs w:val="24"/>
              </w:rPr>
              <w:t>建立</w:t>
            </w:r>
            <w:r>
              <w:rPr>
                <w:rFonts w:hint="eastAsia" w:cs="Times New Roman"/>
                <w:sz w:val="24"/>
                <w:szCs w:val="24"/>
              </w:rPr>
              <w:t>“</w:t>
            </w:r>
            <w:r>
              <w:rPr>
                <w:rFonts w:cs="Times New Roman"/>
                <w:sz w:val="24"/>
                <w:szCs w:val="24"/>
              </w:rPr>
              <w:t>无废城市</w:t>
            </w:r>
            <w:r>
              <w:rPr>
                <w:rFonts w:hint="eastAsia" w:cs="Times New Roman"/>
                <w:sz w:val="24"/>
                <w:szCs w:val="24"/>
              </w:rPr>
              <w:t>”</w:t>
            </w:r>
            <w:r>
              <w:rPr>
                <w:rFonts w:cs="Times New Roman"/>
                <w:sz w:val="24"/>
                <w:szCs w:val="24"/>
              </w:rPr>
              <w:t>智慧管理平台</w:t>
            </w:r>
          </w:p>
        </w:tc>
        <w:tc>
          <w:tcPr>
            <w:tcW w:w="1227" w:type="pct"/>
            <w:shd w:val="clear" w:color="auto" w:fill="auto"/>
            <w:vAlign w:val="center"/>
          </w:tcPr>
          <w:p w14:paraId="5B413577">
            <w:pPr>
              <w:pStyle w:val="47"/>
              <w:spacing w:line="300" w:lineRule="exact"/>
              <w:jc w:val="center"/>
              <w:rPr>
                <w:rFonts w:cs="Times New Roman"/>
                <w:sz w:val="24"/>
                <w:szCs w:val="24"/>
              </w:rPr>
            </w:pPr>
            <w:r>
              <w:rPr>
                <w:rFonts w:cs="Times New Roman"/>
                <w:sz w:val="24"/>
                <w:szCs w:val="24"/>
              </w:rPr>
              <w:t>玄武生态环境局、</w:t>
            </w:r>
          </w:p>
          <w:p w14:paraId="4FD39845">
            <w:pPr>
              <w:pStyle w:val="47"/>
              <w:spacing w:line="300" w:lineRule="exact"/>
              <w:jc w:val="center"/>
              <w:rPr>
                <w:rFonts w:cs="Times New Roman"/>
                <w:sz w:val="24"/>
                <w:szCs w:val="24"/>
              </w:rPr>
            </w:pPr>
            <w:r>
              <w:rPr>
                <w:rFonts w:cs="Times New Roman"/>
                <w:sz w:val="24"/>
                <w:szCs w:val="24"/>
              </w:rPr>
              <w:t>区城管局、区房产局、</w:t>
            </w:r>
          </w:p>
          <w:p w14:paraId="45A0413B">
            <w:pPr>
              <w:pStyle w:val="47"/>
              <w:spacing w:line="300" w:lineRule="exact"/>
              <w:jc w:val="center"/>
              <w:rPr>
                <w:rFonts w:cs="Times New Roman"/>
                <w:sz w:val="24"/>
                <w:szCs w:val="24"/>
              </w:rPr>
            </w:pPr>
            <w:r>
              <w:rPr>
                <w:rFonts w:cs="Times New Roman"/>
                <w:sz w:val="24"/>
                <w:szCs w:val="24"/>
              </w:rPr>
              <w:t>区建设局、区商务局</w:t>
            </w:r>
          </w:p>
        </w:tc>
        <w:tc>
          <w:tcPr>
            <w:tcW w:w="596" w:type="pct"/>
            <w:shd w:val="clear" w:color="auto" w:fill="auto"/>
            <w:vAlign w:val="center"/>
          </w:tcPr>
          <w:p w14:paraId="133AA2CD">
            <w:pPr>
              <w:pStyle w:val="47"/>
              <w:spacing w:line="300" w:lineRule="exact"/>
              <w:jc w:val="center"/>
              <w:rPr>
                <w:rFonts w:eastAsia="等线" w:cs="Times New Roman"/>
                <w:sz w:val="24"/>
                <w:szCs w:val="24"/>
              </w:rPr>
            </w:pPr>
            <w:r>
              <w:rPr>
                <w:rFonts w:eastAsia="等线" w:cs="Times New Roman"/>
                <w:sz w:val="24"/>
                <w:szCs w:val="24"/>
              </w:rPr>
              <w:t>2022</w:t>
            </w:r>
            <w:r>
              <w:rPr>
                <w:rFonts w:hint="eastAsia" w:eastAsia="等线" w:cs="Times New Roman"/>
                <w:sz w:val="24"/>
                <w:szCs w:val="24"/>
              </w:rPr>
              <w:t>－</w:t>
            </w:r>
            <w:r>
              <w:rPr>
                <w:rFonts w:eastAsia="等线" w:cs="Times New Roman"/>
                <w:sz w:val="24"/>
                <w:szCs w:val="24"/>
              </w:rPr>
              <w:t>2025</w:t>
            </w:r>
          </w:p>
        </w:tc>
      </w:tr>
    </w:tbl>
    <w:p w14:paraId="3001ADA6">
      <w:pPr>
        <w:pStyle w:val="2"/>
        <w:spacing w:beforeLines="0" w:after="0"/>
        <w:rPr>
          <w:rFonts w:ascii="方正黑体_GBK" w:cs="Times New Roman"/>
          <w:szCs w:val="28"/>
        </w:rPr>
        <w:sectPr>
          <w:pgSz w:w="16838" w:h="11906" w:orient="landscape"/>
          <w:pgMar w:top="1588" w:right="2098" w:bottom="1474" w:left="1701" w:header="851" w:footer="1247" w:gutter="0"/>
          <w:cols w:space="0" w:num="1"/>
          <w:docGrid w:type="linesAndChars" w:linePitch="449" w:charSpace="0"/>
        </w:sectPr>
      </w:pPr>
    </w:p>
    <w:p w14:paraId="5F3CB656">
      <w:pPr>
        <w:pStyle w:val="2"/>
        <w:numPr>
          <w:ilvl w:val="0"/>
          <w:numId w:val="0"/>
        </w:numPr>
        <w:spacing w:beforeLines="0" w:after="0"/>
        <w:rPr>
          <w:rFonts w:ascii="方正黑体_GBK" w:cs="Times New Roman"/>
          <w:szCs w:val="28"/>
        </w:rPr>
      </w:pPr>
      <w:bookmarkStart w:id="165" w:name="_Toc140150530"/>
      <w:r>
        <w:rPr>
          <w:rFonts w:hint="eastAsia" w:ascii="方正黑体_GBK" w:cs="Times New Roman"/>
          <w:szCs w:val="28"/>
        </w:rPr>
        <w:t>第六章 工程项目</w:t>
      </w:r>
      <w:bookmarkEnd w:id="165"/>
    </w:p>
    <w:p w14:paraId="36CFE1F5">
      <w:pPr>
        <w:ind w:firstLine="640" w:firstLineChars="200"/>
        <w:rPr>
          <w:rFonts w:cs="Times New Roman"/>
          <w:snapToGrid w:val="0"/>
          <w:szCs w:val="32"/>
        </w:rPr>
        <w:sectPr>
          <w:pgSz w:w="11906" w:h="16838"/>
          <w:pgMar w:top="2098" w:right="1474" w:bottom="1701" w:left="1588" w:header="851" w:footer="1247" w:gutter="0"/>
          <w:cols w:space="0" w:num="1"/>
          <w:docGrid w:type="lines" w:linePitch="449" w:charSpace="0"/>
        </w:sectPr>
      </w:pPr>
      <w:r>
        <w:rPr>
          <w:rFonts w:cs="Times New Roman"/>
          <w:snapToGrid w:val="0"/>
          <w:szCs w:val="32"/>
        </w:rPr>
        <w:t>为</w:t>
      </w:r>
      <w:r>
        <w:rPr>
          <w:rFonts w:hint="eastAsia" w:cs="Times New Roman"/>
          <w:snapToGrid w:val="0"/>
          <w:szCs w:val="32"/>
        </w:rPr>
        <w:t>确保</w:t>
      </w:r>
      <w:r>
        <w:rPr>
          <w:rFonts w:cs="Times New Roman"/>
          <w:snapToGrid w:val="0"/>
          <w:szCs w:val="32"/>
        </w:rPr>
        <w:t>各项任务落实和各项指标的</w:t>
      </w:r>
      <w:r>
        <w:rPr>
          <w:rFonts w:hint="eastAsia" w:cs="Times New Roman"/>
          <w:snapToGrid w:val="0"/>
          <w:szCs w:val="32"/>
        </w:rPr>
        <w:t>完成</w:t>
      </w:r>
      <w:r>
        <w:rPr>
          <w:rFonts w:cs="Times New Roman"/>
          <w:snapToGrid w:val="0"/>
          <w:szCs w:val="32"/>
        </w:rPr>
        <w:t>，提出包含源头减量、集中收运、重点</w:t>
      </w:r>
      <w:r>
        <w:rPr>
          <w:rFonts w:hint="eastAsia" w:cs="Times New Roman"/>
          <w:snapToGrid w:val="0"/>
          <w:szCs w:val="32"/>
        </w:rPr>
        <w:t>“</w:t>
      </w:r>
      <w:r>
        <w:rPr>
          <w:rFonts w:cs="Times New Roman"/>
          <w:snapToGrid w:val="0"/>
          <w:szCs w:val="32"/>
        </w:rPr>
        <w:t>无废细胞</w:t>
      </w:r>
      <w:r>
        <w:rPr>
          <w:rFonts w:hint="eastAsia" w:cs="Times New Roman"/>
          <w:snapToGrid w:val="0"/>
          <w:szCs w:val="32"/>
        </w:rPr>
        <w:t>”</w:t>
      </w:r>
      <w:r>
        <w:rPr>
          <w:rFonts w:cs="Times New Roman"/>
          <w:snapToGrid w:val="0"/>
          <w:szCs w:val="32"/>
        </w:rPr>
        <w:t>建设等三个方面</w:t>
      </w:r>
      <w:r>
        <w:rPr>
          <w:rFonts w:hint="eastAsia" w:cs="Times New Roman"/>
          <w:snapToGrid w:val="0"/>
          <w:szCs w:val="32"/>
        </w:rPr>
        <w:t>，共</w:t>
      </w:r>
      <w:r>
        <w:rPr>
          <w:rFonts w:cs="Times New Roman"/>
          <w:snapToGrid w:val="0"/>
          <w:szCs w:val="32"/>
        </w:rPr>
        <w:t>9</w:t>
      </w:r>
      <w:r>
        <w:rPr>
          <w:rFonts w:hint="eastAsia" w:cs="Times New Roman"/>
          <w:snapToGrid w:val="0"/>
          <w:szCs w:val="32"/>
        </w:rPr>
        <w:t>个</w:t>
      </w:r>
      <w:r>
        <w:rPr>
          <w:rFonts w:cs="Times New Roman"/>
          <w:snapToGrid w:val="0"/>
          <w:szCs w:val="32"/>
        </w:rPr>
        <w:t>配套重点工程项目。</w:t>
      </w:r>
    </w:p>
    <w:p w14:paraId="3D1E9516">
      <w:pPr>
        <w:ind w:firstLine="480" w:firstLineChars="200"/>
        <w:jc w:val="center"/>
        <w:rPr>
          <w:rFonts w:cs="Times New Roman"/>
          <w:b/>
          <w:bCs/>
          <w:sz w:val="24"/>
          <w:szCs w:val="21"/>
        </w:rPr>
      </w:pPr>
      <w:r>
        <w:rPr>
          <w:rFonts w:cs="Times New Roman"/>
          <w:b/>
          <w:bCs/>
          <w:sz w:val="24"/>
          <w:szCs w:val="21"/>
        </w:rPr>
        <w:t>表6.1</w:t>
      </w:r>
      <w:r>
        <w:rPr>
          <w:rFonts w:hint="eastAsia" w:cs="Times New Roman"/>
          <w:b/>
          <w:bCs/>
          <w:sz w:val="24"/>
          <w:szCs w:val="21"/>
        </w:rPr>
        <w:t>－</w:t>
      </w:r>
      <w:r>
        <w:rPr>
          <w:rFonts w:cs="Times New Roman"/>
          <w:b/>
          <w:bCs/>
          <w:sz w:val="24"/>
          <w:szCs w:val="21"/>
        </w:rPr>
        <w:t>1 玄武区</w:t>
      </w:r>
      <w:r>
        <w:rPr>
          <w:rFonts w:hint="eastAsia" w:cs="Times New Roman"/>
          <w:b/>
          <w:bCs/>
          <w:sz w:val="24"/>
          <w:szCs w:val="21"/>
        </w:rPr>
        <w:t>“</w:t>
      </w:r>
      <w:r>
        <w:rPr>
          <w:rFonts w:cs="Times New Roman"/>
          <w:b/>
          <w:bCs/>
          <w:sz w:val="24"/>
          <w:szCs w:val="21"/>
        </w:rPr>
        <w:t>无废城市</w:t>
      </w:r>
      <w:r>
        <w:rPr>
          <w:rFonts w:hint="eastAsia" w:cs="Times New Roman"/>
          <w:b/>
          <w:bCs/>
          <w:sz w:val="24"/>
          <w:szCs w:val="21"/>
        </w:rPr>
        <w:t>”</w:t>
      </w:r>
      <w:r>
        <w:rPr>
          <w:rFonts w:cs="Times New Roman"/>
          <w:b/>
          <w:bCs/>
          <w:sz w:val="24"/>
          <w:szCs w:val="21"/>
        </w:rPr>
        <w:t>工程建设项目清单</w:t>
      </w:r>
    </w:p>
    <w:tbl>
      <w:tblPr>
        <w:tblStyle w:val="23"/>
        <w:tblW w:w="54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704"/>
        <w:gridCol w:w="1728"/>
        <w:gridCol w:w="4195"/>
        <w:gridCol w:w="1239"/>
        <w:gridCol w:w="777"/>
        <w:gridCol w:w="1434"/>
        <w:gridCol w:w="1548"/>
        <w:gridCol w:w="1338"/>
      </w:tblGrid>
      <w:tr w14:paraId="6483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40" w:type="pct"/>
            <w:shd w:val="clear" w:color="000000" w:fill="E7E6E6"/>
            <w:vAlign w:val="center"/>
          </w:tcPr>
          <w:p w14:paraId="722CD0B6">
            <w:pPr>
              <w:pStyle w:val="47"/>
              <w:snapToGrid w:val="0"/>
              <w:spacing w:line="400" w:lineRule="exact"/>
              <w:jc w:val="center"/>
              <w:rPr>
                <w:rFonts w:cs="Times New Roman"/>
                <w:b/>
                <w:bCs/>
                <w:sz w:val="24"/>
                <w:szCs w:val="24"/>
              </w:rPr>
            </w:pPr>
            <w:r>
              <w:rPr>
                <w:rFonts w:cs="Times New Roman"/>
                <w:b/>
                <w:bCs/>
                <w:sz w:val="24"/>
                <w:szCs w:val="24"/>
              </w:rPr>
              <w:t>类型</w:t>
            </w:r>
          </w:p>
        </w:tc>
        <w:tc>
          <w:tcPr>
            <w:tcW w:w="242" w:type="pct"/>
            <w:shd w:val="clear" w:color="000000" w:fill="E7E6E6"/>
            <w:vAlign w:val="center"/>
          </w:tcPr>
          <w:p w14:paraId="4A997063">
            <w:pPr>
              <w:pStyle w:val="47"/>
              <w:snapToGrid w:val="0"/>
              <w:spacing w:line="400" w:lineRule="exact"/>
              <w:jc w:val="center"/>
              <w:rPr>
                <w:rFonts w:cs="Times New Roman"/>
                <w:b/>
                <w:bCs/>
                <w:sz w:val="24"/>
                <w:szCs w:val="24"/>
              </w:rPr>
            </w:pPr>
            <w:r>
              <w:rPr>
                <w:rFonts w:cs="Times New Roman"/>
                <w:b/>
                <w:bCs/>
                <w:sz w:val="24"/>
                <w:szCs w:val="24"/>
              </w:rPr>
              <w:t>序号</w:t>
            </w:r>
          </w:p>
        </w:tc>
        <w:tc>
          <w:tcPr>
            <w:tcW w:w="594" w:type="pct"/>
            <w:shd w:val="clear" w:color="000000" w:fill="E7E6E6"/>
            <w:vAlign w:val="center"/>
          </w:tcPr>
          <w:p w14:paraId="562CB6B7">
            <w:pPr>
              <w:pStyle w:val="47"/>
              <w:snapToGrid w:val="0"/>
              <w:spacing w:line="400" w:lineRule="exact"/>
              <w:jc w:val="center"/>
              <w:rPr>
                <w:rFonts w:cs="Times New Roman"/>
                <w:b/>
                <w:bCs/>
                <w:sz w:val="24"/>
                <w:szCs w:val="24"/>
              </w:rPr>
            </w:pPr>
            <w:r>
              <w:rPr>
                <w:rFonts w:cs="Times New Roman"/>
                <w:b/>
                <w:bCs/>
                <w:sz w:val="24"/>
                <w:szCs w:val="24"/>
              </w:rPr>
              <w:t>项目名称</w:t>
            </w:r>
          </w:p>
        </w:tc>
        <w:tc>
          <w:tcPr>
            <w:tcW w:w="1442" w:type="pct"/>
            <w:shd w:val="clear" w:color="000000" w:fill="E7E6E6"/>
            <w:vAlign w:val="center"/>
          </w:tcPr>
          <w:p w14:paraId="76FF8679">
            <w:pPr>
              <w:pStyle w:val="47"/>
              <w:snapToGrid w:val="0"/>
              <w:spacing w:line="400" w:lineRule="exact"/>
              <w:jc w:val="center"/>
              <w:rPr>
                <w:rFonts w:cs="Times New Roman"/>
                <w:b/>
                <w:bCs/>
                <w:sz w:val="24"/>
                <w:szCs w:val="24"/>
              </w:rPr>
            </w:pPr>
            <w:r>
              <w:rPr>
                <w:rFonts w:cs="Times New Roman"/>
                <w:b/>
                <w:bCs/>
                <w:sz w:val="24"/>
                <w:szCs w:val="24"/>
              </w:rPr>
              <w:t>建设内容</w:t>
            </w:r>
          </w:p>
        </w:tc>
        <w:tc>
          <w:tcPr>
            <w:tcW w:w="426" w:type="pct"/>
            <w:shd w:val="clear" w:color="000000" w:fill="E7E6E6"/>
            <w:vAlign w:val="center"/>
          </w:tcPr>
          <w:p w14:paraId="0C8F5972">
            <w:pPr>
              <w:pStyle w:val="47"/>
              <w:snapToGrid w:val="0"/>
              <w:spacing w:line="400" w:lineRule="exact"/>
              <w:jc w:val="center"/>
              <w:rPr>
                <w:rFonts w:cs="Times New Roman"/>
                <w:b/>
                <w:bCs/>
                <w:sz w:val="24"/>
                <w:szCs w:val="24"/>
              </w:rPr>
            </w:pPr>
            <w:r>
              <w:rPr>
                <w:rFonts w:cs="Times New Roman"/>
                <w:b/>
                <w:bCs/>
                <w:sz w:val="24"/>
                <w:szCs w:val="24"/>
              </w:rPr>
              <w:t>建设主体</w:t>
            </w:r>
          </w:p>
        </w:tc>
        <w:tc>
          <w:tcPr>
            <w:tcW w:w="267" w:type="pct"/>
            <w:shd w:val="clear" w:color="000000" w:fill="E7E6E6"/>
            <w:vAlign w:val="center"/>
          </w:tcPr>
          <w:p w14:paraId="32C056B0">
            <w:pPr>
              <w:pStyle w:val="47"/>
              <w:snapToGrid w:val="0"/>
              <w:spacing w:line="400" w:lineRule="exact"/>
              <w:jc w:val="center"/>
              <w:rPr>
                <w:rFonts w:cs="Times New Roman"/>
                <w:b/>
                <w:bCs/>
                <w:sz w:val="24"/>
                <w:szCs w:val="24"/>
              </w:rPr>
            </w:pPr>
            <w:r>
              <w:rPr>
                <w:rFonts w:cs="Times New Roman"/>
                <w:b/>
                <w:bCs/>
                <w:sz w:val="24"/>
                <w:szCs w:val="24"/>
              </w:rPr>
              <w:t>建设条件</w:t>
            </w:r>
          </w:p>
        </w:tc>
        <w:tc>
          <w:tcPr>
            <w:tcW w:w="493" w:type="pct"/>
            <w:shd w:val="clear" w:color="000000" w:fill="E7E6E6"/>
            <w:vAlign w:val="center"/>
          </w:tcPr>
          <w:p w14:paraId="1477D00C">
            <w:pPr>
              <w:pStyle w:val="47"/>
              <w:snapToGrid w:val="0"/>
              <w:spacing w:line="400" w:lineRule="exact"/>
              <w:jc w:val="center"/>
              <w:rPr>
                <w:rFonts w:cs="Times New Roman"/>
                <w:b/>
                <w:bCs/>
                <w:sz w:val="24"/>
                <w:szCs w:val="24"/>
              </w:rPr>
            </w:pPr>
            <w:r>
              <w:rPr>
                <w:rFonts w:cs="Times New Roman"/>
                <w:b/>
                <w:bCs/>
                <w:sz w:val="24"/>
                <w:szCs w:val="24"/>
              </w:rPr>
              <w:t>累计总投资（万元）</w:t>
            </w:r>
          </w:p>
        </w:tc>
        <w:tc>
          <w:tcPr>
            <w:tcW w:w="532" w:type="pct"/>
            <w:shd w:val="clear" w:color="000000" w:fill="E7E6E6"/>
            <w:vAlign w:val="center"/>
          </w:tcPr>
          <w:p w14:paraId="38D10BA4">
            <w:pPr>
              <w:pStyle w:val="47"/>
              <w:snapToGrid w:val="0"/>
              <w:spacing w:line="400" w:lineRule="exact"/>
              <w:jc w:val="center"/>
              <w:rPr>
                <w:rFonts w:cs="Times New Roman"/>
                <w:b/>
                <w:bCs/>
                <w:sz w:val="24"/>
                <w:szCs w:val="24"/>
              </w:rPr>
            </w:pPr>
            <w:r>
              <w:rPr>
                <w:rFonts w:cs="Times New Roman"/>
                <w:b/>
                <w:bCs/>
                <w:sz w:val="24"/>
                <w:szCs w:val="24"/>
              </w:rPr>
              <w:t>主管单位</w:t>
            </w:r>
          </w:p>
        </w:tc>
        <w:tc>
          <w:tcPr>
            <w:tcW w:w="460" w:type="pct"/>
            <w:shd w:val="clear" w:color="000000" w:fill="E7E6E6"/>
            <w:vAlign w:val="center"/>
          </w:tcPr>
          <w:p w14:paraId="13C36561">
            <w:pPr>
              <w:pStyle w:val="47"/>
              <w:snapToGrid w:val="0"/>
              <w:spacing w:line="400" w:lineRule="exact"/>
              <w:jc w:val="center"/>
              <w:rPr>
                <w:rFonts w:cs="Times New Roman"/>
                <w:b/>
                <w:bCs/>
                <w:sz w:val="24"/>
                <w:szCs w:val="24"/>
              </w:rPr>
            </w:pPr>
            <w:r>
              <w:rPr>
                <w:rFonts w:cs="Times New Roman"/>
                <w:b/>
                <w:bCs/>
                <w:sz w:val="24"/>
                <w:szCs w:val="24"/>
              </w:rPr>
              <w:t>建设起止时间</w:t>
            </w:r>
          </w:p>
        </w:tc>
      </w:tr>
      <w:tr w14:paraId="3F54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540" w:type="pct"/>
            <w:vMerge w:val="restart"/>
            <w:shd w:val="clear" w:color="auto" w:fill="auto"/>
            <w:vAlign w:val="center"/>
          </w:tcPr>
          <w:p w14:paraId="2E1531F7">
            <w:pPr>
              <w:pStyle w:val="47"/>
              <w:snapToGrid w:val="0"/>
              <w:spacing w:line="400" w:lineRule="exact"/>
              <w:jc w:val="center"/>
              <w:rPr>
                <w:rFonts w:cs="Times New Roman"/>
                <w:b/>
                <w:bCs/>
                <w:sz w:val="24"/>
                <w:szCs w:val="24"/>
              </w:rPr>
            </w:pPr>
            <w:r>
              <w:rPr>
                <w:rFonts w:cs="Times New Roman"/>
                <w:b/>
                <w:bCs/>
                <w:sz w:val="24"/>
                <w:szCs w:val="24"/>
              </w:rPr>
              <w:t>E1源头减量</w:t>
            </w:r>
          </w:p>
        </w:tc>
        <w:tc>
          <w:tcPr>
            <w:tcW w:w="242" w:type="pct"/>
            <w:shd w:val="clear" w:color="auto" w:fill="auto"/>
            <w:vAlign w:val="center"/>
          </w:tcPr>
          <w:p w14:paraId="7E1450D3">
            <w:pPr>
              <w:pStyle w:val="47"/>
              <w:numPr>
                <w:ilvl w:val="0"/>
                <w:numId w:val="27"/>
              </w:numPr>
              <w:snapToGrid w:val="0"/>
              <w:spacing w:line="400" w:lineRule="exact"/>
              <w:ind w:left="0" w:firstLine="0"/>
              <w:jc w:val="center"/>
              <w:rPr>
                <w:rFonts w:cs="Times New Roman"/>
                <w:sz w:val="24"/>
                <w:szCs w:val="24"/>
              </w:rPr>
            </w:pPr>
          </w:p>
        </w:tc>
        <w:tc>
          <w:tcPr>
            <w:tcW w:w="594" w:type="pct"/>
            <w:shd w:val="clear" w:color="auto" w:fill="auto"/>
            <w:vAlign w:val="center"/>
          </w:tcPr>
          <w:p w14:paraId="0C01BBF2">
            <w:pPr>
              <w:pStyle w:val="47"/>
              <w:snapToGrid w:val="0"/>
              <w:spacing w:line="360" w:lineRule="exact"/>
              <w:jc w:val="center"/>
              <w:rPr>
                <w:rFonts w:cs="Times New Roman"/>
                <w:sz w:val="24"/>
                <w:szCs w:val="24"/>
              </w:rPr>
            </w:pPr>
            <w:r>
              <w:rPr>
                <w:rFonts w:cs="Times New Roman"/>
                <w:sz w:val="24"/>
                <w:szCs w:val="24"/>
              </w:rPr>
              <w:t>持续推行</w:t>
            </w:r>
          </w:p>
          <w:p w14:paraId="2A12AB1D">
            <w:pPr>
              <w:pStyle w:val="47"/>
              <w:snapToGrid w:val="0"/>
              <w:spacing w:line="360" w:lineRule="exact"/>
              <w:jc w:val="center"/>
              <w:rPr>
                <w:rFonts w:cs="Times New Roman"/>
                <w:sz w:val="24"/>
                <w:szCs w:val="24"/>
              </w:rPr>
            </w:pPr>
            <w:r>
              <w:rPr>
                <w:rFonts w:cs="Times New Roman"/>
                <w:sz w:val="24"/>
                <w:szCs w:val="24"/>
              </w:rPr>
              <w:t>清洁生产</w:t>
            </w:r>
          </w:p>
        </w:tc>
        <w:tc>
          <w:tcPr>
            <w:tcW w:w="1442" w:type="pct"/>
            <w:shd w:val="clear" w:color="auto" w:fill="auto"/>
            <w:vAlign w:val="center"/>
          </w:tcPr>
          <w:p w14:paraId="3F028DB9">
            <w:pPr>
              <w:pStyle w:val="47"/>
              <w:snapToGrid w:val="0"/>
              <w:spacing w:line="360" w:lineRule="exact"/>
              <w:jc w:val="left"/>
              <w:rPr>
                <w:rFonts w:cs="Times New Roman"/>
                <w:sz w:val="24"/>
                <w:szCs w:val="24"/>
              </w:rPr>
            </w:pPr>
            <w:r>
              <w:rPr>
                <w:rFonts w:cs="Times New Roman"/>
                <w:sz w:val="24"/>
                <w:szCs w:val="24"/>
              </w:rPr>
              <w:t>依法对</w:t>
            </w:r>
            <w:r>
              <w:rPr>
                <w:rFonts w:hint="eastAsia" w:cs="Times New Roman"/>
                <w:sz w:val="24"/>
                <w:szCs w:val="24"/>
              </w:rPr>
              <w:t>“</w:t>
            </w:r>
            <w:r>
              <w:rPr>
                <w:rFonts w:cs="Times New Roman"/>
                <w:sz w:val="24"/>
                <w:szCs w:val="24"/>
              </w:rPr>
              <w:t>双超</w:t>
            </w:r>
            <w:r>
              <w:rPr>
                <w:rFonts w:hint="eastAsia" w:cs="Times New Roman"/>
                <w:sz w:val="24"/>
                <w:szCs w:val="24"/>
              </w:rPr>
              <w:t>”“</w:t>
            </w:r>
            <w:r>
              <w:rPr>
                <w:rFonts w:cs="Times New Roman"/>
                <w:sz w:val="24"/>
                <w:szCs w:val="24"/>
              </w:rPr>
              <w:t>双有</w:t>
            </w:r>
            <w:r>
              <w:rPr>
                <w:rFonts w:hint="eastAsia" w:cs="Times New Roman"/>
                <w:sz w:val="24"/>
                <w:szCs w:val="24"/>
              </w:rPr>
              <w:t>”</w:t>
            </w:r>
            <w:r>
              <w:rPr>
                <w:rFonts w:cs="Times New Roman"/>
                <w:sz w:val="24"/>
                <w:szCs w:val="24"/>
              </w:rPr>
              <w:t>企事业单位实施强制性清洁生产审核，鼓励其他排污企业开展自愿性清洁生产审核</w:t>
            </w:r>
          </w:p>
        </w:tc>
        <w:tc>
          <w:tcPr>
            <w:tcW w:w="426" w:type="pct"/>
            <w:shd w:val="clear" w:color="auto" w:fill="auto"/>
            <w:vAlign w:val="center"/>
          </w:tcPr>
          <w:p w14:paraId="1EE86E5A">
            <w:pPr>
              <w:pStyle w:val="47"/>
              <w:snapToGrid w:val="0"/>
              <w:spacing w:line="360" w:lineRule="exact"/>
              <w:jc w:val="center"/>
              <w:rPr>
                <w:rFonts w:cs="Times New Roman"/>
                <w:sz w:val="24"/>
                <w:szCs w:val="24"/>
              </w:rPr>
            </w:pPr>
            <w:r>
              <w:rPr>
                <w:rFonts w:cs="Times New Roman"/>
                <w:sz w:val="24"/>
                <w:szCs w:val="24"/>
              </w:rPr>
              <w:t>相关企业</w:t>
            </w:r>
          </w:p>
        </w:tc>
        <w:tc>
          <w:tcPr>
            <w:tcW w:w="267" w:type="pct"/>
            <w:shd w:val="clear" w:color="auto" w:fill="auto"/>
            <w:vAlign w:val="center"/>
          </w:tcPr>
          <w:p w14:paraId="3DE2EFE1">
            <w:pPr>
              <w:pStyle w:val="47"/>
              <w:snapToGrid w:val="0"/>
              <w:spacing w:line="360" w:lineRule="exact"/>
              <w:jc w:val="center"/>
              <w:rPr>
                <w:rFonts w:cs="Times New Roman"/>
                <w:sz w:val="24"/>
                <w:szCs w:val="24"/>
              </w:rPr>
            </w:pPr>
            <w:r>
              <w:rPr>
                <w:rFonts w:cs="Times New Roman"/>
                <w:sz w:val="24"/>
                <w:szCs w:val="24"/>
              </w:rPr>
              <w:t>在建</w:t>
            </w:r>
          </w:p>
        </w:tc>
        <w:tc>
          <w:tcPr>
            <w:tcW w:w="493" w:type="pct"/>
            <w:vAlign w:val="center"/>
          </w:tcPr>
          <w:p w14:paraId="3803AAFF">
            <w:pPr>
              <w:pStyle w:val="47"/>
              <w:snapToGrid w:val="0"/>
              <w:spacing w:line="360" w:lineRule="exact"/>
              <w:jc w:val="center"/>
              <w:rPr>
                <w:rFonts w:cs="Times New Roman"/>
                <w:sz w:val="24"/>
                <w:szCs w:val="24"/>
              </w:rPr>
            </w:pPr>
            <w:r>
              <w:rPr>
                <w:rFonts w:cs="Times New Roman"/>
                <w:sz w:val="24"/>
                <w:szCs w:val="24"/>
              </w:rPr>
              <w:t>待定</w:t>
            </w:r>
          </w:p>
        </w:tc>
        <w:tc>
          <w:tcPr>
            <w:tcW w:w="532" w:type="pct"/>
            <w:shd w:val="clear" w:color="auto" w:fill="auto"/>
            <w:vAlign w:val="center"/>
          </w:tcPr>
          <w:p w14:paraId="4E7D29B2">
            <w:pPr>
              <w:pStyle w:val="47"/>
              <w:snapToGrid w:val="0"/>
              <w:spacing w:line="360" w:lineRule="exact"/>
              <w:jc w:val="center"/>
              <w:rPr>
                <w:rFonts w:cs="Times New Roman"/>
                <w:sz w:val="24"/>
                <w:szCs w:val="24"/>
              </w:rPr>
            </w:pPr>
            <w:r>
              <w:rPr>
                <w:rFonts w:cs="Times New Roman"/>
                <w:sz w:val="24"/>
                <w:szCs w:val="24"/>
              </w:rPr>
              <w:t>玄武生态</w:t>
            </w:r>
          </w:p>
          <w:p w14:paraId="3479CF91">
            <w:pPr>
              <w:pStyle w:val="47"/>
              <w:snapToGrid w:val="0"/>
              <w:spacing w:line="360" w:lineRule="exact"/>
              <w:jc w:val="center"/>
              <w:rPr>
                <w:rFonts w:cs="Times New Roman"/>
                <w:sz w:val="24"/>
                <w:szCs w:val="24"/>
              </w:rPr>
            </w:pPr>
            <w:r>
              <w:rPr>
                <w:rFonts w:cs="Times New Roman"/>
                <w:sz w:val="24"/>
                <w:szCs w:val="24"/>
              </w:rPr>
              <w:t>环境局、</w:t>
            </w:r>
          </w:p>
          <w:p w14:paraId="520F6F99">
            <w:pPr>
              <w:pStyle w:val="47"/>
              <w:snapToGrid w:val="0"/>
              <w:spacing w:line="360" w:lineRule="exact"/>
              <w:jc w:val="center"/>
              <w:rPr>
                <w:rFonts w:cs="Times New Roman"/>
                <w:sz w:val="24"/>
                <w:szCs w:val="24"/>
              </w:rPr>
            </w:pPr>
            <w:r>
              <w:rPr>
                <w:rFonts w:cs="Times New Roman"/>
                <w:sz w:val="24"/>
                <w:szCs w:val="24"/>
              </w:rPr>
              <w:t>区发改委</w:t>
            </w:r>
          </w:p>
        </w:tc>
        <w:tc>
          <w:tcPr>
            <w:tcW w:w="460" w:type="pct"/>
            <w:shd w:val="clear" w:color="auto" w:fill="auto"/>
            <w:vAlign w:val="center"/>
          </w:tcPr>
          <w:p w14:paraId="177233A3">
            <w:pPr>
              <w:pStyle w:val="47"/>
              <w:snapToGrid w:val="0"/>
              <w:spacing w:line="360" w:lineRule="exact"/>
              <w:jc w:val="center"/>
              <w:rPr>
                <w:rFonts w:cs="Times New Roman"/>
                <w:sz w:val="24"/>
                <w:szCs w:val="24"/>
              </w:rPr>
            </w:pPr>
            <w:r>
              <w:rPr>
                <w:rFonts w:cs="Times New Roman"/>
                <w:sz w:val="24"/>
                <w:szCs w:val="24"/>
              </w:rPr>
              <w:t>2022</w:t>
            </w:r>
            <w:r>
              <w:rPr>
                <w:rFonts w:hint="eastAsia" w:cs="Times New Roman"/>
                <w:sz w:val="24"/>
                <w:szCs w:val="24"/>
              </w:rPr>
              <w:t>－</w:t>
            </w:r>
            <w:r>
              <w:rPr>
                <w:rFonts w:cs="Times New Roman"/>
                <w:sz w:val="24"/>
                <w:szCs w:val="24"/>
              </w:rPr>
              <w:t>2025</w:t>
            </w:r>
          </w:p>
        </w:tc>
      </w:tr>
      <w:tr w14:paraId="5D0F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40" w:type="pct"/>
            <w:vMerge w:val="continue"/>
            <w:shd w:val="clear" w:color="auto" w:fill="auto"/>
            <w:vAlign w:val="center"/>
          </w:tcPr>
          <w:p w14:paraId="643E5808">
            <w:pPr>
              <w:pStyle w:val="47"/>
              <w:snapToGrid w:val="0"/>
              <w:spacing w:line="400" w:lineRule="exact"/>
              <w:jc w:val="center"/>
              <w:rPr>
                <w:rFonts w:cs="Times New Roman"/>
                <w:b/>
                <w:bCs/>
                <w:sz w:val="24"/>
                <w:szCs w:val="24"/>
              </w:rPr>
            </w:pPr>
          </w:p>
        </w:tc>
        <w:tc>
          <w:tcPr>
            <w:tcW w:w="242" w:type="pct"/>
            <w:shd w:val="clear" w:color="auto" w:fill="auto"/>
            <w:vAlign w:val="center"/>
          </w:tcPr>
          <w:p w14:paraId="1D9C30F9">
            <w:pPr>
              <w:pStyle w:val="47"/>
              <w:numPr>
                <w:ilvl w:val="0"/>
                <w:numId w:val="27"/>
              </w:numPr>
              <w:snapToGrid w:val="0"/>
              <w:spacing w:line="400" w:lineRule="exact"/>
              <w:ind w:left="0" w:firstLine="0"/>
              <w:jc w:val="center"/>
              <w:rPr>
                <w:rFonts w:cs="Times New Roman"/>
                <w:sz w:val="24"/>
                <w:szCs w:val="24"/>
              </w:rPr>
            </w:pPr>
          </w:p>
        </w:tc>
        <w:tc>
          <w:tcPr>
            <w:tcW w:w="594" w:type="pct"/>
            <w:shd w:val="clear" w:color="auto" w:fill="auto"/>
            <w:vAlign w:val="center"/>
          </w:tcPr>
          <w:p w14:paraId="27AB8C68">
            <w:pPr>
              <w:pStyle w:val="47"/>
              <w:snapToGrid w:val="0"/>
              <w:spacing w:line="360" w:lineRule="exact"/>
              <w:jc w:val="center"/>
              <w:rPr>
                <w:rFonts w:cs="Times New Roman"/>
                <w:sz w:val="24"/>
                <w:szCs w:val="24"/>
              </w:rPr>
            </w:pPr>
            <w:r>
              <w:rPr>
                <w:rFonts w:cs="Times New Roman"/>
                <w:sz w:val="24"/>
                <w:szCs w:val="24"/>
              </w:rPr>
              <w:t>推进</w:t>
            </w:r>
            <w:bookmarkStart w:id="166" w:name="_Hlk129179855"/>
            <w:r>
              <w:rPr>
                <w:rFonts w:cs="Times New Roman"/>
                <w:sz w:val="24"/>
                <w:szCs w:val="24"/>
              </w:rPr>
              <w:t>新华日报印务中心搬迁</w:t>
            </w:r>
            <w:bookmarkEnd w:id="166"/>
          </w:p>
        </w:tc>
        <w:tc>
          <w:tcPr>
            <w:tcW w:w="1442" w:type="pct"/>
            <w:shd w:val="clear" w:color="auto" w:fill="auto"/>
            <w:vAlign w:val="center"/>
          </w:tcPr>
          <w:p w14:paraId="220913F0">
            <w:pPr>
              <w:pStyle w:val="47"/>
              <w:snapToGrid w:val="0"/>
              <w:spacing w:line="360" w:lineRule="exact"/>
              <w:jc w:val="left"/>
              <w:rPr>
                <w:rFonts w:cs="Times New Roman"/>
                <w:sz w:val="24"/>
                <w:szCs w:val="24"/>
              </w:rPr>
            </w:pPr>
            <w:r>
              <w:rPr>
                <w:rFonts w:cs="Times New Roman"/>
                <w:sz w:val="24"/>
                <w:szCs w:val="24"/>
              </w:rPr>
              <w:t>推进新华日报印务中心搬迁工作</w:t>
            </w:r>
          </w:p>
        </w:tc>
        <w:tc>
          <w:tcPr>
            <w:tcW w:w="426" w:type="pct"/>
            <w:shd w:val="clear" w:color="auto" w:fill="auto"/>
            <w:vAlign w:val="center"/>
          </w:tcPr>
          <w:p w14:paraId="5C7E2489">
            <w:pPr>
              <w:pStyle w:val="47"/>
              <w:snapToGrid w:val="0"/>
              <w:spacing w:line="360" w:lineRule="exact"/>
              <w:jc w:val="center"/>
              <w:rPr>
                <w:rFonts w:cs="Times New Roman"/>
                <w:sz w:val="24"/>
                <w:szCs w:val="24"/>
              </w:rPr>
            </w:pPr>
            <w:r>
              <w:rPr>
                <w:rFonts w:cs="Times New Roman"/>
                <w:sz w:val="24"/>
                <w:szCs w:val="24"/>
              </w:rPr>
              <w:t>江苏新华日报印务有限公司</w:t>
            </w:r>
          </w:p>
        </w:tc>
        <w:tc>
          <w:tcPr>
            <w:tcW w:w="267" w:type="pct"/>
            <w:shd w:val="clear" w:color="auto" w:fill="auto"/>
            <w:vAlign w:val="center"/>
          </w:tcPr>
          <w:p w14:paraId="4D8E689E">
            <w:pPr>
              <w:pStyle w:val="47"/>
              <w:snapToGrid w:val="0"/>
              <w:spacing w:line="360" w:lineRule="exact"/>
              <w:jc w:val="center"/>
              <w:rPr>
                <w:rFonts w:cs="Times New Roman"/>
                <w:sz w:val="24"/>
                <w:szCs w:val="24"/>
              </w:rPr>
            </w:pPr>
            <w:r>
              <w:rPr>
                <w:rFonts w:cs="Times New Roman"/>
                <w:sz w:val="24"/>
                <w:szCs w:val="24"/>
              </w:rPr>
              <w:t>在建</w:t>
            </w:r>
          </w:p>
        </w:tc>
        <w:tc>
          <w:tcPr>
            <w:tcW w:w="493" w:type="pct"/>
            <w:vAlign w:val="center"/>
          </w:tcPr>
          <w:p w14:paraId="4DBBB8AA">
            <w:pPr>
              <w:pStyle w:val="47"/>
              <w:snapToGrid w:val="0"/>
              <w:spacing w:line="360" w:lineRule="exact"/>
              <w:jc w:val="center"/>
              <w:rPr>
                <w:rFonts w:cs="Times New Roman"/>
                <w:sz w:val="24"/>
                <w:szCs w:val="24"/>
              </w:rPr>
            </w:pPr>
            <w:r>
              <w:rPr>
                <w:rFonts w:cs="Times New Roman"/>
                <w:sz w:val="24"/>
                <w:szCs w:val="24"/>
              </w:rPr>
              <w:t>待定</w:t>
            </w:r>
          </w:p>
        </w:tc>
        <w:tc>
          <w:tcPr>
            <w:tcW w:w="532" w:type="pct"/>
            <w:shd w:val="clear" w:color="auto" w:fill="auto"/>
            <w:vAlign w:val="center"/>
          </w:tcPr>
          <w:p w14:paraId="33FA980B">
            <w:pPr>
              <w:pStyle w:val="47"/>
              <w:snapToGrid w:val="0"/>
              <w:spacing w:line="360" w:lineRule="exact"/>
              <w:jc w:val="center"/>
              <w:rPr>
                <w:rFonts w:cs="Times New Roman"/>
                <w:sz w:val="24"/>
                <w:szCs w:val="24"/>
              </w:rPr>
            </w:pPr>
            <w:bookmarkStart w:id="167" w:name="_Hlk129179837"/>
            <w:r>
              <w:rPr>
                <w:rFonts w:cs="Times New Roman"/>
                <w:sz w:val="24"/>
                <w:szCs w:val="24"/>
              </w:rPr>
              <w:t>徐庄高新区管委会</w:t>
            </w:r>
            <w:bookmarkEnd w:id="167"/>
          </w:p>
        </w:tc>
        <w:tc>
          <w:tcPr>
            <w:tcW w:w="460" w:type="pct"/>
            <w:shd w:val="clear" w:color="auto" w:fill="auto"/>
            <w:vAlign w:val="center"/>
          </w:tcPr>
          <w:p w14:paraId="0DB7ABE9">
            <w:pPr>
              <w:pStyle w:val="47"/>
              <w:snapToGrid w:val="0"/>
              <w:spacing w:line="360" w:lineRule="exact"/>
              <w:jc w:val="center"/>
              <w:rPr>
                <w:rFonts w:cs="Times New Roman"/>
                <w:sz w:val="24"/>
                <w:szCs w:val="24"/>
              </w:rPr>
            </w:pPr>
            <w:r>
              <w:rPr>
                <w:rFonts w:cs="Times New Roman"/>
                <w:sz w:val="24"/>
                <w:szCs w:val="24"/>
              </w:rPr>
              <w:t>2022</w:t>
            </w:r>
            <w:r>
              <w:rPr>
                <w:rFonts w:hint="eastAsia" w:cs="Times New Roman"/>
                <w:sz w:val="24"/>
                <w:szCs w:val="24"/>
              </w:rPr>
              <w:t>－</w:t>
            </w:r>
            <w:r>
              <w:rPr>
                <w:rFonts w:cs="Times New Roman"/>
                <w:sz w:val="24"/>
                <w:szCs w:val="24"/>
              </w:rPr>
              <w:t>2025</w:t>
            </w:r>
          </w:p>
        </w:tc>
      </w:tr>
      <w:tr w14:paraId="752E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40" w:type="pct"/>
            <w:vMerge w:val="restart"/>
            <w:shd w:val="clear" w:color="auto" w:fill="auto"/>
            <w:vAlign w:val="center"/>
          </w:tcPr>
          <w:p w14:paraId="086B4AA7">
            <w:pPr>
              <w:pStyle w:val="47"/>
              <w:snapToGrid w:val="0"/>
              <w:spacing w:line="400" w:lineRule="exact"/>
              <w:jc w:val="center"/>
              <w:rPr>
                <w:rFonts w:cs="Times New Roman"/>
                <w:b/>
                <w:bCs/>
                <w:sz w:val="24"/>
                <w:szCs w:val="24"/>
              </w:rPr>
            </w:pPr>
            <w:r>
              <w:rPr>
                <w:rFonts w:cs="Times New Roman"/>
                <w:b/>
                <w:bCs/>
                <w:sz w:val="24"/>
                <w:szCs w:val="24"/>
              </w:rPr>
              <w:t>E2集中收运</w:t>
            </w:r>
          </w:p>
        </w:tc>
        <w:tc>
          <w:tcPr>
            <w:tcW w:w="242" w:type="pct"/>
            <w:shd w:val="clear" w:color="auto" w:fill="auto"/>
            <w:vAlign w:val="center"/>
          </w:tcPr>
          <w:p w14:paraId="7AB52DBA">
            <w:pPr>
              <w:pStyle w:val="47"/>
              <w:numPr>
                <w:ilvl w:val="0"/>
                <w:numId w:val="28"/>
              </w:numPr>
              <w:snapToGrid w:val="0"/>
              <w:spacing w:line="400" w:lineRule="exact"/>
              <w:ind w:left="0" w:firstLine="0"/>
              <w:jc w:val="center"/>
              <w:rPr>
                <w:rFonts w:cs="Times New Roman"/>
                <w:sz w:val="24"/>
                <w:szCs w:val="24"/>
              </w:rPr>
            </w:pPr>
          </w:p>
        </w:tc>
        <w:tc>
          <w:tcPr>
            <w:tcW w:w="594" w:type="pct"/>
            <w:shd w:val="clear" w:color="auto" w:fill="auto"/>
            <w:vAlign w:val="center"/>
          </w:tcPr>
          <w:p w14:paraId="58E18B6D">
            <w:pPr>
              <w:pStyle w:val="47"/>
              <w:snapToGrid w:val="0"/>
              <w:spacing w:line="360" w:lineRule="exact"/>
              <w:jc w:val="center"/>
              <w:rPr>
                <w:rFonts w:cs="Times New Roman"/>
                <w:sz w:val="24"/>
                <w:szCs w:val="24"/>
              </w:rPr>
            </w:pPr>
            <w:r>
              <w:rPr>
                <w:rFonts w:cs="Times New Roman"/>
                <w:sz w:val="24"/>
                <w:szCs w:val="24"/>
              </w:rPr>
              <w:t>玄武区生活垃圾转运站建设项目</w:t>
            </w:r>
          </w:p>
        </w:tc>
        <w:tc>
          <w:tcPr>
            <w:tcW w:w="1442" w:type="pct"/>
            <w:shd w:val="clear" w:color="auto" w:fill="auto"/>
            <w:vAlign w:val="center"/>
          </w:tcPr>
          <w:p w14:paraId="5AFC4980">
            <w:pPr>
              <w:pStyle w:val="47"/>
              <w:snapToGrid w:val="0"/>
              <w:spacing w:line="360" w:lineRule="exact"/>
              <w:jc w:val="left"/>
              <w:rPr>
                <w:rFonts w:cs="Times New Roman"/>
                <w:sz w:val="24"/>
                <w:szCs w:val="24"/>
              </w:rPr>
            </w:pPr>
            <w:r>
              <w:rPr>
                <w:rFonts w:cs="Times New Roman"/>
                <w:sz w:val="24"/>
                <w:szCs w:val="24"/>
              </w:rPr>
              <w:t>计划对现有垃圾中转站进行提档升级、选址新建1座垃圾分类转运中心</w:t>
            </w:r>
          </w:p>
        </w:tc>
        <w:tc>
          <w:tcPr>
            <w:tcW w:w="426" w:type="pct"/>
            <w:shd w:val="clear" w:color="auto" w:fill="auto"/>
            <w:vAlign w:val="center"/>
          </w:tcPr>
          <w:p w14:paraId="3F394EF1">
            <w:pPr>
              <w:pStyle w:val="47"/>
              <w:snapToGrid w:val="0"/>
              <w:spacing w:line="360" w:lineRule="exact"/>
              <w:jc w:val="center"/>
              <w:rPr>
                <w:rFonts w:cs="Times New Roman"/>
                <w:sz w:val="24"/>
                <w:szCs w:val="24"/>
              </w:rPr>
            </w:pPr>
            <w:r>
              <w:rPr>
                <w:rFonts w:cs="Times New Roman"/>
                <w:sz w:val="24"/>
                <w:szCs w:val="24"/>
              </w:rPr>
              <w:t>区城管局</w:t>
            </w:r>
          </w:p>
        </w:tc>
        <w:tc>
          <w:tcPr>
            <w:tcW w:w="267" w:type="pct"/>
            <w:shd w:val="clear" w:color="auto" w:fill="auto"/>
            <w:vAlign w:val="center"/>
          </w:tcPr>
          <w:p w14:paraId="30F9453E">
            <w:pPr>
              <w:pStyle w:val="47"/>
              <w:snapToGrid w:val="0"/>
              <w:spacing w:line="360" w:lineRule="exact"/>
              <w:jc w:val="center"/>
              <w:rPr>
                <w:rFonts w:cs="Times New Roman"/>
                <w:sz w:val="24"/>
                <w:szCs w:val="24"/>
              </w:rPr>
            </w:pPr>
            <w:r>
              <w:rPr>
                <w:rFonts w:cs="Times New Roman"/>
                <w:sz w:val="24"/>
                <w:szCs w:val="24"/>
              </w:rPr>
              <w:t>拟建</w:t>
            </w:r>
          </w:p>
        </w:tc>
        <w:tc>
          <w:tcPr>
            <w:tcW w:w="493" w:type="pct"/>
            <w:vAlign w:val="center"/>
          </w:tcPr>
          <w:p w14:paraId="440D25A6">
            <w:pPr>
              <w:pStyle w:val="47"/>
              <w:snapToGrid w:val="0"/>
              <w:spacing w:line="360" w:lineRule="exact"/>
              <w:jc w:val="center"/>
              <w:rPr>
                <w:rFonts w:cs="Times New Roman"/>
                <w:sz w:val="24"/>
                <w:szCs w:val="24"/>
              </w:rPr>
            </w:pPr>
            <w:r>
              <w:rPr>
                <w:rFonts w:cs="Times New Roman"/>
                <w:sz w:val="24"/>
                <w:szCs w:val="24"/>
              </w:rPr>
              <w:t>12000</w:t>
            </w:r>
          </w:p>
        </w:tc>
        <w:tc>
          <w:tcPr>
            <w:tcW w:w="532" w:type="pct"/>
            <w:shd w:val="clear" w:color="auto" w:fill="auto"/>
            <w:vAlign w:val="center"/>
          </w:tcPr>
          <w:p w14:paraId="2F2FE0CE">
            <w:pPr>
              <w:pStyle w:val="47"/>
              <w:snapToGrid w:val="0"/>
              <w:spacing w:line="360" w:lineRule="exact"/>
              <w:jc w:val="center"/>
              <w:rPr>
                <w:rFonts w:cs="Times New Roman"/>
                <w:sz w:val="24"/>
                <w:szCs w:val="24"/>
              </w:rPr>
            </w:pPr>
            <w:r>
              <w:rPr>
                <w:rFonts w:cs="Times New Roman"/>
                <w:sz w:val="24"/>
                <w:szCs w:val="24"/>
              </w:rPr>
              <w:t>区城管局</w:t>
            </w:r>
          </w:p>
        </w:tc>
        <w:tc>
          <w:tcPr>
            <w:tcW w:w="460" w:type="pct"/>
            <w:shd w:val="clear" w:color="auto" w:fill="auto"/>
            <w:vAlign w:val="center"/>
          </w:tcPr>
          <w:p w14:paraId="4DCCFB63">
            <w:pPr>
              <w:pStyle w:val="47"/>
              <w:snapToGrid w:val="0"/>
              <w:spacing w:line="360" w:lineRule="exact"/>
              <w:jc w:val="center"/>
              <w:rPr>
                <w:rFonts w:cs="Times New Roman"/>
                <w:sz w:val="24"/>
                <w:szCs w:val="24"/>
              </w:rPr>
            </w:pPr>
            <w:r>
              <w:rPr>
                <w:rFonts w:cs="Times New Roman"/>
                <w:sz w:val="24"/>
                <w:szCs w:val="24"/>
              </w:rPr>
              <w:t>2023</w:t>
            </w:r>
            <w:r>
              <w:rPr>
                <w:rFonts w:hint="eastAsia" w:cs="Times New Roman"/>
                <w:sz w:val="24"/>
                <w:szCs w:val="24"/>
              </w:rPr>
              <w:t>－</w:t>
            </w:r>
            <w:r>
              <w:rPr>
                <w:rFonts w:cs="Times New Roman"/>
                <w:sz w:val="24"/>
                <w:szCs w:val="24"/>
              </w:rPr>
              <w:t>2025</w:t>
            </w:r>
          </w:p>
        </w:tc>
      </w:tr>
      <w:tr w14:paraId="5265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40" w:type="pct"/>
            <w:vMerge w:val="continue"/>
            <w:shd w:val="clear" w:color="auto" w:fill="auto"/>
            <w:vAlign w:val="center"/>
          </w:tcPr>
          <w:p w14:paraId="66F1EC42">
            <w:pPr>
              <w:pStyle w:val="47"/>
              <w:snapToGrid w:val="0"/>
              <w:spacing w:line="400" w:lineRule="exact"/>
              <w:jc w:val="center"/>
              <w:rPr>
                <w:rFonts w:cs="Times New Roman"/>
                <w:b/>
                <w:bCs/>
                <w:sz w:val="24"/>
                <w:szCs w:val="24"/>
              </w:rPr>
            </w:pPr>
          </w:p>
        </w:tc>
        <w:tc>
          <w:tcPr>
            <w:tcW w:w="242" w:type="pct"/>
            <w:shd w:val="clear" w:color="auto" w:fill="auto"/>
            <w:vAlign w:val="center"/>
          </w:tcPr>
          <w:p w14:paraId="3D75D2C6">
            <w:pPr>
              <w:pStyle w:val="47"/>
              <w:numPr>
                <w:ilvl w:val="0"/>
                <w:numId w:val="28"/>
              </w:numPr>
              <w:snapToGrid w:val="0"/>
              <w:spacing w:line="400" w:lineRule="exact"/>
              <w:ind w:left="0" w:firstLine="0"/>
              <w:jc w:val="center"/>
              <w:rPr>
                <w:rFonts w:cs="Times New Roman"/>
                <w:sz w:val="24"/>
                <w:szCs w:val="24"/>
              </w:rPr>
            </w:pPr>
          </w:p>
        </w:tc>
        <w:tc>
          <w:tcPr>
            <w:tcW w:w="594" w:type="pct"/>
            <w:shd w:val="clear" w:color="auto" w:fill="auto"/>
            <w:vAlign w:val="center"/>
          </w:tcPr>
          <w:p w14:paraId="5C0E168B">
            <w:pPr>
              <w:pStyle w:val="47"/>
              <w:snapToGrid w:val="0"/>
              <w:spacing w:line="360" w:lineRule="exact"/>
              <w:jc w:val="center"/>
              <w:rPr>
                <w:rFonts w:cs="Times New Roman"/>
                <w:sz w:val="24"/>
                <w:szCs w:val="24"/>
              </w:rPr>
            </w:pPr>
            <w:r>
              <w:rPr>
                <w:rFonts w:cs="Times New Roman"/>
                <w:sz w:val="24"/>
                <w:szCs w:val="24"/>
              </w:rPr>
              <w:t>小量危废集中收集体系建设</w:t>
            </w:r>
          </w:p>
        </w:tc>
        <w:tc>
          <w:tcPr>
            <w:tcW w:w="1442" w:type="pct"/>
            <w:shd w:val="clear" w:color="auto" w:fill="auto"/>
            <w:vAlign w:val="center"/>
          </w:tcPr>
          <w:p w14:paraId="2A837D3E">
            <w:pPr>
              <w:pStyle w:val="47"/>
              <w:snapToGrid w:val="0"/>
              <w:spacing w:line="360" w:lineRule="exact"/>
              <w:jc w:val="left"/>
              <w:rPr>
                <w:rFonts w:cs="Times New Roman"/>
                <w:sz w:val="24"/>
                <w:szCs w:val="24"/>
              </w:rPr>
            </w:pPr>
            <w:r>
              <w:rPr>
                <w:rFonts w:cs="Times New Roman"/>
                <w:sz w:val="24"/>
                <w:szCs w:val="24"/>
              </w:rPr>
              <w:t>推进区域危险废物集中收集体系建设，重点完善教育、汽修等特殊行业的危险废物收集体系建设</w:t>
            </w:r>
          </w:p>
        </w:tc>
        <w:tc>
          <w:tcPr>
            <w:tcW w:w="426" w:type="pct"/>
            <w:shd w:val="clear" w:color="auto" w:fill="auto"/>
            <w:vAlign w:val="center"/>
          </w:tcPr>
          <w:p w14:paraId="29630396">
            <w:pPr>
              <w:pStyle w:val="47"/>
              <w:snapToGrid w:val="0"/>
              <w:spacing w:line="360" w:lineRule="exact"/>
              <w:jc w:val="center"/>
              <w:rPr>
                <w:rFonts w:cs="Times New Roman"/>
                <w:sz w:val="24"/>
                <w:szCs w:val="24"/>
              </w:rPr>
            </w:pPr>
            <w:r>
              <w:rPr>
                <w:rFonts w:cs="Times New Roman"/>
                <w:sz w:val="24"/>
                <w:szCs w:val="24"/>
              </w:rPr>
              <w:t>/</w:t>
            </w:r>
          </w:p>
        </w:tc>
        <w:tc>
          <w:tcPr>
            <w:tcW w:w="267" w:type="pct"/>
            <w:shd w:val="clear" w:color="auto" w:fill="auto"/>
            <w:vAlign w:val="center"/>
          </w:tcPr>
          <w:p w14:paraId="432061D6">
            <w:pPr>
              <w:pStyle w:val="47"/>
              <w:snapToGrid w:val="0"/>
              <w:spacing w:line="360" w:lineRule="exact"/>
              <w:jc w:val="center"/>
              <w:rPr>
                <w:rFonts w:cs="Times New Roman"/>
                <w:sz w:val="24"/>
                <w:szCs w:val="24"/>
              </w:rPr>
            </w:pPr>
            <w:r>
              <w:rPr>
                <w:rFonts w:cs="Times New Roman"/>
                <w:sz w:val="24"/>
                <w:szCs w:val="24"/>
              </w:rPr>
              <w:t>拟建</w:t>
            </w:r>
          </w:p>
        </w:tc>
        <w:tc>
          <w:tcPr>
            <w:tcW w:w="493" w:type="pct"/>
            <w:vAlign w:val="center"/>
          </w:tcPr>
          <w:p w14:paraId="07A1E3D4">
            <w:pPr>
              <w:pStyle w:val="47"/>
              <w:snapToGrid w:val="0"/>
              <w:spacing w:line="360" w:lineRule="exact"/>
              <w:jc w:val="center"/>
              <w:rPr>
                <w:rFonts w:cs="Times New Roman"/>
                <w:sz w:val="24"/>
                <w:szCs w:val="24"/>
              </w:rPr>
            </w:pPr>
            <w:r>
              <w:rPr>
                <w:rFonts w:cs="Times New Roman"/>
                <w:sz w:val="24"/>
                <w:szCs w:val="24"/>
              </w:rPr>
              <w:t>待定</w:t>
            </w:r>
          </w:p>
        </w:tc>
        <w:tc>
          <w:tcPr>
            <w:tcW w:w="532" w:type="pct"/>
            <w:shd w:val="clear" w:color="auto" w:fill="auto"/>
            <w:vAlign w:val="center"/>
          </w:tcPr>
          <w:p w14:paraId="10DBDAE1">
            <w:pPr>
              <w:pStyle w:val="47"/>
              <w:snapToGrid w:val="0"/>
              <w:spacing w:line="360" w:lineRule="exact"/>
              <w:jc w:val="center"/>
              <w:rPr>
                <w:rFonts w:cs="Times New Roman"/>
                <w:sz w:val="24"/>
                <w:szCs w:val="24"/>
              </w:rPr>
            </w:pPr>
            <w:r>
              <w:rPr>
                <w:rFonts w:cs="Times New Roman"/>
                <w:sz w:val="24"/>
                <w:szCs w:val="24"/>
              </w:rPr>
              <w:t>玄武生态</w:t>
            </w:r>
          </w:p>
          <w:p w14:paraId="3506A3F4">
            <w:pPr>
              <w:pStyle w:val="47"/>
              <w:snapToGrid w:val="0"/>
              <w:spacing w:line="360" w:lineRule="exact"/>
              <w:jc w:val="center"/>
              <w:rPr>
                <w:rFonts w:cs="Times New Roman"/>
                <w:sz w:val="24"/>
                <w:szCs w:val="24"/>
              </w:rPr>
            </w:pPr>
            <w:r>
              <w:rPr>
                <w:rFonts w:cs="Times New Roman"/>
                <w:sz w:val="24"/>
                <w:szCs w:val="24"/>
              </w:rPr>
              <w:t>环境局</w:t>
            </w:r>
          </w:p>
        </w:tc>
        <w:tc>
          <w:tcPr>
            <w:tcW w:w="460" w:type="pct"/>
            <w:shd w:val="clear" w:color="auto" w:fill="auto"/>
            <w:vAlign w:val="center"/>
          </w:tcPr>
          <w:p w14:paraId="3ACCDE2A">
            <w:pPr>
              <w:pStyle w:val="47"/>
              <w:snapToGrid w:val="0"/>
              <w:spacing w:line="360" w:lineRule="exact"/>
              <w:jc w:val="center"/>
              <w:rPr>
                <w:rFonts w:cs="Times New Roman"/>
                <w:sz w:val="24"/>
                <w:szCs w:val="24"/>
              </w:rPr>
            </w:pPr>
            <w:r>
              <w:rPr>
                <w:rFonts w:cs="Times New Roman"/>
                <w:sz w:val="24"/>
                <w:szCs w:val="24"/>
              </w:rPr>
              <w:t>2022</w:t>
            </w:r>
            <w:r>
              <w:rPr>
                <w:rFonts w:hint="eastAsia" w:cs="Times New Roman"/>
                <w:sz w:val="24"/>
                <w:szCs w:val="24"/>
              </w:rPr>
              <w:t>－</w:t>
            </w:r>
            <w:r>
              <w:rPr>
                <w:rFonts w:cs="Times New Roman"/>
                <w:sz w:val="24"/>
                <w:szCs w:val="24"/>
              </w:rPr>
              <w:t>2025</w:t>
            </w:r>
          </w:p>
        </w:tc>
      </w:tr>
      <w:tr w14:paraId="3DF2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540" w:type="pct"/>
            <w:vMerge w:val="continue"/>
            <w:shd w:val="clear" w:color="auto" w:fill="auto"/>
            <w:vAlign w:val="center"/>
          </w:tcPr>
          <w:p w14:paraId="37D66956">
            <w:pPr>
              <w:pStyle w:val="47"/>
              <w:snapToGrid w:val="0"/>
              <w:spacing w:line="400" w:lineRule="exact"/>
              <w:jc w:val="center"/>
              <w:rPr>
                <w:rFonts w:cs="Times New Roman"/>
                <w:b/>
                <w:bCs/>
                <w:sz w:val="24"/>
                <w:szCs w:val="24"/>
              </w:rPr>
            </w:pPr>
          </w:p>
        </w:tc>
        <w:tc>
          <w:tcPr>
            <w:tcW w:w="242" w:type="pct"/>
            <w:shd w:val="clear" w:color="auto" w:fill="auto"/>
            <w:vAlign w:val="center"/>
          </w:tcPr>
          <w:p w14:paraId="40E3FC8E">
            <w:pPr>
              <w:pStyle w:val="47"/>
              <w:numPr>
                <w:ilvl w:val="0"/>
                <w:numId w:val="28"/>
              </w:numPr>
              <w:snapToGrid w:val="0"/>
              <w:spacing w:line="400" w:lineRule="exact"/>
              <w:ind w:left="0" w:firstLine="0"/>
              <w:jc w:val="center"/>
              <w:rPr>
                <w:rFonts w:cs="Times New Roman"/>
                <w:sz w:val="24"/>
                <w:szCs w:val="24"/>
              </w:rPr>
            </w:pPr>
          </w:p>
        </w:tc>
        <w:tc>
          <w:tcPr>
            <w:tcW w:w="594" w:type="pct"/>
            <w:shd w:val="clear" w:color="auto" w:fill="auto"/>
            <w:vAlign w:val="center"/>
          </w:tcPr>
          <w:p w14:paraId="647656B6">
            <w:pPr>
              <w:pStyle w:val="47"/>
              <w:snapToGrid w:val="0"/>
              <w:spacing w:line="360" w:lineRule="exact"/>
              <w:jc w:val="center"/>
              <w:rPr>
                <w:rFonts w:cs="Times New Roman"/>
                <w:sz w:val="24"/>
                <w:szCs w:val="24"/>
              </w:rPr>
            </w:pPr>
            <w:r>
              <w:rPr>
                <w:rFonts w:cs="Times New Roman"/>
                <w:sz w:val="24"/>
                <w:szCs w:val="24"/>
              </w:rPr>
              <w:t>医疗废物</w:t>
            </w:r>
            <w:r>
              <w:rPr>
                <w:rFonts w:hint="eastAsia" w:cs="Times New Roman"/>
                <w:sz w:val="24"/>
                <w:szCs w:val="24"/>
              </w:rPr>
              <w:t>“</w:t>
            </w:r>
            <w:r>
              <w:rPr>
                <w:rFonts w:cs="Times New Roman"/>
                <w:sz w:val="24"/>
                <w:szCs w:val="24"/>
              </w:rPr>
              <w:t>平战结合</w:t>
            </w:r>
            <w:r>
              <w:rPr>
                <w:rFonts w:hint="eastAsia" w:cs="Times New Roman"/>
                <w:sz w:val="24"/>
                <w:szCs w:val="24"/>
              </w:rPr>
              <w:t>”</w:t>
            </w:r>
            <w:r>
              <w:rPr>
                <w:rFonts w:cs="Times New Roman"/>
                <w:sz w:val="24"/>
                <w:szCs w:val="24"/>
              </w:rPr>
              <w:t>收运体系建设</w:t>
            </w:r>
          </w:p>
        </w:tc>
        <w:tc>
          <w:tcPr>
            <w:tcW w:w="1442" w:type="pct"/>
            <w:shd w:val="clear" w:color="auto" w:fill="auto"/>
            <w:vAlign w:val="center"/>
          </w:tcPr>
          <w:p w14:paraId="2755FA12">
            <w:pPr>
              <w:pStyle w:val="47"/>
              <w:snapToGrid w:val="0"/>
              <w:spacing w:line="360" w:lineRule="exact"/>
              <w:jc w:val="left"/>
              <w:rPr>
                <w:rFonts w:cs="Times New Roman"/>
                <w:sz w:val="24"/>
                <w:szCs w:val="24"/>
              </w:rPr>
            </w:pPr>
            <w:r>
              <w:rPr>
                <w:rFonts w:cs="Times New Roman"/>
                <w:sz w:val="24"/>
                <w:szCs w:val="24"/>
              </w:rPr>
              <w:t>加快补齐小型医疗机构（床位数在19床及以下的医疗机构）医疗废物收集短板，设置区域性医疗废物集中收集点，推进医疗废物贮存空间扩容；</w:t>
            </w:r>
            <w:r>
              <w:rPr>
                <w:rFonts w:cs="Times New Roman"/>
                <w:bCs/>
                <w:sz w:val="24"/>
                <w:szCs w:val="24"/>
              </w:rPr>
              <w:t>提升医疗废物应急收集输送能力，</w:t>
            </w:r>
            <w:r>
              <w:rPr>
                <w:rFonts w:cs="Times New Roman"/>
                <w:sz w:val="24"/>
                <w:szCs w:val="24"/>
              </w:rPr>
              <w:t>建立涉疫废弃物处置应急设施清单，保障应急收运能力</w:t>
            </w:r>
          </w:p>
        </w:tc>
        <w:tc>
          <w:tcPr>
            <w:tcW w:w="426" w:type="pct"/>
            <w:shd w:val="clear" w:color="auto" w:fill="auto"/>
            <w:vAlign w:val="center"/>
          </w:tcPr>
          <w:p w14:paraId="5EDE8DA6">
            <w:pPr>
              <w:pStyle w:val="47"/>
              <w:snapToGrid w:val="0"/>
              <w:spacing w:line="360" w:lineRule="exact"/>
              <w:jc w:val="center"/>
              <w:rPr>
                <w:rFonts w:cs="Times New Roman"/>
                <w:sz w:val="24"/>
                <w:szCs w:val="24"/>
              </w:rPr>
            </w:pPr>
            <w:r>
              <w:rPr>
                <w:rFonts w:cs="Times New Roman"/>
                <w:sz w:val="24"/>
                <w:szCs w:val="24"/>
              </w:rPr>
              <w:t>/</w:t>
            </w:r>
          </w:p>
        </w:tc>
        <w:tc>
          <w:tcPr>
            <w:tcW w:w="267" w:type="pct"/>
            <w:shd w:val="clear" w:color="auto" w:fill="auto"/>
            <w:vAlign w:val="center"/>
          </w:tcPr>
          <w:p w14:paraId="7E1B7B97">
            <w:pPr>
              <w:pStyle w:val="47"/>
              <w:snapToGrid w:val="0"/>
              <w:spacing w:line="360" w:lineRule="exact"/>
              <w:jc w:val="center"/>
              <w:rPr>
                <w:rFonts w:cs="Times New Roman"/>
                <w:sz w:val="24"/>
                <w:szCs w:val="24"/>
              </w:rPr>
            </w:pPr>
            <w:r>
              <w:rPr>
                <w:rFonts w:cs="Times New Roman"/>
                <w:sz w:val="24"/>
                <w:szCs w:val="24"/>
              </w:rPr>
              <w:t>拟建</w:t>
            </w:r>
          </w:p>
        </w:tc>
        <w:tc>
          <w:tcPr>
            <w:tcW w:w="493" w:type="pct"/>
            <w:vAlign w:val="center"/>
          </w:tcPr>
          <w:p w14:paraId="1858B7CB">
            <w:pPr>
              <w:pStyle w:val="47"/>
              <w:snapToGrid w:val="0"/>
              <w:spacing w:line="360" w:lineRule="exact"/>
              <w:jc w:val="center"/>
              <w:rPr>
                <w:rFonts w:cs="Times New Roman"/>
                <w:sz w:val="24"/>
                <w:szCs w:val="24"/>
              </w:rPr>
            </w:pPr>
            <w:r>
              <w:rPr>
                <w:rFonts w:cs="Times New Roman"/>
                <w:sz w:val="24"/>
                <w:szCs w:val="24"/>
              </w:rPr>
              <w:t>待定</w:t>
            </w:r>
          </w:p>
        </w:tc>
        <w:tc>
          <w:tcPr>
            <w:tcW w:w="532" w:type="pct"/>
            <w:shd w:val="clear" w:color="auto" w:fill="auto"/>
            <w:vAlign w:val="center"/>
          </w:tcPr>
          <w:p w14:paraId="6F85AD94">
            <w:pPr>
              <w:pStyle w:val="47"/>
              <w:snapToGrid w:val="0"/>
              <w:spacing w:line="360" w:lineRule="exact"/>
              <w:jc w:val="center"/>
              <w:rPr>
                <w:rFonts w:cs="Times New Roman"/>
                <w:sz w:val="24"/>
                <w:szCs w:val="24"/>
              </w:rPr>
            </w:pPr>
            <w:r>
              <w:rPr>
                <w:rFonts w:cs="Times New Roman"/>
                <w:sz w:val="24"/>
                <w:szCs w:val="24"/>
              </w:rPr>
              <w:t>玄武生态</w:t>
            </w:r>
          </w:p>
          <w:p w14:paraId="4697C644">
            <w:pPr>
              <w:pStyle w:val="47"/>
              <w:snapToGrid w:val="0"/>
              <w:spacing w:line="360" w:lineRule="exact"/>
              <w:jc w:val="center"/>
              <w:rPr>
                <w:rFonts w:cs="Times New Roman"/>
                <w:sz w:val="24"/>
                <w:szCs w:val="24"/>
              </w:rPr>
            </w:pPr>
            <w:r>
              <w:rPr>
                <w:rFonts w:cs="Times New Roman"/>
                <w:sz w:val="24"/>
                <w:szCs w:val="24"/>
              </w:rPr>
              <w:t>环境局</w:t>
            </w:r>
          </w:p>
        </w:tc>
        <w:tc>
          <w:tcPr>
            <w:tcW w:w="460" w:type="pct"/>
            <w:shd w:val="clear" w:color="auto" w:fill="auto"/>
            <w:vAlign w:val="center"/>
          </w:tcPr>
          <w:p w14:paraId="7155869C">
            <w:pPr>
              <w:pStyle w:val="47"/>
              <w:snapToGrid w:val="0"/>
              <w:spacing w:line="360" w:lineRule="exact"/>
              <w:jc w:val="center"/>
              <w:rPr>
                <w:rFonts w:cs="Times New Roman"/>
                <w:sz w:val="24"/>
                <w:szCs w:val="24"/>
              </w:rPr>
            </w:pPr>
            <w:r>
              <w:rPr>
                <w:rFonts w:cs="Times New Roman"/>
                <w:sz w:val="24"/>
                <w:szCs w:val="24"/>
              </w:rPr>
              <w:t>2022</w:t>
            </w:r>
            <w:r>
              <w:rPr>
                <w:rFonts w:hint="eastAsia" w:cs="Times New Roman"/>
                <w:sz w:val="24"/>
                <w:szCs w:val="24"/>
              </w:rPr>
              <w:t>－</w:t>
            </w:r>
            <w:r>
              <w:rPr>
                <w:rFonts w:cs="Times New Roman"/>
                <w:sz w:val="24"/>
                <w:szCs w:val="24"/>
              </w:rPr>
              <w:t>2025</w:t>
            </w:r>
          </w:p>
        </w:tc>
      </w:tr>
      <w:tr w14:paraId="2FB6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restart"/>
            <w:shd w:val="clear" w:color="auto" w:fill="auto"/>
            <w:vAlign w:val="center"/>
          </w:tcPr>
          <w:p w14:paraId="213D2904">
            <w:pPr>
              <w:pStyle w:val="47"/>
              <w:snapToGrid w:val="0"/>
              <w:spacing w:line="400" w:lineRule="exact"/>
              <w:jc w:val="center"/>
              <w:rPr>
                <w:rFonts w:cs="Times New Roman"/>
                <w:b/>
                <w:bCs/>
                <w:sz w:val="24"/>
                <w:szCs w:val="24"/>
              </w:rPr>
            </w:pPr>
            <w:r>
              <w:rPr>
                <w:rFonts w:cs="Times New Roman"/>
                <w:b/>
                <w:bCs/>
                <w:sz w:val="24"/>
                <w:szCs w:val="24"/>
              </w:rPr>
              <w:t>E3重点</w:t>
            </w:r>
            <w:r>
              <w:rPr>
                <w:rFonts w:hint="eastAsia" w:cs="Times New Roman"/>
                <w:b/>
                <w:bCs/>
                <w:sz w:val="24"/>
                <w:szCs w:val="24"/>
              </w:rPr>
              <w:t>“</w:t>
            </w:r>
            <w:r>
              <w:rPr>
                <w:rFonts w:cs="Times New Roman"/>
                <w:b/>
                <w:bCs/>
                <w:sz w:val="24"/>
                <w:szCs w:val="24"/>
              </w:rPr>
              <w:t>无废细胞</w:t>
            </w:r>
            <w:r>
              <w:rPr>
                <w:rFonts w:hint="eastAsia" w:cs="Times New Roman"/>
                <w:b/>
                <w:bCs/>
                <w:sz w:val="24"/>
                <w:szCs w:val="24"/>
              </w:rPr>
              <w:t>”</w:t>
            </w:r>
          </w:p>
        </w:tc>
        <w:tc>
          <w:tcPr>
            <w:tcW w:w="242" w:type="pct"/>
            <w:shd w:val="clear" w:color="auto" w:fill="auto"/>
            <w:vAlign w:val="center"/>
          </w:tcPr>
          <w:p w14:paraId="0936B463">
            <w:pPr>
              <w:pStyle w:val="47"/>
              <w:numPr>
                <w:ilvl w:val="0"/>
                <w:numId w:val="29"/>
              </w:numPr>
              <w:snapToGrid w:val="0"/>
              <w:spacing w:line="400" w:lineRule="exact"/>
              <w:ind w:left="0" w:firstLine="0"/>
              <w:jc w:val="center"/>
              <w:rPr>
                <w:rFonts w:cs="Times New Roman"/>
                <w:sz w:val="24"/>
                <w:szCs w:val="24"/>
              </w:rPr>
            </w:pPr>
          </w:p>
        </w:tc>
        <w:tc>
          <w:tcPr>
            <w:tcW w:w="594" w:type="pct"/>
            <w:shd w:val="clear" w:color="auto" w:fill="auto"/>
            <w:vAlign w:val="center"/>
          </w:tcPr>
          <w:p w14:paraId="7965F777">
            <w:pPr>
              <w:pStyle w:val="47"/>
              <w:snapToGrid w:val="0"/>
              <w:spacing w:line="400" w:lineRule="exact"/>
              <w:jc w:val="center"/>
              <w:rPr>
                <w:rFonts w:cs="Times New Roman"/>
                <w:sz w:val="24"/>
                <w:szCs w:val="24"/>
              </w:rPr>
            </w:pPr>
            <w:r>
              <w:rPr>
                <w:rFonts w:hint="eastAsia" w:cs="Times New Roman"/>
                <w:sz w:val="24"/>
                <w:szCs w:val="24"/>
              </w:rPr>
              <w:t>“</w:t>
            </w:r>
            <w:r>
              <w:rPr>
                <w:rFonts w:cs="Times New Roman"/>
                <w:sz w:val="24"/>
                <w:szCs w:val="24"/>
              </w:rPr>
              <w:t>无废</w:t>
            </w:r>
            <w:r>
              <w:rPr>
                <w:rFonts w:hint="eastAsia" w:cs="Times New Roman"/>
                <w:sz w:val="24"/>
                <w:szCs w:val="24"/>
              </w:rPr>
              <w:t>医院”</w:t>
            </w:r>
            <w:r>
              <w:rPr>
                <w:rFonts w:cs="Times New Roman"/>
                <w:sz w:val="24"/>
                <w:szCs w:val="24"/>
              </w:rPr>
              <w:t>创建</w:t>
            </w:r>
          </w:p>
        </w:tc>
        <w:tc>
          <w:tcPr>
            <w:tcW w:w="1442" w:type="pct"/>
            <w:shd w:val="clear" w:color="auto" w:fill="auto"/>
            <w:vAlign w:val="center"/>
          </w:tcPr>
          <w:p w14:paraId="56B72FB6">
            <w:pPr>
              <w:pStyle w:val="47"/>
              <w:snapToGrid w:val="0"/>
              <w:spacing w:line="400" w:lineRule="exact"/>
              <w:jc w:val="left"/>
              <w:rPr>
                <w:rFonts w:cs="Times New Roman"/>
                <w:sz w:val="24"/>
                <w:szCs w:val="24"/>
              </w:rPr>
            </w:pPr>
            <w:r>
              <w:rPr>
                <w:rFonts w:hint="eastAsia" w:cs="Times New Roman"/>
                <w:sz w:val="24"/>
                <w:szCs w:val="24"/>
              </w:rPr>
              <w:t>紧抓医疗卫生机构，鼓励区内大小医院以及社区卫生服务中心积极创建“无废医院”，到2025年，创建15个“无废医院”</w:t>
            </w:r>
          </w:p>
        </w:tc>
        <w:tc>
          <w:tcPr>
            <w:tcW w:w="426" w:type="pct"/>
            <w:shd w:val="clear" w:color="auto" w:fill="auto"/>
            <w:vAlign w:val="center"/>
          </w:tcPr>
          <w:p w14:paraId="4E771218">
            <w:pPr>
              <w:pStyle w:val="47"/>
              <w:snapToGrid w:val="0"/>
              <w:spacing w:line="400" w:lineRule="exact"/>
              <w:jc w:val="center"/>
              <w:rPr>
                <w:rFonts w:cs="Times New Roman"/>
                <w:sz w:val="24"/>
                <w:szCs w:val="24"/>
              </w:rPr>
            </w:pPr>
            <w:r>
              <w:rPr>
                <w:rFonts w:hint="eastAsia" w:cs="Times New Roman"/>
                <w:sz w:val="24"/>
                <w:szCs w:val="24"/>
              </w:rPr>
              <w:t>相关医院</w:t>
            </w:r>
          </w:p>
        </w:tc>
        <w:tc>
          <w:tcPr>
            <w:tcW w:w="267" w:type="pct"/>
            <w:shd w:val="clear" w:color="auto" w:fill="auto"/>
            <w:vAlign w:val="center"/>
          </w:tcPr>
          <w:p w14:paraId="7CC320D0">
            <w:pPr>
              <w:pStyle w:val="47"/>
              <w:snapToGrid w:val="0"/>
              <w:spacing w:line="400" w:lineRule="exact"/>
              <w:jc w:val="center"/>
              <w:rPr>
                <w:rFonts w:cs="Times New Roman"/>
                <w:sz w:val="24"/>
                <w:szCs w:val="24"/>
              </w:rPr>
            </w:pPr>
            <w:r>
              <w:rPr>
                <w:rFonts w:cs="Times New Roman"/>
                <w:sz w:val="24"/>
                <w:szCs w:val="24"/>
              </w:rPr>
              <w:t>拟建</w:t>
            </w:r>
          </w:p>
        </w:tc>
        <w:tc>
          <w:tcPr>
            <w:tcW w:w="493" w:type="pct"/>
            <w:vAlign w:val="center"/>
          </w:tcPr>
          <w:p w14:paraId="63911FAF">
            <w:pPr>
              <w:pStyle w:val="47"/>
              <w:snapToGrid w:val="0"/>
              <w:spacing w:line="400" w:lineRule="exact"/>
              <w:jc w:val="center"/>
              <w:rPr>
                <w:rFonts w:cs="Times New Roman"/>
                <w:sz w:val="24"/>
                <w:szCs w:val="24"/>
              </w:rPr>
            </w:pPr>
            <w:r>
              <w:rPr>
                <w:rFonts w:cs="Times New Roman"/>
                <w:sz w:val="24"/>
                <w:szCs w:val="24"/>
              </w:rPr>
              <w:t>待定</w:t>
            </w:r>
          </w:p>
        </w:tc>
        <w:tc>
          <w:tcPr>
            <w:tcW w:w="532" w:type="pct"/>
            <w:shd w:val="clear" w:color="auto" w:fill="auto"/>
            <w:vAlign w:val="center"/>
          </w:tcPr>
          <w:p w14:paraId="6937178A">
            <w:pPr>
              <w:pStyle w:val="47"/>
              <w:snapToGrid w:val="0"/>
              <w:spacing w:line="400" w:lineRule="exact"/>
              <w:jc w:val="center"/>
              <w:rPr>
                <w:rFonts w:cs="Times New Roman"/>
                <w:sz w:val="24"/>
                <w:szCs w:val="24"/>
              </w:rPr>
            </w:pPr>
            <w:r>
              <w:rPr>
                <w:rFonts w:hint="eastAsia" w:cs="Times New Roman"/>
                <w:sz w:val="24"/>
                <w:szCs w:val="24"/>
              </w:rPr>
              <w:t>区卫健委</w:t>
            </w:r>
          </w:p>
        </w:tc>
        <w:tc>
          <w:tcPr>
            <w:tcW w:w="460" w:type="pct"/>
            <w:shd w:val="clear" w:color="auto" w:fill="auto"/>
            <w:vAlign w:val="center"/>
          </w:tcPr>
          <w:p w14:paraId="1216EFE5">
            <w:pPr>
              <w:pStyle w:val="47"/>
              <w:snapToGrid w:val="0"/>
              <w:spacing w:line="400" w:lineRule="exact"/>
              <w:jc w:val="center"/>
              <w:rPr>
                <w:rFonts w:cs="Times New Roman"/>
                <w:sz w:val="24"/>
                <w:szCs w:val="24"/>
              </w:rPr>
            </w:pPr>
            <w:r>
              <w:rPr>
                <w:rFonts w:cs="Times New Roman"/>
                <w:sz w:val="24"/>
                <w:szCs w:val="24"/>
              </w:rPr>
              <w:t>2022</w:t>
            </w:r>
            <w:r>
              <w:rPr>
                <w:rFonts w:hint="eastAsia" w:cs="Times New Roman"/>
                <w:sz w:val="24"/>
                <w:szCs w:val="24"/>
              </w:rPr>
              <w:t>－</w:t>
            </w:r>
            <w:r>
              <w:rPr>
                <w:rFonts w:cs="Times New Roman"/>
                <w:sz w:val="24"/>
                <w:szCs w:val="24"/>
              </w:rPr>
              <w:t>2025</w:t>
            </w:r>
          </w:p>
        </w:tc>
      </w:tr>
      <w:tr w14:paraId="1E67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shd w:val="clear" w:color="auto" w:fill="auto"/>
            <w:vAlign w:val="center"/>
          </w:tcPr>
          <w:p w14:paraId="7D0CF671">
            <w:pPr>
              <w:pStyle w:val="47"/>
              <w:snapToGrid w:val="0"/>
              <w:spacing w:line="400" w:lineRule="exact"/>
              <w:jc w:val="center"/>
              <w:rPr>
                <w:rFonts w:cs="Times New Roman"/>
                <w:b/>
                <w:bCs/>
                <w:sz w:val="24"/>
                <w:szCs w:val="24"/>
              </w:rPr>
            </w:pPr>
          </w:p>
        </w:tc>
        <w:tc>
          <w:tcPr>
            <w:tcW w:w="242" w:type="pct"/>
            <w:shd w:val="clear" w:color="auto" w:fill="auto"/>
            <w:vAlign w:val="center"/>
          </w:tcPr>
          <w:p w14:paraId="011E9D1F">
            <w:pPr>
              <w:pStyle w:val="47"/>
              <w:numPr>
                <w:ilvl w:val="0"/>
                <w:numId w:val="29"/>
              </w:numPr>
              <w:snapToGrid w:val="0"/>
              <w:spacing w:line="400" w:lineRule="exact"/>
              <w:ind w:left="0" w:firstLine="0"/>
              <w:jc w:val="center"/>
              <w:rPr>
                <w:rFonts w:cs="Times New Roman"/>
                <w:sz w:val="24"/>
                <w:szCs w:val="24"/>
              </w:rPr>
            </w:pPr>
          </w:p>
        </w:tc>
        <w:tc>
          <w:tcPr>
            <w:tcW w:w="594" w:type="pct"/>
            <w:shd w:val="clear" w:color="auto" w:fill="auto"/>
            <w:vAlign w:val="center"/>
          </w:tcPr>
          <w:p w14:paraId="68D8601E">
            <w:pPr>
              <w:pStyle w:val="47"/>
              <w:snapToGrid w:val="0"/>
              <w:spacing w:line="400" w:lineRule="exact"/>
              <w:jc w:val="center"/>
              <w:rPr>
                <w:rFonts w:cs="Times New Roman"/>
                <w:sz w:val="24"/>
                <w:szCs w:val="24"/>
              </w:rPr>
            </w:pPr>
            <w:r>
              <w:rPr>
                <w:rFonts w:hint="eastAsia" w:cs="Times New Roman"/>
                <w:sz w:val="24"/>
                <w:szCs w:val="24"/>
              </w:rPr>
              <w:t>“</w:t>
            </w:r>
            <w:r>
              <w:rPr>
                <w:rFonts w:cs="Times New Roman"/>
                <w:sz w:val="24"/>
                <w:szCs w:val="24"/>
              </w:rPr>
              <w:t>无废学校</w:t>
            </w:r>
            <w:r>
              <w:rPr>
                <w:rFonts w:hint="eastAsia" w:cs="Times New Roman"/>
                <w:sz w:val="24"/>
                <w:szCs w:val="24"/>
              </w:rPr>
              <w:t>”</w:t>
            </w:r>
            <w:r>
              <w:rPr>
                <w:rFonts w:cs="Times New Roman"/>
                <w:sz w:val="24"/>
                <w:szCs w:val="24"/>
              </w:rPr>
              <w:t>创建</w:t>
            </w:r>
          </w:p>
        </w:tc>
        <w:tc>
          <w:tcPr>
            <w:tcW w:w="1442" w:type="pct"/>
            <w:shd w:val="clear" w:color="auto" w:fill="auto"/>
            <w:vAlign w:val="center"/>
          </w:tcPr>
          <w:p w14:paraId="2148E235">
            <w:pPr>
              <w:pStyle w:val="47"/>
              <w:snapToGrid w:val="0"/>
              <w:spacing w:line="400" w:lineRule="exact"/>
              <w:jc w:val="left"/>
              <w:rPr>
                <w:rFonts w:cs="Times New Roman"/>
                <w:sz w:val="24"/>
                <w:szCs w:val="24"/>
              </w:rPr>
            </w:pPr>
            <w:r>
              <w:rPr>
                <w:rFonts w:hint="eastAsia" w:cs="Times New Roman"/>
                <w:sz w:val="24"/>
                <w:szCs w:val="24"/>
              </w:rPr>
              <w:t>聚焦校园传播教育</w:t>
            </w:r>
            <w:r>
              <w:rPr>
                <w:rFonts w:cs="Times New Roman"/>
                <w:sz w:val="24"/>
                <w:szCs w:val="24"/>
              </w:rPr>
              <w:t>，逐步构建涵盖幼儿园、小学、初高中等全方位一体化的</w:t>
            </w:r>
            <w:r>
              <w:rPr>
                <w:rFonts w:hint="eastAsia" w:cs="Times New Roman"/>
                <w:sz w:val="24"/>
                <w:szCs w:val="24"/>
              </w:rPr>
              <w:t>“</w:t>
            </w:r>
            <w:r>
              <w:rPr>
                <w:rFonts w:cs="Times New Roman"/>
                <w:sz w:val="24"/>
                <w:szCs w:val="24"/>
              </w:rPr>
              <w:t>无废学校</w:t>
            </w:r>
            <w:r>
              <w:rPr>
                <w:rFonts w:hint="eastAsia" w:cs="Times New Roman"/>
                <w:sz w:val="24"/>
                <w:szCs w:val="24"/>
              </w:rPr>
              <w:t>”</w:t>
            </w:r>
            <w:r>
              <w:rPr>
                <w:rFonts w:cs="Times New Roman"/>
                <w:sz w:val="24"/>
                <w:szCs w:val="24"/>
              </w:rPr>
              <w:t>建设，到2025年，创建20个</w:t>
            </w:r>
            <w:r>
              <w:rPr>
                <w:rFonts w:hint="eastAsia" w:cs="Times New Roman"/>
                <w:sz w:val="24"/>
                <w:szCs w:val="24"/>
              </w:rPr>
              <w:t>“</w:t>
            </w:r>
            <w:r>
              <w:rPr>
                <w:rFonts w:cs="Times New Roman"/>
                <w:sz w:val="24"/>
                <w:szCs w:val="24"/>
              </w:rPr>
              <w:t>无废学校</w:t>
            </w:r>
            <w:r>
              <w:rPr>
                <w:rFonts w:hint="eastAsia" w:cs="Times New Roman"/>
                <w:sz w:val="24"/>
                <w:szCs w:val="24"/>
              </w:rPr>
              <w:t>”</w:t>
            </w:r>
          </w:p>
        </w:tc>
        <w:tc>
          <w:tcPr>
            <w:tcW w:w="426" w:type="pct"/>
            <w:shd w:val="clear" w:color="auto" w:fill="auto"/>
            <w:vAlign w:val="center"/>
          </w:tcPr>
          <w:p w14:paraId="32A096CA">
            <w:pPr>
              <w:pStyle w:val="47"/>
              <w:snapToGrid w:val="0"/>
              <w:spacing w:line="400" w:lineRule="exact"/>
              <w:jc w:val="center"/>
              <w:rPr>
                <w:rFonts w:cs="Times New Roman"/>
                <w:sz w:val="24"/>
                <w:szCs w:val="24"/>
              </w:rPr>
            </w:pPr>
            <w:r>
              <w:rPr>
                <w:rFonts w:cs="Times New Roman"/>
                <w:sz w:val="24"/>
                <w:szCs w:val="24"/>
              </w:rPr>
              <w:t>相关学校</w:t>
            </w:r>
          </w:p>
        </w:tc>
        <w:tc>
          <w:tcPr>
            <w:tcW w:w="267" w:type="pct"/>
            <w:shd w:val="clear" w:color="auto" w:fill="auto"/>
            <w:vAlign w:val="center"/>
          </w:tcPr>
          <w:p w14:paraId="30FBA438">
            <w:pPr>
              <w:pStyle w:val="47"/>
              <w:snapToGrid w:val="0"/>
              <w:spacing w:line="400" w:lineRule="exact"/>
              <w:jc w:val="center"/>
              <w:rPr>
                <w:rFonts w:cs="Times New Roman"/>
                <w:sz w:val="24"/>
                <w:szCs w:val="24"/>
              </w:rPr>
            </w:pPr>
            <w:r>
              <w:rPr>
                <w:rFonts w:cs="Times New Roman"/>
                <w:sz w:val="24"/>
                <w:szCs w:val="24"/>
              </w:rPr>
              <w:t>拟建</w:t>
            </w:r>
          </w:p>
        </w:tc>
        <w:tc>
          <w:tcPr>
            <w:tcW w:w="493" w:type="pct"/>
            <w:vAlign w:val="center"/>
          </w:tcPr>
          <w:p w14:paraId="4DA77964">
            <w:pPr>
              <w:pStyle w:val="47"/>
              <w:snapToGrid w:val="0"/>
              <w:spacing w:line="400" w:lineRule="exact"/>
              <w:jc w:val="center"/>
              <w:rPr>
                <w:rFonts w:cs="Times New Roman"/>
                <w:sz w:val="24"/>
                <w:szCs w:val="24"/>
              </w:rPr>
            </w:pPr>
            <w:r>
              <w:rPr>
                <w:rFonts w:cs="Times New Roman"/>
                <w:sz w:val="24"/>
                <w:szCs w:val="24"/>
              </w:rPr>
              <w:t>待定</w:t>
            </w:r>
          </w:p>
        </w:tc>
        <w:tc>
          <w:tcPr>
            <w:tcW w:w="532" w:type="pct"/>
            <w:shd w:val="clear" w:color="auto" w:fill="auto"/>
            <w:vAlign w:val="center"/>
          </w:tcPr>
          <w:p w14:paraId="157549CB">
            <w:pPr>
              <w:pStyle w:val="47"/>
              <w:snapToGrid w:val="0"/>
              <w:spacing w:line="400" w:lineRule="exact"/>
              <w:jc w:val="center"/>
              <w:rPr>
                <w:rFonts w:cs="Times New Roman"/>
                <w:sz w:val="24"/>
                <w:szCs w:val="24"/>
              </w:rPr>
            </w:pPr>
            <w:r>
              <w:rPr>
                <w:rFonts w:cs="Times New Roman"/>
                <w:sz w:val="24"/>
                <w:szCs w:val="24"/>
              </w:rPr>
              <w:t>区教育局</w:t>
            </w:r>
          </w:p>
        </w:tc>
        <w:tc>
          <w:tcPr>
            <w:tcW w:w="460" w:type="pct"/>
            <w:shd w:val="clear" w:color="auto" w:fill="auto"/>
            <w:vAlign w:val="center"/>
          </w:tcPr>
          <w:p w14:paraId="119A5787">
            <w:pPr>
              <w:pStyle w:val="47"/>
              <w:snapToGrid w:val="0"/>
              <w:spacing w:line="400" w:lineRule="exact"/>
              <w:jc w:val="center"/>
              <w:rPr>
                <w:rFonts w:cs="Times New Roman"/>
                <w:sz w:val="24"/>
                <w:szCs w:val="24"/>
              </w:rPr>
            </w:pPr>
            <w:r>
              <w:rPr>
                <w:rFonts w:cs="Times New Roman"/>
                <w:sz w:val="24"/>
                <w:szCs w:val="24"/>
              </w:rPr>
              <w:t>2022</w:t>
            </w:r>
            <w:r>
              <w:rPr>
                <w:rFonts w:hint="eastAsia" w:cs="Times New Roman"/>
                <w:sz w:val="24"/>
                <w:szCs w:val="24"/>
              </w:rPr>
              <w:t>－</w:t>
            </w:r>
            <w:r>
              <w:rPr>
                <w:rFonts w:cs="Times New Roman"/>
                <w:sz w:val="24"/>
                <w:szCs w:val="24"/>
              </w:rPr>
              <w:t>2025</w:t>
            </w:r>
          </w:p>
        </w:tc>
      </w:tr>
      <w:tr w14:paraId="3B7C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shd w:val="clear" w:color="auto" w:fill="auto"/>
            <w:vAlign w:val="center"/>
          </w:tcPr>
          <w:p w14:paraId="1C3BDD1D">
            <w:pPr>
              <w:pStyle w:val="47"/>
              <w:snapToGrid w:val="0"/>
              <w:spacing w:line="400" w:lineRule="exact"/>
              <w:jc w:val="center"/>
              <w:rPr>
                <w:rFonts w:cs="Times New Roman"/>
                <w:b/>
                <w:bCs/>
                <w:sz w:val="24"/>
                <w:szCs w:val="24"/>
              </w:rPr>
            </w:pPr>
          </w:p>
        </w:tc>
        <w:tc>
          <w:tcPr>
            <w:tcW w:w="242" w:type="pct"/>
            <w:shd w:val="clear" w:color="auto" w:fill="auto"/>
            <w:vAlign w:val="center"/>
          </w:tcPr>
          <w:p w14:paraId="0E48253B">
            <w:pPr>
              <w:pStyle w:val="47"/>
              <w:numPr>
                <w:ilvl w:val="0"/>
                <w:numId w:val="29"/>
              </w:numPr>
              <w:snapToGrid w:val="0"/>
              <w:spacing w:line="400" w:lineRule="exact"/>
              <w:ind w:left="0" w:firstLine="0"/>
              <w:jc w:val="center"/>
              <w:rPr>
                <w:rFonts w:cs="Times New Roman"/>
                <w:sz w:val="24"/>
                <w:szCs w:val="24"/>
              </w:rPr>
            </w:pPr>
          </w:p>
        </w:tc>
        <w:tc>
          <w:tcPr>
            <w:tcW w:w="594" w:type="pct"/>
            <w:shd w:val="clear" w:color="auto" w:fill="auto"/>
            <w:vAlign w:val="center"/>
          </w:tcPr>
          <w:p w14:paraId="05B50D13">
            <w:pPr>
              <w:pStyle w:val="47"/>
              <w:snapToGrid w:val="0"/>
              <w:spacing w:line="400" w:lineRule="exact"/>
              <w:jc w:val="center"/>
              <w:rPr>
                <w:rFonts w:cs="Times New Roman"/>
                <w:sz w:val="24"/>
                <w:szCs w:val="24"/>
              </w:rPr>
            </w:pPr>
            <w:r>
              <w:rPr>
                <w:rFonts w:hint="eastAsia" w:cs="Times New Roman"/>
                <w:sz w:val="24"/>
                <w:szCs w:val="24"/>
              </w:rPr>
              <w:t>“</w:t>
            </w:r>
            <w:r>
              <w:rPr>
                <w:rFonts w:cs="Times New Roman"/>
                <w:sz w:val="24"/>
                <w:szCs w:val="24"/>
              </w:rPr>
              <w:t>无废</w:t>
            </w:r>
            <w:r>
              <w:rPr>
                <w:rFonts w:hint="eastAsia" w:cs="Times New Roman"/>
                <w:sz w:val="24"/>
                <w:szCs w:val="24"/>
              </w:rPr>
              <w:t>宾馆”</w:t>
            </w:r>
            <w:r>
              <w:rPr>
                <w:rFonts w:cs="Times New Roman"/>
                <w:sz w:val="24"/>
                <w:szCs w:val="24"/>
              </w:rPr>
              <w:t>创建</w:t>
            </w:r>
          </w:p>
        </w:tc>
        <w:tc>
          <w:tcPr>
            <w:tcW w:w="1442" w:type="pct"/>
            <w:shd w:val="clear" w:color="auto" w:fill="auto"/>
            <w:vAlign w:val="center"/>
          </w:tcPr>
          <w:p w14:paraId="6FF64216">
            <w:pPr>
              <w:pStyle w:val="47"/>
              <w:snapToGrid w:val="0"/>
              <w:spacing w:line="400" w:lineRule="exact"/>
              <w:jc w:val="left"/>
              <w:rPr>
                <w:rFonts w:cs="Times New Roman"/>
                <w:sz w:val="24"/>
                <w:szCs w:val="24"/>
              </w:rPr>
            </w:pPr>
            <w:r>
              <w:rPr>
                <w:rFonts w:hint="eastAsia" w:cs="Times New Roman"/>
                <w:sz w:val="24"/>
                <w:szCs w:val="24"/>
              </w:rPr>
              <w:t>鼓励区内宾馆积极推进“无废宾馆”建设，到2025年，创建15个“无废宾馆”</w:t>
            </w:r>
          </w:p>
        </w:tc>
        <w:tc>
          <w:tcPr>
            <w:tcW w:w="426" w:type="pct"/>
            <w:shd w:val="clear" w:color="auto" w:fill="auto"/>
            <w:vAlign w:val="center"/>
          </w:tcPr>
          <w:p w14:paraId="14F45612">
            <w:pPr>
              <w:pStyle w:val="47"/>
              <w:snapToGrid w:val="0"/>
              <w:spacing w:line="400" w:lineRule="exact"/>
              <w:jc w:val="center"/>
              <w:rPr>
                <w:rFonts w:cs="Times New Roman"/>
                <w:sz w:val="24"/>
                <w:szCs w:val="24"/>
              </w:rPr>
            </w:pPr>
            <w:r>
              <w:rPr>
                <w:rFonts w:cs="Times New Roman"/>
                <w:sz w:val="24"/>
                <w:szCs w:val="24"/>
              </w:rPr>
              <w:t>相关</w:t>
            </w:r>
            <w:r>
              <w:rPr>
                <w:rFonts w:hint="eastAsia" w:cs="Times New Roman"/>
                <w:sz w:val="24"/>
                <w:szCs w:val="24"/>
              </w:rPr>
              <w:t>宾馆</w:t>
            </w:r>
          </w:p>
        </w:tc>
        <w:tc>
          <w:tcPr>
            <w:tcW w:w="267" w:type="pct"/>
            <w:shd w:val="clear" w:color="auto" w:fill="auto"/>
            <w:vAlign w:val="center"/>
          </w:tcPr>
          <w:p w14:paraId="69E2EE98">
            <w:pPr>
              <w:pStyle w:val="47"/>
              <w:snapToGrid w:val="0"/>
              <w:spacing w:line="400" w:lineRule="exact"/>
              <w:jc w:val="center"/>
              <w:rPr>
                <w:rFonts w:cs="Times New Roman"/>
                <w:sz w:val="24"/>
                <w:szCs w:val="24"/>
              </w:rPr>
            </w:pPr>
            <w:r>
              <w:rPr>
                <w:rFonts w:cs="Times New Roman"/>
                <w:sz w:val="24"/>
                <w:szCs w:val="24"/>
              </w:rPr>
              <w:t>拟建</w:t>
            </w:r>
          </w:p>
        </w:tc>
        <w:tc>
          <w:tcPr>
            <w:tcW w:w="493" w:type="pct"/>
            <w:vAlign w:val="center"/>
          </w:tcPr>
          <w:p w14:paraId="6D5743F7">
            <w:pPr>
              <w:pStyle w:val="47"/>
              <w:snapToGrid w:val="0"/>
              <w:spacing w:line="400" w:lineRule="exact"/>
              <w:jc w:val="center"/>
              <w:rPr>
                <w:rFonts w:cs="Times New Roman"/>
                <w:sz w:val="24"/>
                <w:szCs w:val="24"/>
              </w:rPr>
            </w:pPr>
            <w:r>
              <w:rPr>
                <w:rFonts w:cs="Times New Roman"/>
                <w:sz w:val="24"/>
                <w:szCs w:val="24"/>
              </w:rPr>
              <w:t>待定</w:t>
            </w:r>
          </w:p>
        </w:tc>
        <w:tc>
          <w:tcPr>
            <w:tcW w:w="532" w:type="pct"/>
            <w:shd w:val="clear" w:color="auto" w:fill="auto"/>
            <w:vAlign w:val="center"/>
          </w:tcPr>
          <w:p w14:paraId="54263C4A">
            <w:pPr>
              <w:pStyle w:val="47"/>
              <w:snapToGrid w:val="0"/>
              <w:spacing w:line="400" w:lineRule="exact"/>
              <w:jc w:val="center"/>
              <w:rPr>
                <w:rFonts w:cs="Times New Roman"/>
                <w:sz w:val="24"/>
                <w:szCs w:val="24"/>
              </w:rPr>
            </w:pPr>
            <w:r>
              <w:rPr>
                <w:rFonts w:cs="Times New Roman"/>
                <w:sz w:val="24"/>
                <w:szCs w:val="24"/>
              </w:rPr>
              <w:t>区</w:t>
            </w:r>
            <w:r>
              <w:rPr>
                <w:rFonts w:hint="eastAsia" w:cs="Times New Roman"/>
                <w:sz w:val="24"/>
                <w:szCs w:val="24"/>
              </w:rPr>
              <w:t>市场</w:t>
            </w:r>
          </w:p>
          <w:p w14:paraId="670B1E23">
            <w:pPr>
              <w:pStyle w:val="47"/>
              <w:snapToGrid w:val="0"/>
              <w:spacing w:line="400" w:lineRule="exact"/>
              <w:jc w:val="center"/>
              <w:rPr>
                <w:rFonts w:cs="Times New Roman"/>
                <w:sz w:val="24"/>
                <w:szCs w:val="24"/>
              </w:rPr>
            </w:pPr>
            <w:r>
              <w:rPr>
                <w:rFonts w:hint="eastAsia" w:cs="Times New Roman"/>
                <w:sz w:val="24"/>
                <w:szCs w:val="24"/>
              </w:rPr>
              <w:t>监管</w:t>
            </w:r>
            <w:r>
              <w:rPr>
                <w:rFonts w:cs="Times New Roman"/>
                <w:sz w:val="24"/>
                <w:szCs w:val="24"/>
              </w:rPr>
              <w:t>局</w:t>
            </w:r>
          </w:p>
        </w:tc>
        <w:tc>
          <w:tcPr>
            <w:tcW w:w="460" w:type="pct"/>
            <w:shd w:val="clear" w:color="auto" w:fill="auto"/>
            <w:vAlign w:val="center"/>
          </w:tcPr>
          <w:p w14:paraId="1736B028">
            <w:pPr>
              <w:pStyle w:val="47"/>
              <w:snapToGrid w:val="0"/>
              <w:spacing w:line="400" w:lineRule="exact"/>
              <w:jc w:val="center"/>
              <w:rPr>
                <w:rFonts w:cs="Times New Roman"/>
                <w:sz w:val="24"/>
                <w:szCs w:val="24"/>
              </w:rPr>
            </w:pPr>
            <w:r>
              <w:rPr>
                <w:rFonts w:cs="Times New Roman"/>
                <w:sz w:val="24"/>
                <w:szCs w:val="24"/>
              </w:rPr>
              <w:t>2022</w:t>
            </w:r>
            <w:r>
              <w:rPr>
                <w:rFonts w:hint="eastAsia" w:cs="Times New Roman"/>
                <w:sz w:val="24"/>
                <w:szCs w:val="24"/>
              </w:rPr>
              <w:t>－</w:t>
            </w:r>
            <w:r>
              <w:rPr>
                <w:rFonts w:cs="Times New Roman"/>
                <w:sz w:val="24"/>
                <w:szCs w:val="24"/>
              </w:rPr>
              <w:t>2025</w:t>
            </w:r>
          </w:p>
        </w:tc>
      </w:tr>
      <w:tr w14:paraId="1616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Merge w:val="continue"/>
            <w:shd w:val="clear" w:color="auto" w:fill="auto"/>
            <w:vAlign w:val="center"/>
          </w:tcPr>
          <w:p w14:paraId="73BFF6E3">
            <w:pPr>
              <w:pStyle w:val="47"/>
              <w:snapToGrid w:val="0"/>
              <w:spacing w:line="400" w:lineRule="exact"/>
              <w:jc w:val="center"/>
              <w:rPr>
                <w:rFonts w:cs="Times New Roman"/>
                <w:b/>
                <w:bCs/>
                <w:sz w:val="24"/>
                <w:szCs w:val="24"/>
              </w:rPr>
            </w:pPr>
          </w:p>
        </w:tc>
        <w:tc>
          <w:tcPr>
            <w:tcW w:w="242" w:type="pct"/>
            <w:shd w:val="clear" w:color="auto" w:fill="auto"/>
            <w:vAlign w:val="center"/>
          </w:tcPr>
          <w:p w14:paraId="0057B325">
            <w:pPr>
              <w:pStyle w:val="47"/>
              <w:numPr>
                <w:ilvl w:val="0"/>
                <w:numId w:val="29"/>
              </w:numPr>
              <w:snapToGrid w:val="0"/>
              <w:spacing w:line="400" w:lineRule="exact"/>
              <w:ind w:left="0" w:firstLine="0"/>
              <w:jc w:val="center"/>
              <w:rPr>
                <w:rFonts w:cs="Times New Roman"/>
                <w:sz w:val="24"/>
                <w:szCs w:val="24"/>
              </w:rPr>
            </w:pPr>
          </w:p>
        </w:tc>
        <w:tc>
          <w:tcPr>
            <w:tcW w:w="594" w:type="pct"/>
            <w:shd w:val="clear" w:color="auto" w:fill="auto"/>
            <w:vAlign w:val="center"/>
          </w:tcPr>
          <w:p w14:paraId="391844AC">
            <w:pPr>
              <w:pStyle w:val="47"/>
              <w:snapToGrid w:val="0"/>
              <w:spacing w:line="400" w:lineRule="exact"/>
              <w:jc w:val="center"/>
              <w:rPr>
                <w:rFonts w:cs="Times New Roman"/>
                <w:sz w:val="24"/>
                <w:szCs w:val="24"/>
              </w:rPr>
            </w:pPr>
            <w:r>
              <w:rPr>
                <w:rFonts w:hint="eastAsia" w:cs="Times New Roman"/>
                <w:sz w:val="24"/>
                <w:szCs w:val="24"/>
              </w:rPr>
              <w:t>“</w:t>
            </w:r>
            <w:r>
              <w:rPr>
                <w:rFonts w:cs="Times New Roman"/>
                <w:sz w:val="24"/>
                <w:szCs w:val="24"/>
              </w:rPr>
              <w:t>无废景区</w:t>
            </w:r>
            <w:r>
              <w:rPr>
                <w:rFonts w:hint="eastAsia" w:cs="Times New Roman"/>
                <w:sz w:val="24"/>
                <w:szCs w:val="24"/>
              </w:rPr>
              <w:t>”</w:t>
            </w:r>
            <w:r>
              <w:rPr>
                <w:rFonts w:cs="Times New Roman"/>
                <w:sz w:val="24"/>
                <w:szCs w:val="24"/>
              </w:rPr>
              <w:t>创建</w:t>
            </w:r>
          </w:p>
        </w:tc>
        <w:tc>
          <w:tcPr>
            <w:tcW w:w="1442" w:type="pct"/>
            <w:shd w:val="clear" w:color="auto" w:fill="auto"/>
            <w:vAlign w:val="center"/>
          </w:tcPr>
          <w:p w14:paraId="0B7F2C60">
            <w:pPr>
              <w:pStyle w:val="47"/>
              <w:snapToGrid w:val="0"/>
              <w:spacing w:line="400" w:lineRule="exact"/>
              <w:jc w:val="left"/>
              <w:rPr>
                <w:rFonts w:cs="Times New Roman"/>
                <w:sz w:val="24"/>
                <w:szCs w:val="24"/>
              </w:rPr>
            </w:pPr>
            <w:r>
              <w:rPr>
                <w:rFonts w:cs="Times New Roman"/>
                <w:sz w:val="24"/>
                <w:szCs w:val="24"/>
              </w:rPr>
              <w:t>鼓励中山陵、玄武湖景区等旅游景点积极推进和强化</w:t>
            </w:r>
            <w:r>
              <w:rPr>
                <w:rFonts w:hint="eastAsia" w:cs="Times New Roman"/>
                <w:sz w:val="24"/>
                <w:szCs w:val="24"/>
              </w:rPr>
              <w:t>“</w:t>
            </w:r>
            <w:r>
              <w:rPr>
                <w:rFonts w:cs="Times New Roman"/>
                <w:sz w:val="24"/>
                <w:szCs w:val="24"/>
              </w:rPr>
              <w:t>无废景区</w:t>
            </w:r>
            <w:r>
              <w:rPr>
                <w:rFonts w:hint="eastAsia" w:cs="Times New Roman"/>
                <w:sz w:val="24"/>
                <w:szCs w:val="24"/>
              </w:rPr>
              <w:t>”</w:t>
            </w:r>
            <w:r>
              <w:rPr>
                <w:rFonts w:cs="Times New Roman"/>
                <w:sz w:val="24"/>
                <w:szCs w:val="24"/>
              </w:rPr>
              <w:t>建设，到2025年，创建5个</w:t>
            </w:r>
            <w:r>
              <w:rPr>
                <w:rFonts w:hint="eastAsia" w:cs="Times New Roman"/>
                <w:sz w:val="24"/>
                <w:szCs w:val="24"/>
              </w:rPr>
              <w:t>“</w:t>
            </w:r>
            <w:r>
              <w:rPr>
                <w:rFonts w:cs="Times New Roman"/>
                <w:sz w:val="24"/>
                <w:szCs w:val="24"/>
              </w:rPr>
              <w:t>无废景区</w:t>
            </w:r>
            <w:r>
              <w:rPr>
                <w:rFonts w:hint="eastAsia" w:cs="Times New Roman"/>
                <w:sz w:val="24"/>
                <w:szCs w:val="24"/>
              </w:rPr>
              <w:t>”</w:t>
            </w:r>
          </w:p>
        </w:tc>
        <w:tc>
          <w:tcPr>
            <w:tcW w:w="426" w:type="pct"/>
            <w:shd w:val="clear" w:color="auto" w:fill="auto"/>
            <w:vAlign w:val="center"/>
          </w:tcPr>
          <w:p w14:paraId="50D1E565">
            <w:pPr>
              <w:pStyle w:val="47"/>
              <w:snapToGrid w:val="0"/>
              <w:spacing w:line="400" w:lineRule="exact"/>
              <w:jc w:val="center"/>
              <w:rPr>
                <w:rFonts w:cs="Times New Roman"/>
                <w:sz w:val="24"/>
                <w:szCs w:val="24"/>
              </w:rPr>
            </w:pPr>
            <w:r>
              <w:rPr>
                <w:rFonts w:cs="Times New Roman"/>
                <w:sz w:val="24"/>
                <w:szCs w:val="24"/>
              </w:rPr>
              <w:t>相关景区</w:t>
            </w:r>
          </w:p>
        </w:tc>
        <w:tc>
          <w:tcPr>
            <w:tcW w:w="267" w:type="pct"/>
            <w:shd w:val="clear" w:color="auto" w:fill="auto"/>
            <w:vAlign w:val="center"/>
          </w:tcPr>
          <w:p w14:paraId="21DC4826">
            <w:pPr>
              <w:pStyle w:val="47"/>
              <w:snapToGrid w:val="0"/>
              <w:spacing w:line="400" w:lineRule="exact"/>
              <w:jc w:val="center"/>
              <w:rPr>
                <w:rFonts w:cs="Times New Roman"/>
                <w:sz w:val="24"/>
                <w:szCs w:val="24"/>
              </w:rPr>
            </w:pPr>
            <w:r>
              <w:rPr>
                <w:rFonts w:cs="Times New Roman"/>
                <w:sz w:val="24"/>
                <w:szCs w:val="24"/>
              </w:rPr>
              <w:t>拟建</w:t>
            </w:r>
          </w:p>
        </w:tc>
        <w:tc>
          <w:tcPr>
            <w:tcW w:w="493" w:type="pct"/>
            <w:vAlign w:val="center"/>
          </w:tcPr>
          <w:p w14:paraId="23B856CC">
            <w:pPr>
              <w:pStyle w:val="47"/>
              <w:snapToGrid w:val="0"/>
              <w:spacing w:line="400" w:lineRule="exact"/>
              <w:jc w:val="center"/>
              <w:rPr>
                <w:rFonts w:cs="Times New Roman"/>
                <w:sz w:val="24"/>
                <w:szCs w:val="24"/>
              </w:rPr>
            </w:pPr>
            <w:r>
              <w:rPr>
                <w:rFonts w:cs="Times New Roman"/>
                <w:sz w:val="24"/>
                <w:szCs w:val="24"/>
              </w:rPr>
              <w:t>待定</w:t>
            </w:r>
          </w:p>
        </w:tc>
        <w:tc>
          <w:tcPr>
            <w:tcW w:w="532" w:type="pct"/>
            <w:shd w:val="clear" w:color="auto" w:fill="auto"/>
            <w:vAlign w:val="center"/>
          </w:tcPr>
          <w:p w14:paraId="5D8A14D1">
            <w:pPr>
              <w:pStyle w:val="47"/>
              <w:snapToGrid w:val="0"/>
              <w:spacing w:line="400" w:lineRule="exact"/>
              <w:jc w:val="center"/>
              <w:rPr>
                <w:rFonts w:cs="Times New Roman"/>
                <w:sz w:val="24"/>
                <w:szCs w:val="24"/>
              </w:rPr>
            </w:pPr>
            <w:r>
              <w:rPr>
                <w:rFonts w:cs="Times New Roman"/>
                <w:sz w:val="24"/>
                <w:szCs w:val="24"/>
              </w:rPr>
              <w:t>区文旅局</w:t>
            </w:r>
          </w:p>
        </w:tc>
        <w:tc>
          <w:tcPr>
            <w:tcW w:w="460" w:type="pct"/>
            <w:shd w:val="clear" w:color="auto" w:fill="auto"/>
            <w:vAlign w:val="center"/>
          </w:tcPr>
          <w:p w14:paraId="1904F39A">
            <w:pPr>
              <w:pStyle w:val="47"/>
              <w:snapToGrid w:val="0"/>
              <w:spacing w:line="400" w:lineRule="exact"/>
              <w:jc w:val="center"/>
              <w:rPr>
                <w:rFonts w:cs="Times New Roman"/>
                <w:sz w:val="24"/>
                <w:szCs w:val="24"/>
              </w:rPr>
            </w:pPr>
            <w:r>
              <w:rPr>
                <w:rFonts w:cs="Times New Roman"/>
                <w:sz w:val="24"/>
                <w:szCs w:val="24"/>
              </w:rPr>
              <w:t>2022</w:t>
            </w:r>
            <w:r>
              <w:rPr>
                <w:rFonts w:hint="eastAsia" w:cs="Times New Roman"/>
                <w:sz w:val="24"/>
                <w:szCs w:val="24"/>
              </w:rPr>
              <w:t>－</w:t>
            </w:r>
            <w:r>
              <w:rPr>
                <w:rFonts w:cs="Times New Roman"/>
                <w:sz w:val="24"/>
                <w:szCs w:val="24"/>
              </w:rPr>
              <w:t>2025</w:t>
            </w:r>
          </w:p>
        </w:tc>
      </w:tr>
    </w:tbl>
    <w:p w14:paraId="34838550">
      <w:pPr>
        <w:pStyle w:val="2"/>
        <w:spacing w:beforeLines="0" w:after="0" w:line="300" w:lineRule="exact"/>
        <w:ind w:left="0" w:firstLine="0"/>
        <w:rPr>
          <w:rFonts w:ascii="方正黑体_GBK" w:cs="Times New Roman"/>
          <w:szCs w:val="28"/>
        </w:rPr>
        <w:sectPr>
          <w:pgSz w:w="16838" w:h="11906" w:orient="landscape"/>
          <w:pgMar w:top="1588" w:right="2098" w:bottom="1474" w:left="1701" w:header="851" w:footer="1247" w:gutter="0"/>
          <w:cols w:space="0" w:num="1"/>
          <w:docGrid w:type="linesAndChars" w:linePitch="449" w:charSpace="0"/>
        </w:sectPr>
      </w:pPr>
      <w:bookmarkStart w:id="168" w:name="_Toc129882970"/>
    </w:p>
    <w:p w14:paraId="7DEDAF81">
      <w:pPr>
        <w:pStyle w:val="2"/>
        <w:numPr>
          <w:ilvl w:val="0"/>
          <w:numId w:val="30"/>
        </w:numPr>
        <w:spacing w:beforeLines="0" w:after="0"/>
      </w:pPr>
      <w:bookmarkStart w:id="169" w:name="_Toc140150531"/>
      <w:r>
        <w:rPr>
          <w:rFonts w:hint="eastAsia" w:ascii="方正黑体_GBK" w:cs="Times New Roman"/>
          <w:szCs w:val="28"/>
        </w:rPr>
        <w:t>部门责任清单</w:t>
      </w:r>
      <w:bookmarkEnd w:id="168"/>
      <w:bookmarkEnd w:id="169"/>
    </w:p>
    <w:p w14:paraId="52079F5F">
      <w:pPr>
        <w:ind w:firstLine="640" w:firstLineChars="200"/>
        <w:rPr>
          <w:rFonts w:cs="Times New Roman"/>
          <w:snapToGrid w:val="0"/>
          <w:szCs w:val="32"/>
        </w:rPr>
        <w:sectPr>
          <w:pgSz w:w="11906" w:h="16838"/>
          <w:pgMar w:top="2098" w:right="1474" w:bottom="1701" w:left="1588" w:header="851" w:footer="1247" w:gutter="0"/>
          <w:cols w:space="0" w:num="1"/>
          <w:docGrid w:type="lines" w:linePitch="449" w:charSpace="0"/>
        </w:sectPr>
      </w:pPr>
      <w:r>
        <w:rPr>
          <w:rFonts w:cs="Times New Roman"/>
          <w:snapToGrid w:val="0"/>
          <w:szCs w:val="32"/>
        </w:rPr>
        <w:t>为保障玄武区</w:t>
      </w:r>
      <w:r>
        <w:rPr>
          <w:rFonts w:hint="eastAsia" w:cs="Times New Roman"/>
          <w:snapToGrid w:val="0"/>
          <w:szCs w:val="32"/>
        </w:rPr>
        <w:t>“</w:t>
      </w:r>
      <w:r>
        <w:rPr>
          <w:rFonts w:cs="Times New Roman"/>
          <w:snapToGrid w:val="0"/>
          <w:szCs w:val="32"/>
        </w:rPr>
        <w:t>无废城市</w:t>
      </w:r>
      <w:r>
        <w:rPr>
          <w:rFonts w:hint="eastAsia" w:cs="Times New Roman"/>
          <w:snapToGrid w:val="0"/>
          <w:szCs w:val="32"/>
        </w:rPr>
        <w:t>”</w:t>
      </w:r>
      <w:r>
        <w:rPr>
          <w:rFonts w:cs="Times New Roman"/>
          <w:snapToGrid w:val="0"/>
          <w:szCs w:val="32"/>
        </w:rPr>
        <w:t>建设工作有效推进落实，梳理涉及玄武生态环境局、</w:t>
      </w:r>
      <w:r>
        <w:rPr>
          <w:rFonts w:hint="eastAsia" w:cs="Times New Roman"/>
          <w:snapToGrid w:val="0"/>
          <w:szCs w:val="32"/>
        </w:rPr>
        <w:t>区</w:t>
      </w:r>
      <w:r>
        <w:rPr>
          <w:rFonts w:cs="Times New Roman"/>
          <w:snapToGrid w:val="0"/>
          <w:szCs w:val="32"/>
        </w:rPr>
        <w:t>发改委、</w:t>
      </w:r>
      <w:r>
        <w:rPr>
          <w:rFonts w:hint="eastAsia" w:cs="Times New Roman"/>
          <w:snapToGrid w:val="0"/>
          <w:szCs w:val="32"/>
        </w:rPr>
        <w:t>区</w:t>
      </w:r>
      <w:r>
        <w:rPr>
          <w:rFonts w:cs="Times New Roman"/>
          <w:snapToGrid w:val="0"/>
          <w:szCs w:val="32"/>
        </w:rPr>
        <w:t>城管局、</w:t>
      </w:r>
      <w:r>
        <w:rPr>
          <w:rFonts w:hint="eastAsia" w:cs="Times New Roman"/>
          <w:snapToGrid w:val="0"/>
          <w:szCs w:val="32"/>
        </w:rPr>
        <w:t>区</w:t>
      </w:r>
      <w:r>
        <w:rPr>
          <w:rFonts w:cs="Times New Roman"/>
          <w:snapToGrid w:val="0"/>
          <w:szCs w:val="32"/>
        </w:rPr>
        <w:t>建设局等16个相关职能部门，共计62项工作任务和工程项目责任清单，保障财政、土地、资金、人才、技术等要素投入，促进形成分工明确、协同增效的综合治理体制机制，搭建高效的联动监管平台。</w:t>
      </w:r>
    </w:p>
    <w:p w14:paraId="61FFC848">
      <w:pPr>
        <w:ind w:firstLine="480" w:firstLineChars="200"/>
        <w:jc w:val="center"/>
        <w:rPr>
          <w:rFonts w:cs="Times New Roman"/>
          <w:b/>
          <w:bCs/>
          <w:sz w:val="24"/>
          <w:szCs w:val="24"/>
        </w:rPr>
      </w:pPr>
      <w:r>
        <w:rPr>
          <w:rFonts w:cs="Times New Roman"/>
          <w:b/>
          <w:bCs/>
          <w:sz w:val="24"/>
          <w:szCs w:val="24"/>
        </w:rPr>
        <w:t>表7.1</w:t>
      </w:r>
      <w:r>
        <w:rPr>
          <w:rFonts w:hint="eastAsia" w:cs="Times New Roman"/>
          <w:b/>
          <w:bCs/>
          <w:sz w:val="24"/>
          <w:szCs w:val="24"/>
        </w:rPr>
        <w:t>－</w:t>
      </w:r>
      <w:r>
        <w:rPr>
          <w:rFonts w:cs="Times New Roman"/>
          <w:b/>
          <w:bCs/>
          <w:sz w:val="24"/>
          <w:szCs w:val="24"/>
        </w:rPr>
        <w:t xml:space="preserve">1 </w:t>
      </w:r>
      <w:bookmarkStart w:id="170" w:name="_Toc119073736"/>
      <w:bookmarkStart w:id="171" w:name="_Toc118993013"/>
      <w:r>
        <w:rPr>
          <w:rFonts w:cs="Times New Roman"/>
          <w:b/>
          <w:bCs/>
          <w:sz w:val="24"/>
          <w:szCs w:val="24"/>
        </w:rPr>
        <w:t>玄武区</w:t>
      </w:r>
      <w:r>
        <w:rPr>
          <w:rFonts w:hint="eastAsia" w:cs="Times New Roman"/>
          <w:b/>
          <w:bCs/>
          <w:sz w:val="24"/>
          <w:szCs w:val="24"/>
        </w:rPr>
        <w:t>“</w:t>
      </w:r>
      <w:r>
        <w:rPr>
          <w:rFonts w:cs="Times New Roman"/>
          <w:b/>
          <w:bCs/>
          <w:sz w:val="24"/>
          <w:szCs w:val="24"/>
        </w:rPr>
        <w:t>无废城市</w:t>
      </w:r>
      <w:r>
        <w:rPr>
          <w:rFonts w:hint="eastAsia" w:cs="Times New Roman"/>
          <w:b/>
          <w:bCs/>
          <w:sz w:val="24"/>
          <w:szCs w:val="24"/>
        </w:rPr>
        <w:t>”</w:t>
      </w:r>
      <w:r>
        <w:rPr>
          <w:rFonts w:cs="Times New Roman"/>
          <w:b/>
          <w:bCs/>
          <w:sz w:val="24"/>
          <w:szCs w:val="24"/>
        </w:rPr>
        <w:t>建设部门责任清单</w:t>
      </w:r>
      <w:bookmarkEnd w:id="170"/>
      <w:bookmarkEnd w:id="171"/>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1189"/>
        <w:gridCol w:w="657"/>
        <w:gridCol w:w="1523"/>
        <w:gridCol w:w="7657"/>
        <w:gridCol w:w="1673"/>
      </w:tblGrid>
      <w:tr w14:paraId="5601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7" w:type="pct"/>
            <w:shd w:val="clear" w:color="000000" w:fill="D0CECE"/>
            <w:vAlign w:val="center"/>
          </w:tcPr>
          <w:p w14:paraId="2D222BFA">
            <w:pPr>
              <w:widowControl/>
              <w:snapToGrid w:val="0"/>
              <w:spacing w:line="400" w:lineRule="exact"/>
              <w:jc w:val="center"/>
              <w:rPr>
                <w:rFonts w:eastAsia="等线" w:cs="Times New Roman"/>
                <w:b/>
                <w:bCs/>
                <w:spacing w:val="-20"/>
                <w:kern w:val="0"/>
                <w:sz w:val="24"/>
                <w:szCs w:val="24"/>
              </w:rPr>
            </w:pPr>
            <w:r>
              <w:rPr>
                <w:rFonts w:cs="Times New Roman"/>
                <w:b/>
                <w:bCs/>
                <w:spacing w:val="-20"/>
                <w:kern w:val="0"/>
                <w:sz w:val="24"/>
                <w:szCs w:val="24"/>
              </w:rPr>
              <w:t>序号</w:t>
            </w:r>
          </w:p>
        </w:tc>
        <w:tc>
          <w:tcPr>
            <w:tcW w:w="486" w:type="pct"/>
            <w:shd w:val="clear" w:color="000000" w:fill="D0CECE"/>
            <w:vAlign w:val="center"/>
          </w:tcPr>
          <w:p w14:paraId="5D9AF249">
            <w:pPr>
              <w:widowControl/>
              <w:snapToGrid w:val="0"/>
              <w:spacing w:line="400" w:lineRule="exact"/>
              <w:jc w:val="center"/>
              <w:rPr>
                <w:rFonts w:eastAsia="等线" w:cs="Times New Roman"/>
                <w:b/>
                <w:bCs/>
                <w:spacing w:val="-20"/>
                <w:kern w:val="0"/>
                <w:sz w:val="24"/>
                <w:szCs w:val="24"/>
              </w:rPr>
            </w:pPr>
            <w:r>
              <w:rPr>
                <w:rFonts w:cs="Times New Roman"/>
                <w:b/>
                <w:bCs/>
                <w:spacing w:val="-20"/>
                <w:kern w:val="0"/>
                <w:sz w:val="24"/>
                <w:szCs w:val="24"/>
              </w:rPr>
              <w:t>责任部门</w:t>
            </w:r>
          </w:p>
        </w:tc>
        <w:tc>
          <w:tcPr>
            <w:tcW w:w="285" w:type="pct"/>
            <w:shd w:val="clear" w:color="000000" w:fill="D0CECE"/>
            <w:vAlign w:val="center"/>
          </w:tcPr>
          <w:p w14:paraId="213BD134">
            <w:pPr>
              <w:widowControl/>
              <w:snapToGrid w:val="0"/>
              <w:spacing w:line="400" w:lineRule="exact"/>
              <w:jc w:val="center"/>
              <w:rPr>
                <w:rFonts w:eastAsia="等线" w:cs="Times New Roman"/>
                <w:b/>
                <w:bCs/>
                <w:spacing w:val="-20"/>
                <w:kern w:val="0"/>
                <w:sz w:val="24"/>
                <w:szCs w:val="24"/>
              </w:rPr>
            </w:pPr>
            <w:r>
              <w:rPr>
                <w:rFonts w:cs="Times New Roman"/>
                <w:b/>
                <w:bCs/>
                <w:spacing w:val="-20"/>
                <w:kern w:val="0"/>
                <w:sz w:val="24"/>
                <w:szCs w:val="24"/>
              </w:rPr>
              <w:t>数量</w:t>
            </w:r>
          </w:p>
        </w:tc>
        <w:tc>
          <w:tcPr>
            <w:tcW w:w="612" w:type="pct"/>
            <w:shd w:val="clear" w:color="000000" w:fill="D0CECE"/>
            <w:vAlign w:val="center"/>
          </w:tcPr>
          <w:p w14:paraId="1628B97A">
            <w:pPr>
              <w:widowControl/>
              <w:snapToGrid w:val="0"/>
              <w:spacing w:line="400" w:lineRule="exact"/>
              <w:jc w:val="center"/>
              <w:rPr>
                <w:rFonts w:eastAsia="等线" w:cs="Times New Roman"/>
                <w:b/>
                <w:bCs/>
                <w:spacing w:val="-20"/>
                <w:kern w:val="0"/>
                <w:sz w:val="24"/>
                <w:szCs w:val="24"/>
              </w:rPr>
            </w:pPr>
            <w:r>
              <w:rPr>
                <w:rFonts w:cs="Times New Roman"/>
                <w:b/>
                <w:bCs/>
                <w:spacing w:val="-20"/>
                <w:kern w:val="0"/>
                <w:sz w:val="24"/>
                <w:szCs w:val="24"/>
              </w:rPr>
              <w:t>任务</w:t>
            </w:r>
            <w:r>
              <w:rPr>
                <w:rFonts w:eastAsia="等线" w:cs="Times New Roman"/>
                <w:b/>
                <w:bCs/>
                <w:spacing w:val="-20"/>
                <w:kern w:val="0"/>
                <w:sz w:val="24"/>
                <w:szCs w:val="24"/>
              </w:rPr>
              <w:t>/</w:t>
            </w:r>
            <w:r>
              <w:rPr>
                <w:rFonts w:cs="Times New Roman"/>
                <w:b/>
                <w:bCs/>
                <w:spacing w:val="-20"/>
                <w:kern w:val="0"/>
                <w:sz w:val="24"/>
                <w:szCs w:val="24"/>
              </w:rPr>
              <w:t>项目编号</w:t>
            </w:r>
          </w:p>
        </w:tc>
        <w:tc>
          <w:tcPr>
            <w:tcW w:w="2702" w:type="pct"/>
            <w:shd w:val="clear" w:color="000000" w:fill="D0CECE"/>
            <w:vAlign w:val="center"/>
          </w:tcPr>
          <w:p w14:paraId="45930884">
            <w:pPr>
              <w:widowControl/>
              <w:snapToGrid w:val="0"/>
              <w:spacing w:line="400" w:lineRule="exact"/>
              <w:jc w:val="left"/>
              <w:rPr>
                <w:rFonts w:eastAsia="等线" w:cs="Times New Roman"/>
                <w:b/>
                <w:bCs/>
                <w:spacing w:val="-20"/>
                <w:kern w:val="0"/>
                <w:sz w:val="24"/>
                <w:szCs w:val="24"/>
              </w:rPr>
            </w:pPr>
            <w:r>
              <w:rPr>
                <w:rFonts w:cs="Times New Roman"/>
                <w:b/>
                <w:bCs/>
                <w:spacing w:val="-20"/>
                <w:kern w:val="0"/>
                <w:sz w:val="24"/>
                <w:szCs w:val="24"/>
              </w:rPr>
              <w:t>任务</w:t>
            </w:r>
            <w:r>
              <w:rPr>
                <w:rFonts w:eastAsia="等线" w:cs="Times New Roman"/>
                <w:b/>
                <w:bCs/>
                <w:spacing w:val="-20"/>
                <w:kern w:val="0"/>
                <w:sz w:val="24"/>
                <w:szCs w:val="24"/>
              </w:rPr>
              <w:t>/</w:t>
            </w:r>
            <w:r>
              <w:rPr>
                <w:rFonts w:cs="Times New Roman"/>
                <w:b/>
                <w:bCs/>
                <w:spacing w:val="-20"/>
                <w:kern w:val="0"/>
                <w:sz w:val="24"/>
                <w:szCs w:val="24"/>
              </w:rPr>
              <w:t>项目名称</w:t>
            </w:r>
          </w:p>
        </w:tc>
        <w:tc>
          <w:tcPr>
            <w:tcW w:w="668" w:type="pct"/>
            <w:shd w:val="clear" w:color="000000" w:fill="D0CECE"/>
            <w:vAlign w:val="center"/>
          </w:tcPr>
          <w:p w14:paraId="7F243258">
            <w:pPr>
              <w:widowControl/>
              <w:snapToGrid w:val="0"/>
              <w:spacing w:line="400" w:lineRule="exact"/>
              <w:jc w:val="center"/>
              <w:rPr>
                <w:rFonts w:eastAsia="等线" w:cs="Times New Roman"/>
                <w:b/>
                <w:bCs/>
                <w:spacing w:val="-20"/>
                <w:kern w:val="0"/>
                <w:sz w:val="24"/>
                <w:szCs w:val="24"/>
              </w:rPr>
            </w:pPr>
            <w:r>
              <w:rPr>
                <w:rFonts w:cs="Times New Roman"/>
                <w:b/>
                <w:bCs/>
                <w:spacing w:val="-20"/>
                <w:kern w:val="0"/>
                <w:sz w:val="24"/>
                <w:szCs w:val="24"/>
              </w:rPr>
              <w:t>完成时限</w:t>
            </w:r>
          </w:p>
        </w:tc>
      </w:tr>
      <w:tr w14:paraId="3BA9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137C71B2">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w:t>
            </w:r>
          </w:p>
        </w:tc>
        <w:tc>
          <w:tcPr>
            <w:tcW w:w="486" w:type="pct"/>
            <w:vMerge w:val="restart"/>
            <w:shd w:val="clear" w:color="auto" w:fill="auto"/>
            <w:vAlign w:val="center"/>
          </w:tcPr>
          <w:p w14:paraId="2800C993">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区攻坚办无废工作组</w:t>
            </w:r>
          </w:p>
        </w:tc>
        <w:tc>
          <w:tcPr>
            <w:tcW w:w="285" w:type="pct"/>
            <w:vMerge w:val="restart"/>
            <w:shd w:val="clear" w:color="auto" w:fill="auto"/>
            <w:vAlign w:val="center"/>
          </w:tcPr>
          <w:p w14:paraId="4855D35A">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12</w:t>
            </w:r>
          </w:p>
        </w:tc>
        <w:tc>
          <w:tcPr>
            <w:tcW w:w="612" w:type="pct"/>
            <w:shd w:val="clear" w:color="auto" w:fill="auto"/>
            <w:vAlign w:val="center"/>
          </w:tcPr>
          <w:p w14:paraId="5867A447">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A1</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48D8DF97">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设立</w:t>
            </w:r>
            <w:r>
              <w:rPr>
                <w:rFonts w:hint="eastAsia" w:ascii="方正仿宋_GBK" w:cs="Times New Roman"/>
                <w:spacing w:val="-20"/>
                <w:kern w:val="0"/>
                <w:sz w:val="24"/>
                <w:szCs w:val="24"/>
              </w:rPr>
              <w:t>“无废城市”</w:t>
            </w:r>
            <w:r>
              <w:rPr>
                <w:rFonts w:cs="Times New Roman"/>
                <w:spacing w:val="-20"/>
                <w:kern w:val="0"/>
                <w:sz w:val="24"/>
                <w:szCs w:val="24"/>
              </w:rPr>
              <w:t>工作小组</w:t>
            </w:r>
          </w:p>
        </w:tc>
        <w:tc>
          <w:tcPr>
            <w:tcW w:w="668" w:type="pct"/>
            <w:shd w:val="clear" w:color="auto" w:fill="auto"/>
            <w:vAlign w:val="center"/>
          </w:tcPr>
          <w:p w14:paraId="08821845">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已建</w:t>
            </w:r>
          </w:p>
        </w:tc>
      </w:tr>
      <w:tr w14:paraId="0EE0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3D1ED24A">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0B3C91FF">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3AFF9765">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6A0115DA">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A1</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45F778FF">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建立</w:t>
            </w:r>
            <w:r>
              <w:rPr>
                <w:rFonts w:hint="eastAsia" w:ascii="方正仿宋_GBK" w:cs="Times New Roman"/>
                <w:spacing w:val="-20"/>
                <w:kern w:val="0"/>
                <w:sz w:val="24"/>
                <w:szCs w:val="24"/>
              </w:rPr>
              <w:t>“无废城市”</w:t>
            </w:r>
            <w:r>
              <w:rPr>
                <w:rFonts w:cs="Times New Roman"/>
                <w:spacing w:val="-20"/>
                <w:kern w:val="0"/>
                <w:sz w:val="24"/>
                <w:szCs w:val="24"/>
              </w:rPr>
              <w:t>建设联席会议制度</w:t>
            </w:r>
          </w:p>
        </w:tc>
        <w:tc>
          <w:tcPr>
            <w:tcW w:w="668" w:type="pct"/>
            <w:shd w:val="clear" w:color="auto" w:fill="auto"/>
            <w:vAlign w:val="center"/>
          </w:tcPr>
          <w:p w14:paraId="621176AE">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2023</w:t>
            </w:r>
            <w:r>
              <w:rPr>
                <w:rFonts w:cs="Times New Roman"/>
                <w:spacing w:val="-20"/>
                <w:kern w:val="0"/>
                <w:sz w:val="24"/>
                <w:szCs w:val="24"/>
              </w:rPr>
              <w:t>年前</w:t>
            </w:r>
          </w:p>
        </w:tc>
      </w:tr>
      <w:tr w14:paraId="65B0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3E73CB8E">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8C7B1F8">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FD87CE2">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AD24989">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A1</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66782D3B">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建立</w:t>
            </w:r>
            <w:r>
              <w:rPr>
                <w:rFonts w:hint="eastAsia" w:ascii="方正仿宋_GBK" w:cs="Times New Roman"/>
                <w:spacing w:val="-20"/>
                <w:kern w:val="0"/>
                <w:sz w:val="24"/>
                <w:szCs w:val="24"/>
              </w:rPr>
              <w:t>“无废城市”</w:t>
            </w:r>
            <w:r>
              <w:rPr>
                <w:rFonts w:cs="Times New Roman"/>
                <w:spacing w:val="-20"/>
                <w:kern w:val="0"/>
                <w:sz w:val="24"/>
                <w:szCs w:val="24"/>
              </w:rPr>
              <w:t>建设重点问题会商制度</w:t>
            </w:r>
          </w:p>
        </w:tc>
        <w:tc>
          <w:tcPr>
            <w:tcW w:w="668" w:type="pct"/>
            <w:shd w:val="clear" w:color="auto" w:fill="auto"/>
            <w:vAlign w:val="center"/>
          </w:tcPr>
          <w:p w14:paraId="16F755D5">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2023</w:t>
            </w:r>
            <w:r>
              <w:rPr>
                <w:rFonts w:cs="Times New Roman"/>
                <w:spacing w:val="-20"/>
                <w:kern w:val="0"/>
                <w:sz w:val="24"/>
                <w:szCs w:val="24"/>
              </w:rPr>
              <w:t>年前</w:t>
            </w:r>
          </w:p>
        </w:tc>
      </w:tr>
      <w:tr w14:paraId="75A4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34CC4AF0">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F0115DA">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224BA495">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63B9D83">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A1</w:t>
            </w:r>
            <w:r>
              <w:rPr>
                <w:rFonts w:hint="eastAsia" w:eastAsia="等线" w:cs="Times New Roman"/>
                <w:spacing w:val="-20"/>
                <w:kern w:val="0"/>
                <w:sz w:val="24"/>
                <w:szCs w:val="24"/>
              </w:rPr>
              <w:t>－</w:t>
            </w:r>
            <w:r>
              <w:rPr>
                <w:rFonts w:eastAsia="等线" w:cs="Times New Roman"/>
                <w:spacing w:val="-20"/>
                <w:kern w:val="0"/>
                <w:sz w:val="24"/>
                <w:szCs w:val="24"/>
              </w:rPr>
              <w:t>4</w:t>
            </w:r>
          </w:p>
        </w:tc>
        <w:tc>
          <w:tcPr>
            <w:tcW w:w="2702" w:type="pct"/>
            <w:shd w:val="clear" w:color="auto" w:fill="auto"/>
            <w:vAlign w:val="center"/>
          </w:tcPr>
          <w:p w14:paraId="6C2236C8">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制定</w:t>
            </w:r>
            <w:r>
              <w:rPr>
                <w:rFonts w:hint="eastAsia" w:ascii="方正仿宋_GBK" w:cs="Times New Roman"/>
                <w:spacing w:val="-20"/>
                <w:kern w:val="0"/>
                <w:sz w:val="24"/>
                <w:szCs w:val="24"/>
              </w:rPr>
              <w:t>“无废城市”</w:t>
            </w:r>
            <w:r>
              <w:rPr>
                <w:rFonts w:cs="Times New Roman"/>
                <w:spacing w:val="-20"/>
                <w:kern w:val="0"/>
                <w:sz w:val="24"/>
                <w:szCs w:val="24"/>
              </w:rPr>
              <w:t>建设绩效考核机制</w:t>
            </w:r>
          </w:p>
        </w:tc>
        <w:tc>
          <w:tcPr>
            <w:tcW w:w="668" w:type="pct"/>
            <w:shd w:val="clear" w:color="auto" w:fill="auto"/>
            <w:vAlign w:val="center"/>
          </w:tcPr>
          <w:p w14:paraId="42403993">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2023</w:t>
            </w:r>
            <w:r>
              <w:rPr>
                <w:rFonts w:cs="Times New Roman"/>
                <w:spacing w:val="-20"/>
                <w:kern w:val="0"/>
                <w:sz w:val="24"/>
                <w:szCs w:val="24"/>
              </w:rPr>
              <w:t>年前</w:t>
            </w:r>
          </w:p>
        </w:tc>
      </w:tr>
      <w:tr w14:paraId="614C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16B20FC">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37CF22CA">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2B293654">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688984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A1</w:t>
            </w:r>
            <w:r>
              <w:rPr>
                <w:rFonts w:hint="eastAsia" w:eastAsia="等线" w:cs="Times New Roman"/>
                <w:spacing w:val="-20"/>
                <w:kern w:val="0"/>
                <w:sz w:val="24"/>
                <w:szCs w:val="24"/>
              </w:rPr>
              <w:t>－</w:t>
            </w:r>
            <w:r>
              <w:rPr>
                <w:rFonts w:eastAsia="等线" w:cs="Times New Roman"/>
                <w:spacing w:val="-20"/>
                <w:kern w:val="0"/>
                <w:sz w:val="24"/>
                <w:szCs w:val="24"/>
              </w:rPr>
              <w:t>5</w:t>
            </w:r>
          </w:p>
        </w:tc>
        <w:tc>
          <w:tcPr>
            <w:tcW w:w="2702" w:type="pct"/>
            <w:shd w:val="clear" w:color="auto" w:fill="auto"/>
            <w:vAlign w:val="center"/>
          </w:tcPr>
          <w:p w14:paraId="085081C3">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制定</w:t>
            </w:r>
            <w:r>
              <w:rPr>
                <w:rFonts w:hint="eastAsia" w:ascii="方正仿宋_GBK" w:cs="Times New Roman"/>
                <w:spacing w:val="-20"/>
                <w:kern w:val="0"/>
                <w:sz w:val="24"/>
                <w:szCs w:val="24"/>
              </w:rPr>
              <w:t>“无废城市”</w:t>
            </w:r>
            <w:r>
              <w:rPr>
                <w:rFonts w:cs="Times New Roman"/>
                <w:spacing w:val="-20"/>
                <w:kern w:val="0"/>
                <w:sz w:val="24"/>
                <w:szCs w:val="24"/>
              </w:rPr>
              <w:t>建设成效评估机制</w:t>
            </w:r>
          </w:p>
        </w:tc>
        <w:tc>
          <w:tcPr>
            <w:tcW w:w="668" w:type="pct"/>
            <w:shd w:val="clear" w:color="auto" w:fill="auto"/>
            <w:vAlign w:val="center"/>
          </w:tcPr>
          <w:p w14:paraId="415C238E">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2023</w:t>
            </w:r>
            <w:r>
              <w:rPr>
                <w:rFonts w:cs="Times New Roman"/>
                <w:spacing w:val="-20"/>
                <w:kern w:val="0"/>
                <w:sz w:val="24"/>
                <w:szCs w:val="24"/>
              </w:rPr>
              <w:t>年前</w:t>
            </w:r>
          </w:p>
        </w:tc>
      </w:tr>
      <w:tr w14:paraId="63FF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28DB84E">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7DD751A7">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E4A0222">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AB0F6F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27CB22D1">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制定《</w:t>
            </w:r>
            <w:r>
              <w:rPr>
                <w:rFonts w:hint="eastAsia" w:ascii="方正仿宋_GBK" w:cs="Times New Roman"/>
                <w:spacing w:val="-20"/>
                <w:kern w:val="0"/>
                <w:sz w:val="24"/>
                <w:szCs w:val="24"/>
              </w:rPr>
              <w:t>“无废细胞”</w:t>
            </w:r>
            <w:r>
              <w:rPr>
                <w:rFonts w:cs="Times New Roman"/>
                <w:spacing w:val="-20"/>
                <w:kern w:val="0"/>
                <w:sz w:val="24"/>
                <w:szCs w:val="24"/>
              </w:rPr>
              <w:t>创建行动计划》</w:t>
            </w:r>
          </w:p>
        </w:tc>
        <w:tc>
          <w:tcPr>
            <w:tcW w:w="668" w:type="pct"/>
            <w:shd w:val="clear" w:color="auto" w:fill="auto"/>
            <w:vAlign w:val="center"/>
          </w:tcPr>
          <w:p w14:paraId="69664F03">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6E6D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27AE9181">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0A75CF42">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A8EB85C">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410E3663">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61529312">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创建</w:t>
            </w:r>
            <w:r>
              <w:rPr>
                <w:rFonts w:hint="eastAsia" w:ascii="方正仿宋_GBK" w:cs="Times New Roman"/>
                <w:spacing w:val="-20"/>
                <w:kern w:val="0"/>
                <w:sz w:val="24"/>
                <w:szCs w:val="24"/>
              </w:rPr>
              <w:t>“无废城市”</w:t>
            </w:r>
            <w:r>
              <w:rPr>
                <w:rFonts w:cs="Times New Roman"/>
                <w:spacing w:val="-20"/>
                <w:kern w:val="0"/>
                <w:sz w:val="24"/>
                <w:szCs w:val="24"/>
              </w:rPr>
              <w:t>信息公开专门通道</w:t>
            </w:r>
          </w:p>
        </w:tc>
        <w:tc>
          <w:tcPr>
            <w:tcW w:w="668" w:type="pct"/>
            <w:shd w:val="clear" w:color="auto" w:fill="auto"/>
            <w:vAlign w:val="center"/>
          </w:tcPr>
          <w:p w14:paraId="1B98A6D8">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10DE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58E036F6">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147433EA">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287F79D3">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D795582">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3B7D27BA">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创建</w:t>
            </w:r>
            <w:r>
              <w:rPr>
                <w:rFonts w:hint="eastAsia" w:ascii="方正仿宋_GBK" w:cs="Times New Roman"/>
                <w:spacing w:val="-20"/>
                <w:kern w:val="0"/>
                <w:sz w:val="24"/>
                <w:szCs w:val="24"/>
              </w:rPr>
              <w:t>“无废城市”</w:t>
            </w:r>
            <w:r>
              <w:rPr>
                <w:rFonts w:cs="Times New Roman"/>
                <w:spacing w:val="-20"/>
                <w:kern w:val="0"/>
                <w:sz w:val="24"/>
                <w:szCs w:val="24"/>
              </w:rPr>
              <w:t>公众意见反馈通道</w:t>
            </w:r>
          </w:p>
        </w:tc>
        <w:tc>
          <w:tcPr>
            <w:tcW w:w="668" w:type="pct"/>
            <w:shd w:val="clear" w:color="auto" w:fill="auto"/>
            <w:vAlign w:val="center"/>
          </w:tcPr>
          <w:p w14:paraId="3402CA4C">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085A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553C3A70">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052791B3">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AE02D84">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7EFA1D68">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4</w:t>
            </w:r>
          </w:p>
        </w:tc>
        <w:tc>
          <w:tcPr>
            <w:tcW w:w="2702" w:type="pct"/>
            <w:shd w:val="clear" w:color="auto" w:fill="auto"/>
            <w:vAlign w:val="center"/>
          </w:tcPr>
          <w:p w14:paraId="47DFDF5C">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制定</w:t>
            </w:r>
            <w:r>
              <w:rPr>
                <w:rFonts w:hint="eastAsia" w:ascii="方正仿宋_GBK" w:cs="Times New Roman"/>
                <w:spacing w:val="-20"/>
                <w:kern w:val="0"/>
                <w:sz w:val="24"/>
                <w:szCs w:val="24"/>
              </w:rPr>
              <w:t>“无废城市”</w:t>
            </w:r>
            <w:r>
              <w:rPr>
                <w:rFonts w:cs="Times New Roman"/>
                <w:spacing w:val="-20"/>
                <w:kern w:val="0"/>
                <w:sz w:val="24"/>
                <w:szCs w:val="24"/>
              </w:rPr>
              <w:t>宣传教育方案</w:t>
            </w:r>
          </w:p>
        </w:tc>
        <w:tc>
          <w:tcPr>
            <w:tcW w:w="668" w:type="pct"/>
            <w:shd w:val="clear" w:color="auto" w:fill="auto"/>
            <w:vAlign w:val="center"/>
          </w:tcPr>
          <w:p w14:paraId="6260F8AB">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3939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6B7BF4B">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5FD6848">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4A5E6900">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73BC3A0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5</w:t>
            </w:r>
          </w:p>
        </w:tc>
        <w:tc>
          <w:tcPr>
            <w:tcW w:w="2702" w:type="pct"/>
            <w:shd w:val="clear" w:color="auto" w:fill="auto"/>
            <w:vAlign w:val="center"/>
          </w:tcPr>
          <w:p w14:paraId="6BF4C02B">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开展</w:t>
            </w:r>
            <w:r>
              <w:rPr>
                <w:rFonts w:hint="eastAsia" w:ascii="方正仿宋_GBK" w:cs="Times New Roman"/>
                <w:spacing w:val="-20"/>
                <w:kern w:val="0"/>
                <w:sz w:val="24"/>
                <w:szCs w:val="24"/>
              </w:rPr>
              <w:t>“无废城市”</w:t>
            </w:r>
            <w:r>
              <w:rPr>
                <w:rFonts w:cs="Times New Roman"/>
                <w:spacing w:val="-20"/>
                <w:kern w:val="0"/>
                <w:sz w:val="24"/>
                <w:szCs w:val="24"/>
              </w:rPr>
              <w:t>主题宣传活动</w:t>
            </w:r>
          </w:p>
        </w:tc>
        <w:tc>
          <w:tcPr>
            <w:tcW w:w="668" w:type="pct"/>
            <w:shd w:val="clear" w:color="auto" w:fill="auto"/>
            <w:vAlign w:val="center"/>
          </w:tcPr>
          <w:p w14:paraId="02E4B2C1">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7954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77C28C5">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7CEC809D">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140D5717">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1FA9FD2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B1</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189AD56E">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组建专家团队，建立专家帮扶机制</w:t>
            </w:r>
          </w:p>
        </w:tc>
        <w:tc>
          <w:tcPr>
            <w:tcW w:w="668" w:type="pct"/>
            <w:shd w:val="clear" w:color="auto" w:fill="auto"/>
            <w:vAlign w:val="center"/>
          </w:tcPr>
          <w:p w14:paraId="2844505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2023</w:t>
            </w:r>
            <w:r>
              <w:rPr>
                <w:rFonts w:cs="Times New Roman"/>
                <w:spacing w:val="-20"/>
                <w:kern w:val="0"/>
                <w:sz w:val="24"/>
                <w:szCs w:val="24"/>
              </w:rPr>
              <w:t>年底前</w:t>
            </w:r>
          </w:p>
        </w:tc>
      </w:tr>
      <w:tr w14:paraId="0539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E165DC3">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242D384A">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711BF9A">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65F4861E">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B1</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53101428">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紧抓驻区高校与大院大所优势，定期举办</w:t>
            </w:r>
            <w:r>
              <w:rPr>
                <w:rFonts w:hint="eastAsia" w:ascii="方正仿宋_GBK" w:cs="Times New Roman"/>
                <w:spacing w:val="-20"/>
                <w:kern w:val="0"/>
                <w:sz w:val="24"/>
                <w:szCs w:val="24"/>
              </w:rPr>
              <w:t>“无废”</w:t>
            </w:r>
            <w:r>
              <w:rPr>
                <w:rFonts w:cs="Times New Roman"/>
                <w:spacing w:val="-20"/>
                <w:kern w:val="0"/>
                <w:sz w:val="24"/>
                <w:szCs w:val="24"/>
              </w:rPr>
              <w:t>交流会</w:t>
            </w:r>
          </w:p>
        </w:tc>
        <w:tc>
          <w:tcPr>
            <w:tcW w:w="668" w:type="pct"/>
            <w:shd w:val="clear" w:color="auto" w:fill="auto"/>
            <w:vAlign w:val="center"/>
          </w:tcPr>
          <w:p w14:paraId="070B8B92">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5FEC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10B33F2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w:t>
            </w:r>
          </w:p>
        </w:tc>
        <w:tc>
          <w:tcPr>
            <w:tcW w:w="486" w:type="pct"/>
            <w:vMerge w:val="restart"/>
            <w:shd w:val="clear" w:color="auto" w:fill="auto"/>
            <w:vAlign w:val="center"/>
          </w:tcPr>
          <w:p w14:paraId="07D21FF4">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玄武生态环境局</w:t>
            </w:r>
          </w:p>
        </w:tc>
        <w:tc>
          <w:tcPr>
            <w:tcW w:w="285" w:type="pct"/>
            <w:vMerge w:val="restart"/>
            <w:shd w:val="clear" w:color="auto" w:fill="auto"/>
            <w:vAlign w:val="center"/>
          </w:tcPr>
          <w:p w14:paraId="61B1599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16</w:t>
            </w:r>
          </w:p>
        </w:tc>
        <w:tc>
          <w:tcPr>
            <w:tcW w:w="612" w:type="pct"/>
            <w:shd w:val="clear" w:color="auto" w:fill="auto"/>
            <w:vAlign w:val="center"/>
          </w:tcPr>
          <w:p w14:paraId="1979870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A2</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09A04BDA">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落实工业固体废物排污许可申报制度</w:t>
            </w:r>
          </w:p>
        </w:tc>
        <w:tc>
          <w:tcPr>
            <w:tcW w:w="668" w:type="pct"/>
            <w:shd w:val="clear" w:color="auto" w:fill="auto"/>
            <w:vAlign w:val="center"/>
          </w:tcPr>
          <w:p w14:paraId="5D727D99">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3FC1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8FB069A">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E804A3B">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D81A449">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8DDEABC">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A2</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3DD51A8B">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深入落实生产者责任延伸制度</w:t>
            </w:r>
          </w:p>
        </w:tc>
        <w:tc>
          <w:tcPr>
            <w:tcW w:w="668" w:type="pct"/>
            <w:shd w:val="clear" w:color="auto" w:fill="auto"/>
            <w:vAlign w:val="center"/>
          </w:tcPr>
          <w:p w14:paraId="3C4398DD">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460D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D4E1257">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0431742E">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05DF6C01">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5589E3DD">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8</w:t>
            </w:r>
          </w:p>
        </w:tc>
        <w:tc>
          <w:tcPr>
            <w:tcW w:w="2702" w:type="pct"/>
            <w:shd w:val="clear" w:color="auto" w:fill="auto"/>
            <w:vAlign w:val="center"/>
          </w:tcPr>
          <w:p w14:paraId="60E43200">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开展</w:t>
            </w:r>
            <w:r>
              <w:rPr>
                <w:rFonts w:hint="eastAsia" w:ascii="方正仿宋_GBK" w:cs="Times New Roman"/>
                <w:spacing w:val="-20"/>
                <w:kern w:val="0"/>
                <w:sz w:val="24"/>
                <w:szCs w:val="24"/>
              </w:rPr>
              <w:t>“无废”</w:t>
            </w:r>
            <w:r>
              <w:rPr>
                <w:rFonts w:cs="Times New Roman"/>
                <w:spacing w:val="-20"/>
                <w:kern w:val="0"/>
                <w:sz w:val="24"/>
                <w:szCs w:val="24"/>
              </w:rPr>
              <w:t>科普教育活动</w:t>
            </w:r>
          </w:p>
        </w:tc>
        <w:tc>
          <w:tcPr>
            <w:tcW w:w="668" w:type="pct"/>
            <w:shd w:val="clear" w:color="auto" w:fill="auto"/>
            <w:vAlign w:val="center"/>
          </w:tcPr>
          <w:p w14:paraId="378D4A1F">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3E91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B3EBDF4">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04CBC08A">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D7A44AE">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5BE5312C">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C1</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49DC4D06">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支持绿色企业、绿色项目申请</w:t>
            </w:r>
            <w:r>
              <w:rPr>
                <w:rFonts w:hint="eastAsia" w:ascii="方正仿宋_GBK" w:cs="Times New Roman"/>
                <w:spacing w:val="-20"/>
                <w:kern w:val="0"/>
                <w:sz w:val="24"/>
                <w:szCs w:val="24"/>
              </w:rPr>
              <w:t>“环保贷”</w:t>
            </w:r>
          </w:p>
        </w:tc>
        <w:tc>
          <w:tcPr>
            <w:tcW w:w="668" w:type="pct"/>
            <w:shd w:val="clear" w:color="auto" w:fill="auto"/>
            <w:vAlign w:val="center"/>
          </w:tcPr>
          <w:p w14:paraId="7E7EFCAA">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6B4D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5EF0CF41">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013519C4">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4662029E">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1F81DCFB">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C2</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3C92731D">
            <w:pPr>
              <w:widowControl/>
              <w:snapToGrid w:val="0"/>
              <w:spacing w:line="420" w:lineRule="exact"/>
              <w:jc w:val="left"/>
              <w:rPr>
                <w:rFonts w:eastAsia="等线" w:cs="Times New Roman"/>
                <w:spacing w:val="-20"/>
                <w:kern w:val="0"/>
                <w:sz w:val="24"/>
                <w:szCs w:val="24"/>
              </w:rPr>
            </w:pPr>
            <w:r>
              <w:rPr>
                <w:rFonts w:cs="Times New Roman"/>
                <w:spacing w:val="-20"/>
                <w:kern w:val="0"/>
                <w:sz w:val="24"/>
                <w:szCs w:val="24"/>
              </w:rPr>
              <w:t>在节能减排、资源综合利用和环境保护等方面推行政府补贴政策，落实重点行业所得税</w:t>
            </w:r>
            <w:r>
              <w:rPr>
                <w:rFonts w:hint="eastAsia" w:ascii="方正仿宋_GBK" w:cs="Times New Roman"/>
                <w:spacing w:val="-20"/>
                <w:kern w:val="0"/>
                <w:sz w:val="24"/>
                <w:szCs w:val="24"/>
              </w:rPr>
              <w:t>“</w:t>
            </w:r>
            <w:r>
              <w:rPr>
                <w:rFonts w:cs="Times New Roman"/>
                <w:spacing w:val="-20"/>
                <w:kern w:val="0"/>
                <w:sz w:val="24"/>
                <w:szCs w:val="24"/>
              </w:rPr>
              <w:t>三免三减半</w:t>
            </w:r>
            <w:r>
              <w:rPr>
                <w:rFonts w:hint="eastAsia" w:ascii="方正仿宋_GBK" w:cs="Times New Roman"/>
                <w:spacing w:val="-20"/>
                <w:kern w:val="0"/>
                <w:sz w:val="24"/>
                <w:szCs w:val="24"/>
              </w:rPr>
              <w:t>”</w:t>
            </w:r>
            <w:r>
              <w:rPr>
                <w:rFonts w:cs="Times New Roman"/>
                <w:spacing w:val="-20"/>
                <w:kern w:val="0"/>
                <w:sz w:val="24"/>
                <w:szCs w:val="24"/>
              </w:rPr>
              <w:t>、增值税即征即退等税收优惠政策</w:t>
            </w:r>
          </w:p>
        </w:tc>
        <w:tc>
          <w:tcPr>
            <w:tcW w:w="668" w:type="pct"/>
            <w:shd w:val="clear" w:color="auto" w:fill="auto"/>
            <w:vAlign w:val="center"/>
          </w:tcPr>
          <w:p w14:paraId="6BF3CC14">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791F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32E503D0">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3586CDFA">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4DE3CD90">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234B174D">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C3</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4185E939">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开展企业环保信用评价工作</w:t>
            </w:r>
          </w:p>
        </w:tc>
        <w:tc>
          <w:tcPr>
            <w:tcW w:w="668" w:type="pct"/>
            <w:shd w:val="clear" w:color="auto" w:fill="auto"/>
            <w:vAlign w:val="center"/>
          </w:tcPr>
          <w:p w14:paraId="313BD21A">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04EE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1708CC8E">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025E01B">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BCC5C2C">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6621C19">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C3</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740D5BA8">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积极培育第三方市场，鼓励专业化第三方机构从事固体废物收集转运、环境污染治理与咨询服务，推动固体废物收集、转运工程项目和设施建设运行第三方治理新模式</w:t>
            </w:r>
          </w:p>
        </w:tc>
        <w:tc>
          <w:tcPr>
            <w:tcW w:w="668" w:type="pct"/>
            <w:shd w:val="clear" w:color="auto" w:fill="auto"/>
            <w:vAlign w:val="center"/>
          </w:tcPr>
          <w:p w14:paraId="53080465">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7DFF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77F0CFB0">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306101C3">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C61866C">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5D996B03">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D1</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42C2D194">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完善网格化的固体废物巡查机制</w:t>
            </w:r>
          </w:p>
        </w:tc>
        <w:tc>
          <w:tcPr>
            <w:tcW w:w="668" w:type="pct"/>
            <w:shd w:val="clear" w:color="auto" w:fill="auto"/>
            <w:vAlign w:val="center"/>
          </w:tcPr>
          <w:p w14:paraId="529DD66D">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2BCB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97FF279">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35C0FE87">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5C6A370">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162FE445">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D1</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7A85A632">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建立</w:t>
            </w:r>
            <w:r>
              <w:rPr>
                <w:rFonts w:hint="eastAsia" w:ascii="方正仿宋_GBK" w:cs="Times New Roman"/>
                <w:spacing w:val="-20"/>
                <w:kern w:val="0"/>
                <w:sz w:val="24"/>
                <w:szCs w:val="24"/>
              </w:rPr>
              <w:t>“一园一策”“一企一策”</w:t>
            </w:r>
            <w:r>
              <w:rPr>
                <w:rFonts w:cs="Times New Roman"/>
                <w:spacing w:val="-20"/>
                <w:kern w:val="0"/>
                <w:sz w:val="24"/>
                <w:szCs w:val="24"/>
              </w:rPr>
              <w:t>等重点环境风险源防控体系</w:t>
            </w:r>
          </w:p>
        </w:tc>
        <w:tc>
          <w:tcPr>
            <w:tcW w:w="668" w:type="pct"/>
            <w:shd w:val="clear" w:color="auto" w:fill="auto"/>
            <w:vAlign w:val="center"/>
          </w:tcPr>
          <w:p w14:paraId="57B393CD">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4950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3187AA74">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3205AA57">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3425B31B">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4F3F9D7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D1</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56BE12DE">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建立危险废物污染环境事件应急处置机制</w:t>
            </w:r>
          </w:p>
        </w:tc>
        <w:tc>
          <w:tcPr>
            <w:tcW w:w="668" w:type="pct"/>
            <w:shd w:val="clear" w:color="auto" w:fill="auto"/>
            <w:vAlign w:val="center"/>
          </w:tcPr>
          <w:p w14:paraId="7290C41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49D6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7C515A0">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6FE05B1C">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1E357899">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4CF2DF60">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D2</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7316A63D">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开展危险废物等安全专项整治行动</w:t>
            </w:r>
          </w:p>
        </w:tc>
        <w:tc>
          <w:tcPr>
            <w:tcW w:w="668" w:type="pct"/>
            <w:shd w:val="clear" w:color="auto" w:fill="auto"/>
            <w:vAlign w:val="center"/>
          </w:tcPr>
          <w:p w14:paraId="4453F028">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0551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7E6AA29B">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01B750DF">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652A077D">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2CA705E0">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D2</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4EF194E1">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开展危险废物规范化管理评估</w:t>
            </w:r>
          </w:p>
        </w:tc>
        <w:tc>
          <w:tcPr>
            <w:tcW w:w="668" w:type="pct"/>
            <w:shd w:val="clear" w:color="auto" w:fill="auto"/>
            <w:vAlign w:val="center"/>
          </w:tcPr>
          <w:p w14:paraId="5A615EF1">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19C7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2AB3D8D">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2D22D13A">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C098BD0">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3B5301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D3</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29ADF315">
            <w:pPr>
              <w:widowControl/>
              <w:snapToGrid w:val="0"/>
              <w:spacing w:line="400" w:lineRule="exact"/>
              <w:jc w:val="left"/>
              <w:rPr>
                <w:rFonts w:eastAsia="等线" w:cs="Times New Roman"/>
                <w:spacing w:val="-20"/>
                <w:kern w:val="0"/>
                <w:sz w:val="24"/>
                <w:szCs w:val="24"/>
              </w:rPr>
            </w:pPr>
            <w:r>
              <w:rPr>
                <w:rFonts w:cs="Times New Roman"/>
                <w:spacing w:val="1"/>
                <w:w w:val="93"/>
                <w:kern w:val="0"/>
                <w:sz w:val="24"/>
                <w:szCs w:val="24"/>
                <w:fitText w:val="7440" w:id="1841758652"/>
              </w:rPr>
              <w:t>配合市级部门完善固体废物环境信息管理，建立</w:t>
            </w:r>
            <w:r>
              <w:rPr>
                <w:rFonts w:hint="eastAsia" w:ascii="方正仿宋_GBK" w:cs="Times New Roman"/>
                <w:spacing w:val="1"/>
                <w:w w:val="93"/>
                <w:kern w:val="0"/>
                <w:sz w:val="24"/>
                <w:szCs w:val="24"/>
                <w:fitText w:val="7440" w:id="1841758652"/>
              </w:rPr>
              <w:t>“无废城市”</w:t>
            </w:r>
            <w:r>
              <w:rPr>
                <w:rFonts w:cs="Times New Roman"/>
                <w:spacing w:val="1"/>
                <w:w w:val="93"/>
                <w:kern w:val="0"/>
                <w:sz w:val="24"/>
                <w:szCs w:val="24"/>
                <w:fitText w:val="7440" w:id="1841758652"/>
              </w:rPr>
              <w:t>智慧管理平</w:t>
            </w:r>
            <w:r>
              <w:rPr>
                <w:rFonts w:cs="Times New Roman"/>
                <w:spacing w:val="45"/>
                <w:w w:val="93"/>
                <w:kern w:val="0"/>
                <w:sz w:val="24"/>
                <w:szCs w:val="24"/>
                <w:fitText w:val="7440" w:id="1841758652"/>
              </w:rPr>
              <w:t>台</w:t>
            </w:r>
          </w:p>
        </w:tc>
        <w:tc>
          <w:tcPr>
            <w:tcW w:w="668" w:type="pct"/>
            <w:shd w:val="clear" w:color="auto" w:fill="auto"/>
            <w:vAlign w:val="center"/>
          </w:tcPr>
          <w:p w14:paraId="12B8ED08">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20B0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80D1964">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33FC03FE">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4FC56EB4">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2BE54E8">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E1</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23448D56">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持续推行清洁生产</w:t>
            </w:r>
          </w:p>
        </w:tc>
        <w:tc>
          <w:tcPr>
            <w:tcW w:w="668" w:type="pct"/>
            <w:shd w:val="clear" w:color="auto" w:fill="auto"/>
            <w:vAlign w:val="center"/>
          </w:tcPr>
          <w:p w14:paraId="0D42DCF8">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5F79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07AB3CD">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3D05B64E">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A981DAB">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2A68A5B">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E2</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323E7114">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小量危废集中收集体系建设</w:t>
            </w:r>
          </w:p>
        </w:tc>
        <w:tc>
          <w:tcPr>
            <w:tcW w:w="668" w:type="pct"/>
            <w:shd w:val="clear" w:color="auto" w:fill="auto"/>
            <w:vAlign w:val="center"/>
          </w:tcPr>
          <w:p w14:paraId="37DD6963">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1218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2C7113E5">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5CFA640C">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0BAACC2">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F170AFD">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E2</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76770534">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医疗废物</w:t>
            </w:r>
            <w:r>
              <w:rPr>
                <w:rFonts w:hint="eastAsia" w:ascii="方正仿宋_GBK" w:cs="Times New Roman"/>
                <w:spacing w:val="-20"/>
                <w:kern w:val="0"/>
                <w:sz w:val="24"/>
                <w:szCs w:val="24"/>
              </w:rPr>
              <w:t>“平战结合”</w:t>
            </w:r>
            <w:r>
              <w:rPr>
                <w:rFonts w:cs="Times New Roman"/>
                <w:spacing w:val="-20"/>
                <w:kern w:val="0"/>
                <w:sz w:val="24"/>
                <w:szCs w:val="24"/>
              </w:rPr>
              <w:t>收运体系建设</w:t>
            </w:r>
          </w:p>
        </w:tc>
        <w:tc>
          <w:tcPr>
            <w:tcW w:w="668" w:type="pct"/>
            <w:shd w:val="clear" w:color="auto" w:fill="auto"/>
            <w:vAlign w:val="center"/>
          </w:tcPr>
          <w:p w14:paraId="52D12B6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68CB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25363B33">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3</w:t>
            </w:r>
          </w:p>
        </w:tc>
        <w:tc>
          <w:tcPr>
            <w:tcW w:w="486" w:type="pct"/>
            <w:vMerge w:val="restart"/>
            <w:shd w:val="clear" w:color="auto" w:fill="auto"/>
            <w:vAlign w:val="center"/>
          </w:tcPr>
          <w:p w14:paraId="6F252259">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区发改委</w:t>
            </w:r>
          </w:p>
        </w:tc>
        <w:tc>
          <w:tcPr>
            <w:tcW w:w="285" w:type="pct"/>
            <w:vMerge w:val="restart"/>
            <w:shd w:val="clear" w:color="auto" w:fill="auto"/>
            <w:vAlign w:val="center"/>
          </w:tcPr>
          <w:p w14:paraId="32A57159">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3</w:t>
            </w:r>
          </w:p>
        </w:tc>
        <w:tc>
          <w:tcPr>
            <w:tcW w:w="612" w:type="pct"/>
            <w:shd w:val="clear" w:color="auto" w:fill="auto"/>
            <w:vAlign w:val="center"/>
          </w:tcPr>
          <w:p w14:paraId="1B09D35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A2</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40463288">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深入落实生产者责任延伸制度</w:t>
            </w:r>
          </w:p>
        </w:tc>
        <w:tc>
          <w:tcPr>
            <w:tcW w:w="668" w:type="pct"/>
            <w:shd w:val="clear" w:color="auto" w:fill="auto"/>
            <w:vAlign w:val="center"/>
          </w:tcPr>
          <w:p w14:paraId="79824B23">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688F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AB2E358">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B0235E4">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11E48403">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2534DA1D">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D2</w:t>
            </w:r>
            <w:r>
              <w:rPr>
                <w:rFonts w:hint="eastAsia" w:eastAsia="等线" w:cs="Times New Roman"/>
                <w:spacing w:val="-20"/>
                <w:kern w:val="0"/>
                <w:sz w:val="24"/>
                <w:szCs w:val="24"/>
              </w:rPr>
              <w:t>－</w:t>
            </w:r>
            <w:r>
              <w:rPr>
                <w:rFonts w:eastAsia="等线" w:cs="Times New Roman"/>
                <w:spacing w:val="-20"/>
                <w:kern w:val="0"/>
                <w:sz w:val="24"/>
                <w:szCs w:val="24"/>
              </w:rPr>
              <w:t>4</w:t>
            </w:r>
          </w:p>
        </w:tc>
        <w:tc>
          <w:tcPr>
            <w:tcW w:w="2702" w:type="pct"/>
            <w:shd w:val="clear" w:color="auto" w:fill="auto"/>
            <w:vAlign w:val="center"/>
          </w:tcPr>
          <w:p w14:paraId="78F26C65">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开展塑料污染专项整治</w:t>
            </w:r>
          </w:p>
        </w:tc>
        <w:tc>
          <w:tcPr>
            <w:tcW w:w="668" w:type="pct"/>
            <w:shd w:val="clear" w:color="auto" w:fill="auto"/>
            <w:vAlign w:val="center"/>
          </w:tcPr>
          <w:p w14:paraId="0666A9EE">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6AA1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306C2231">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6DC82108">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152ABC61">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4A156F0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E1</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1E2DDCCE">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持续推行清洁生产</w:t>
            </w:r>
          </w:p>
        </w:tc>
        <w:tc>
          <w:tcPr>
            <w:tcW w:w="668" w:type="pct"/>
            <w:shd w:val="clear" w:color="auto" w:fill="auto"/>
            <w:vAlign w:val="center"/>
          </w:tcPr>
          <w:p w14:paraId="2E504167">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16B7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4F449F99">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4</w:t>
            </w:r>
          </w:p>
        </w:tc>
        <w:tc>
          <w:tcPr>
            <w:tcW w:w="486" w:type="pct"/>
            <w:vMerge w:val="restart"/>
            <w:shd w:val="clear" w:color="auto" w:fill="auto"/>
            <w:vAlign w:val="center"/>
          </w:tcPr>
          <w:p w14:paraId="0C21D373">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区城管局</w:t>
            </w:r>
          </w:p>
        </w:tc>
        <w:tc>
          <w:tcPr>
            <w:tcW w:w="285" w:type="pct"/>
            <w:vMerge w:val="restart"/>
            <w:shd w:val="clear" w:color="auto" w:fill="auto"/>
            <w:vAlign w:val="center"/>
          </w:tcPr>
          <w:p w14:paraId="7E519E6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6</w:t>
            </w:r>
          </w:p>
        </w:tc>
        <w:tc>
          <w:tcPr>
            <w:tcW w:w="612" w:type="pct"/>
            <w:shd w:val="clear" w:color="auto" w:fill="auto"/>
            <w:vAlign w:val="center"/>
          </w:tcPr>
          <w:p w14:paraId="0E7CC5AE">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A2</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59D0F7CA">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建立</w:t>
            </w:r>
            <w:r>
              <w:rPr>
                <w:rFonts w:hint="eastAsia" w:cs="Times New Roman"/>
                <w:spacing w:val="-20"/>
                <w:kern w:val="0"/>
                <w:sz w:val="24"/>
                <w:szCs w:val="24"/>
              </w:rPr>
              <w:t>装修垃圾、渣土等</w:t>
            </w:r>
            <w:r>
              <w:rPr>
                <w:rFonts w:cs="Times New Roman"/>
                <w:spacing w:val="-20"/>
                <w:kern w:val="0"/>
                <w:sz w:val="24"/>
                <w:szCs w:val="24"/>
              </w:rPr>
              <w:t>产生量分段申报和台账管理制度</w:t>
            </w:r>
          </w:p>
        </w:tc>
        <w:tc>
          <w:tcPr>
            <w:tcW w:w="668" w:type="pct"/>
            <w:shd w:val="clear" w:color="auto" w:fill="auto"/>
            <w:vAlign w:val="center"/>
          </w:tcPr>
          <w:p w14:paraId="532BE60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2025</w:t>
            </w:r>
            <w:r>
              <w:rPr>
                <w:rFonts w:cs="Times New Roman"/>
                <w:spacing w:val="-20"/>
                <w:kern w:val="0"/>
                <w:sz w:val="24"/>
                <w:szCs w:val="24"/>
              </w:rPr>
              <w:t>年前</w:t>
            </w:r>
          </w:p>
        </w:tc>
      </w:tr>
      <w:tr w14:paraId="73D9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72EA34DA">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51B44750">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65904EE8">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2279B6B">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8</w:t>
            </w:r>
          </w:p>
        </w:tc>
        <w:tc>
          <w:tcPr>
            <w:tcW w:w="2702" w:type="pct"/>
            <w:shd w:val="clear" w:color="auto" w:fill="auto"/>
            <w:vAlign w:val="center"/>
          </w:tcPr>
          <w:p w14:paraId="361C237C">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w:t>
            </w:r>
            <w:r>
              <w:rPr>
                <w:rFonts w:hint="eastAsia" w:ascii="方正仿宋_GBK" w:cs="Times New Roman"/>
                <w:spacing w:val="-20"/>
                <w:kern w:val="0"/>
                <w:sz w:val="24"/>
                <w:szCs w:val="24"/>
              </w:rPr>
              <w:t>“无废”</w:t>
            </w:r>
            <w:r>
              <w:rPr>
                <w:rFonts w:cs="Times New Roman"/>
                <w:spacing w:val="-20"/>
                <w:kern w:val="0"/>
                <w:sz w:val="24"/>
                <w:szCs w:val="24"/>
              </w:rPr>
              <w:t>科普教育活动</w:t>
            </w:r>
          </w:p>
        </w:tc>
        <w:tc>
          <w:tcPr>
            <w:tcW w:w="668" w:type="pct"/>
            <w:shd w:val="clear" w:color="auto" w:fill="auto"/>
            <w:vAlign w:val="center"/>
          </w:tcPr>
          <w:p w14:paraId="335FEA34">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1A85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34CE031">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3C8E661">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60D35F2">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19F4F457">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C3</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785B5A79">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积极培育第三方市场，鼓励专业化第三方机构从事固体废物收集转运、环境污染治理与咨询服务，推动固体废物收集、转运工程项目和设施建设运行第三方治理新模式</w:t>
            </w:r>
          </w:p>
        </w:tc>
        <w:tc>
          <w:tcPr>
            <w:tcW w:w="668" w:type="pct"/>
            <w:shd w:val="clear" w:color="auto" w:fill="auto"/>
            <w:vAlign w:val="center"/>
          </w:tcPr>
          <w:p w14:paraId="3D434745">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212A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28D5DFA4">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28CB7478">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1559E76D">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72622E50">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D2</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29F8BF05">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开展垃圾分类执法检查</w:t>
            </w:r>
          </w:p>
        </w:tc>
        <w:tc>
          <w:tcPr>
            <w:tcW w:w="668" w:type="pct"/>
            <w:shd w:val="clear" w:color="auto" w:fill="auto"/>
            <w:vAlign w:val="center"/>
          </w:tcPr>
          <w:p w14:paraId="67164CAC">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74CF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599151E6">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39F7F9EC">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EC08B29">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20AF3385">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D3</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1F8E73C8">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配合市级部门完善固体废物环境信息管理，建立</w:t>
            </w:r>
            <w:r>
              <w:rPr>
                <w:rFonts w:hint="eastAsia" w:ascii="方正仿宋_GBK" w:cs="Times New Roman"/>
                <w:spacing w:val="-20"/>
                <w:kern w:val="0"/>
                <w:sz w:val="24"/>
                <w:szCs w:val="24"/>
              </w:rPr>
              <w:t>“无废城市”</w:t>
            </w:r>
            <w:r>
              <w:rPr>
                <w:rFonts w:cs="Times New Roman"/>
                <w:spacing w:val="-20"/>
                <w:kern w:val="0"/>
                <w:sz w:val="24"/>
                <w:szCs w:val="24"/>
              </w:rPr>
              <w:t>智慧管理平台</w:t>
            </w:r>
          </w:p>
        </w:tc>
        <w:tc>
          <w:tcPr>
            <w:tcW w:w="668" w:type="pct"/>
            <w:shd w:val="clear" w:color="auto" w:fill="auto"/>
            <w:vAlign w:val="center"/>
          </w:tcPr>
          <w:p w14:paraId="2942276F">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4E11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7A751F6D">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1CA0D0A8">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309A15A">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21E720CF">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E2</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6387E544">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玄武区生活垃圾转运站建设项目</w:t>
            </w:r>
          </w:p>
        </w:tc>
        <w:tc>
          <w:tcPr>
            <w:tcW w:w="668" w:type="pct"/>
            <w:shd w:val="clear" w:color="auto" w:fill="auto"/>
            <w:vAlign w:val="center"/>
          </w:tcPr>
          <w:p w14:paraId="415B289D">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2023</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5E59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46B48FAD">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5</w:t>
            </w:r>
          </w:p>
        </w:tc>
        <w:tc>
          <w:tcPr>
            <w:tcW w:w="486" w:type="pct"/>
            <w:vMerge w:val="restart"/>
            <w:shd w:val="clear" w:color="auto" w:fill="auto"/>
            <w:vAlign w:val="center"/>
          </w:tcPr>
          <w:p w14:paraId="51F0C732">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区建设局</w:t>
            </w:r>
          </w:p>
        </w:tc>
        <w:tc>
          <w:tcPr>
            <w:tcW w:w="285" w:type="pct"/>
            <w:vMerge w:val="restart"/>
            <w:shd w:val="clear" w:color="auto" w:fill="auto"/>
            <w:vAlign w:val="center"/>
          </w:tcPr>
          <w:p w14:paraId="29AA4F7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4</w:t>
            </w:r>
          </w:p>
        </w:tc>
        <w:tc>
          <w:tcPr>
            <w:tcW w:w="612" w:type="pct"/>
            <w:shd w:val="clear" w:color="auto" w:fill="auto"/>
            <w:vAlign w:val="center"/>
          </w:tcPr>
          <w:p w14:paraId="3A8ECB3F">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A2</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09A4DA82">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建立</w:t>
            </w:r>
            <w:r>
              <w:rPr>
                <w:rFonts w:hint="eastAsia" w:cs="Times New Roman"/>
                <w:spacing w:val="-20"/>
                <w:kern w:val="0"/>
                <w:sz w:val="24"/>
                <w:szCs w:val="24"/>
              </w:rPr>
              <w:t>建筑</w:t>
            </w:r>
            <w:r>
              <w:rPr>
                <w:rFonts w:cs="Times New Roman"/>
                <w:spacing w:val="-20"/>
                <w:kern w:val="0"/>
                <w:sz w:val="24"/>
                <w:szCs w:val="24"/>
              </w:rPr>
              <w:t>垃圾产生量分段申报和台账管理制度</w:t>
            </w:r>
          </w:p>
        </w:tc>
        <w:tc>
          <w:tcPr>
            <w:tcW w:w="668" w:type="pct"/>
            <w:shd w:val="clear" w:color="auto" w:fill="auto"/>
            <w:vAlign w:val="center"/>
          </w:tcPr>
          <w:p w14:paraId="6A95C133">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2025</w:t>
            </w:r>
            <w:r>
              <w:rPr>
                <w:rFonts w:cs="Times New Roman"/>
                <w:spacing w:val="-20"/>
                <w:kern w:val="0"/>
                <w:sz w:val="24"/>
                <w:szCs w:val="24"/>
              </w:rPr>
              <w:t>年前</w:t>
            </w:r>
          </w:p>
        </w:tc>
      </w:tr>
      <w:tr w14:paraId="2505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5FE7FB4B">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1054831">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3CEE5FB5">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1C1D016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8</w:t>
            </w:r>
          </w:p>
        </w:tc>
        <w:tc>
          <w:tcPr>
            <w:tcW w:w="2702" w:type="pct"/>
            <w:shd w:val="clear" w:color="auto" w:fill="auto"/>
            <w:vAlign w:val="center"/>
          </w:tcPr>
          <w:p w14:paraId="427EBE48">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w:t>
            </w:r>
            <w:r>
              <w:rPr>
                <w:rFonts w:hint="eastAsia" w:ascii="方正仿宋_GBK" w:cs="Times New Roman"/>
                <w:spacing w:val="-20"/>
                <w:kern w:val="0"/>
                <w:sz w:val="24"/>
                <w:szCs w:val="24"/>
              </w:rPr>
              <w:t>“无废”</w:t>
            </w:r>
            <w:r>
              <w:rPr>
                <w:rFonts w:cs="Times New Roman"/>
                <w:spacing w:val="-20"/>
                <w:kern w:val="0"/>
                <w:sz w:val="24"/>
                <w:szCs w:val="24"/>
              </w:rPr>
              <w:t>科普教育活动</w:t>
            </w:r>
          </w:p>
        </w:tc>
        <w:tc>
          <w:tcPr>
            <w:tcW w:w="668" w:type="pct"/>
            <w:shd w:val="clear" w:color="auto" w:fill="auto"/>
            <w:vAlign w:val="center"/>
          </w:tcPr>
          <w:p w14:paraId="7047F055">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1B4C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ABB7D5C">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5F69EA23">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6D9AC7B">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4F62E3E">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C2</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3B4870AC">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在政府投资公共工程中，优先使用以大宗工业固体废物等为原料的综合利用</w:t>
            </w:r>
            <w:r>
              <w:rPr>
                <w:rFonts w:cs="Times New Roman"/>
                <w:spacing w:val="1"/>
                <w:w w:val="91"/>
                <w:kern w:val="0"/>
                <w:sz w:val="24"/>
                <w:szCs w:val="24"/>
                <w:fitText w:val="7440" w:id="593652506"/>
              </w:rPr>
              <w:t>产品，推广新型墙材等绿色建材应用，鼓励引导使用建筑垃圾资源化利用产</w:t>
            </w:r>
            <w:r>
              <w:rPr>
                <w:rFonts w:cs="Times New Roman"/>
                <w:spacing w:val="10"/>
                <w:w w:val="91"/>
                <w:kern w:val="0"/>
                <w:sz w:val="24"/>
                <w:szCs w:val="24"/>
                <w:fitText w:val="7440" w:id="593652506"/>
              </w:rPr>
              <w:t>品</w:t>
            </w:r>
          </w:p>
        </w:tc>
        <w:tc>
          <w:tcPr>
            <w:tcW w:w="668" w:type="pct"/>
            <w:shd w:val="clear" w:color="auto" w:fill="auto"/>
            <w:vAlign w:val="center"/>
          </w:tcPr>
          <w:p w14:paraId="6B881E5C">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0B5B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1E8CD10">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7A81C8ED">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5029509">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3316C50">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D3</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64ED6C58">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配合市级部门完善固体废物环境信息管理，建立</w:t>
            </w:r>
            <w:r>
              <w:rPr>
                <w:rFonts w:hint="eastAsia" w:ascii="方正仿宋_GBK" w:cs="Times New Roman"/>
                <w:spacing w:val="-20"/>
                <w:kern w:val="0"/>
                <w:sz w:val="24"/>
                <w:szCs w:val="24"/>
              </w:rPr>
              <w:t>“无废城市”</w:t>
            </w:r>
            <w:r>
              <w:rPr>
                <w:rFonts w:cs="Times New Roman"/>
                <w:spacing w:val="-20"/>
                <w:kern w:val="0"/>
                <w:sz w:val="24"/>
                <w:szCs w:val="24"/>
              </w:rPr>
              <w:t>智慧管理平台</w:t>
            </w:r>
          </w:p>
        </w:tc>
        <w:tc>
          <w:tcPr>
            <w:tcW w:w="668" w:type="pct"/>
            <w:shd w:val="clear" w:color="auto" w:fill="auto"/>
            <w:vAlign w:val="center"/>
          </w:tcPr>
          <w:p w14:paraId="77B6820E">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5EB4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49FF40A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6</w:t>
            </w:r>
          </w:p>
        </w:tc>
        <w:tc>
          <w:tcPr>
            <w:tcW w:w="486" w:type="pct"/>
            <w:vMerge w:val="restart"/>
            <w:shd w:val="clear" w:color="auto" w:fill="auto"/>
            <w:vAlign w:val="center"/>
          </w:tcPr>
          <w:p w14:paraId="1BDDD596">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区房产局</w:t>
            </w:r>
          </w:p>
        </w:tc>
        <w:tc>
          <w:tcPr>
            <w:tcW w:w="285" w:type="pct"/>
            <w:vMerge w:val="restart"/>
            <w:shd w:val="clear" w:color="auto" w:fill="auto"/>
            <w:vAlign w:val="center"/>
          </w:tcPr>
          <w:p w14:paraId="0BF049AF">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w:t>
            </w:r>
          </w:p>
        </w:tc>
        <w:tc>
          <w:tcPr>
            <w:tcW w:w="612" w:type="pct"/>
            <w:shd w:val="clear" w:color="auto" w:fill="auto"/>
            <w:vAlign w:val="center"/>
          </w:tcPr>
          <w:p w14:paraId="18090D4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A2</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4D5482F3">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建立</w:t>
            </w:r>
            <w:r>
              <w:rPr>
                <w:rFonts w:hint="eastAsia" w:cs="Times New Roman"/>
                <w:spacing w:val="-20"/>
                <w:kern w:val="0"/>
                <w:sz w:val="24"/>
                <w:szCs w:val="24"/>
              </w:rPr>
              <w:t>拆除</w:t>
            </w:r>
            <w:r>
              <w:rPr>
                <w:rFonts w:cs="Times New Roman"/>
                <w:spacing w:val="-20"/>
                <w:kern w:val="0"/>
                <w:sz w:val="24"/>
                <w:szCs w:val="24"/>
              </w:rPr>
              <w:t>垃圾产生量分段申报和台账管理制度</w:t>
            </w:r>
          </w:p>
        </w:tc>
        <w:tc>
          <w:tcPr>
            <w:tcW w:w="668" w:type="pct"/>
            <w:shd w:val="clear" w:color="auto" w:fill="auto"/>
            <w:vAlign w:val="center"/>
          </w:tcPr>
          <w:p w14:paraId="4ADD594A">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2025</w:t>
            </w:r>
            <w:r>
              <w:rPr>
                <w:rFonts w:cs="Times New Roman"/>
                <w:spacing w:val="-20"/>
                <w:kern w:val="0"/>
                <w:sz w:val="24"/>
                <w:szCs w:val="24"/>
              </w:rPr>
              <w:t>年前</w:t>
            </w:r>
          </w:p>
        </w:tc>
      </w:tr>
      <w:tr w14:paraId="685F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2C2FB3E3">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91F5F61">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429650C2">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1CE594F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D3</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607EB399">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配合市级部门完善固体废物环境信息管理，建立</w:t>
            </w:r>
            <w:r>
              <w:rPr>
                <w:rFonts w:hint="eastAsia" w:ascii="方正仿宋_GBK" w:cs="Times New Roman"/>
                <w:spacing w:val="-20"/>
                <w:kern w:val="0"/>
                <w:sz w:val="24"/>
                <w:szCs w:val="24"/>
              </w:rPr>
              <w:t>“无废城市”</w:t>
            </w:r>
            <w:r>
              <w:rPr>
                <w:rFonts w:cs="Times New Roman"/>
                <w:spacing w:val="-20"/>
                <w:kern w:val="0"/>
                <w:sz w:val="24"/>
                <w:szCs w:val="24"/>
              </w:rPr>
              <w:t>智慧管理平台</w:t>
            </w:r>
          </w:p>
        </w:tc>
        <w:tc>
          <w:tcPr>
            <w:tcW w:w="668" w:type="pct"/>
            <w:shd w:val="clear" w:color="auto" w:fill="auto"/>
            <w:vAlign w:val="center"/>
          </w:tcPr>
          <w:p w14:paraId="74A9D589">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0392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51D95E3F">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7</w:t>
            </w:r>
          </w:p>
        </w:tc>
        <w:tc>
          <w:tcPr>
            <w:tcW w:w="486" w:type="pct"/>
            <w:vMerge w:val="restart"/>
            <w:shd w:val="clear" w:color="auto" w:fill="auto"/>
            <w:vAlign w:val="center"/>
          </w:tcPr>
          <w:p w14:paraId="0B56797F">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区商务局</w:t>
            </w:r>
          </w:p>
        </w:tc>
        <w:tc>
          <w:tcPr>
            <w:tcW w:w="285" w:type="pct"/>
            <w:vMerge w:val="restart"/>
            <w:shd w:val="clear" w:color="auto" w:fill="auto"/>
            <w:vAlign w:val="center"/>
          </w:tcPr>
          <w:p w14:paraId="3D8F6B78">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4</w:t>
            </w:r>
          </w:p>
        </w:tc>
        <w:tc>
          <w:tcPr>
            <w:tcW w:w="612" w:type="pct"/>
            <w:shd w:val="clear" w:color="auto" w:fill="auto"/>
            <w:vAlign w:val="center"/>
          </w:tcPr>
          <w:p w14:paraId="24969000">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A2</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6F9353B1">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深入落实生产者责任延伸制度</w:t>
            </w:r>
          </w:p>
        </w:tc>
        <w:tc>
          <w:tcPr>
            <w:tcW w:w="668" w:type="pct"/>
            <w:shd w:val="clear" w:color="auto" w:fill="auto"/>
            <w:vAlign w:val="center"/>
          </w:tcPr>
          <w:p w14:paraId="04294FE2">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2375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2608D8F">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2259E012">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02FBDF28">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509E1BE8">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C3</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1D265F74">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积极培育第三方市场，鼓励专业化第三方机构从事固体废物收集转运、环境污染治理与咨询服务，推动固体废物收集、转运工程项目和设施建设运行第三方治理新模式</w:t>
            </w:r>
          </w:p>
        </w:tc>
        <w:tc>
          <w:tcPr>
            <w:tcW w:w="668" w:type="pct"/>
            <w:shd w:val="clear" w:color="auto" w:fill="auto"/>
            <w:vAlign w:val="center"/>
          </w:tcPr>
          <w:p w14:paraId="70A148E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121A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014F8780">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4348C51E">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8B35942">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CCD6F8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D3</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475B4346">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配合市级部门完善固体废物环境信息管理，建立</w:t>
            </w:r>
            <w:r>
              <w:rPr>
                <w:rFonts w:hint="eastAsia" w:ascii="方正仿宋_GBK" w:cs="Times New Roman"/>
                <w:spacing w:val="-20"/>
                <w:kern w:val="0"/>
                <w:sz w:val="24"/>
                <w:szCs w:val="24"/>
              </w:rPr>
              <w:t>“无废城市”</w:t>
            </w:r>
            <w:r>
              <w:rPr>
                <w:rFonts w:cs="Times New Roman"/>
                <w:spacing w:val="-20"/>
                <w:kern w:val="0"/>
                <w:sz w:val="24"/>
                <w:szCs w:val="24"/>
              </w:rPr>
              <w:t>智慧管理平台</w:t>
            </w:r>
          </w:p>
        </w:tc>
        <w:tc>
          <w:tcPr>
            <w:tcW w:w="668" w:type="pct"/>
            <w:shd w:val="clear" w:color="auto" w:fill="auto"/>
            <w:vAlign w:val="center"/>
          </w:tcPr>
          <w:p w14:paraId="6CD30F2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322D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003F09B4">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66B536E2">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1032036F">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67138BF">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E3</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3EA7B9C4">
            <w:pPr>
              <w:widowControl/>
              <w:snapToGrid w:val="0"/>
              <w:spacing w:line="400" w:lineRule="exact"/>
              <w:jc w:val="left"/>
              <w:rPr>
                <w:rFonts w:eastAsia="等线" w:cs="Times New Roman"/>
                <w:spacing w:val="-20"/>
                <w:kern w:val="0"/>
                <w:sz w:val="24"/>
                <w:szCs w:val="24"/>
              </w:rPr>
            </w:pPr>
            <w:r>
              <w:rPr>
                <w:rFonts w:hint="eastAsia" w:ascii="方正仿宋_GBK" w:cs="Times New Roman"/>
                <w:spacing w:val="-20"/>
                <w:kern w:val="0"/>
                <w:sz w:val="24"/>
                <w:szCs w:val="24"/>
              </w:rPr>
              <w:t>“无废商场”</w:t>
            </w:r>
            <w:r>
              <w:rPr>
                <w:rFonts w:cs="Times New Roman"/>
                <w:spacing w:val="-20"/>
                <w:kern w:val="0"/>
                <w:sz w:val="24"/>
                <w:szCs w:val="24"/>
              </w:rPr>
              <w:t>创建</w:t>
            </w:r>
          </w:p>
        </w:tc>
        <w:tc>
          <w:tcPr>
            <w:tcW w:w="668" w:type="pct"/>
            <w:shd w:val="clear" w:color="auto" w:fill="auto"/>
            <w:vAlign w:val="center"/>
          </w:tcPr>
          <w:p w14:paraId="26A20C95">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0C1B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shd w:val="clear" w:color="auto" w:fill="auto"/>
            <w:vAlign w:val="center"/>
          </w:tcPr>
          <w:p w14:paraId="5CD33F79">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8</w:t>
            </w:r>
          </w:p>
        </w:tc>
        <w:tc>
          <w:tcPr>
            <w:tcW w:w="486" w:type="pct"/>
            <w:shd w:val="clear" w:color="auto" w:fill="auto"/>
            <w:vAlign w:val="center"/>
          </w:tcPr>
          <w:p w14:paraId="4DD22527">
            <w:pPr>
              <w:widowControl/>
              <w:snapToGrid w:val="0"/>
              <w:spacing w:line="260" w:lineRule="exact"/>
              <w:jc w:val="center"/>
              <w:rPr>
                <w:rFonts w:cs="Times New Roman"/>
                <w:spacing w:val="-20"/>
                <w:kern w:val="0"/>
                <w:sz w:val="24"/>
                <w:szCs w:val="24"/>
              </w:rPr>
            </w:pPr>
            <w:r>
              <w:rPr>
                <w:rFonts w:cs="Times New Roman"/>
                <w:spacing w:val="-20"/>
                <w:kern w:val="0"/>
                <w:sz w:val="24"/>
                <w:szCs w:val="24"/>
              </w:rPr>
              <w:t>区市场</w:t>
            </w:r>
          </w:p>
          <w:p w14:paraId="71E5E095">
            <w:pPr>
              <w:widowControl/>
              <w:snapToGrid w:val="0"/>
              <w:spacing w:line="260" w:lineRule="exact"/>
              <w:jc w:val="center"/>
              <w:rPr>
                <w:rFonts w:eastAsia="等线" w:cs="Times New Roman"/>
                <w:spacing w:val="-20"/>
                <w:kern w:val="0"/>
                <w:sz w:val="24"/>
                <w:szCs w:val="24"/>
              </w:rPr>
            </w:pPr>
            <w:r>
              <w:rPr>
                <w:rFonts w:cs="Times New Roman"/>
                <w:spacing w:val="-20"/>
                <w:kern w:val="0"/>
                <w:sz w:val="24"/>
                <w:szCs w:val="24"/>
              </w:rPr>
              <w:t>监管局</w:t>
            </w:r>
          </w:p>
        </w:tc>
        <w:tc>
          <w:tcPr>
            <w:tcW w:w="285" w:type="pct"/>
            <w:shd w:val="clear" w:color="auto" w:fill="auto"/>
            <w:vAlign w:val="center"/>
          </w:tcPr>
          <w:p w14:paraId="79FD3AD7">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w:t>
            </w:r>
          </w:p>
        </w:tc>
        <w:tc>
          <w:tcPr>
            <w:tcW w:w="612" w:type="pct"/>
            <w:shd w:val="clear" w:color="auto" w:fill="auto"/>
            <w:vAlign w:val="center"/>
          </w:tcPr>
          <w:p w14:paraId="4FD932C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E3</w:t>
            </w:r>
            <w:r>
              <w:rPr>
                <w:rFonts w:hint="eastAsia" w:eastAsia="等线" w:cs="Times New Roman"/>
                <w:spacing w:val="-20"/>
                <w:kern w:val="0"/>
                <w:sz w:val="24"/>
                <w:szCs w:val="24"/>
              </w:rPr>
              <w:t>－</w:t>
            </w:r>
            <w:r>
              <w:rPr>
                <w:rFonts w:eastAsia="等线" w:cs="Times New Roman"/>
                <w:spacing w:val="-20"/>
                <w:kern w:val="0"/>
                <w:sz w:val="24"/>
                <w:szCs w:val="24"/>
              </w:rPr>
              <w:t>3</w:t>
            </w:r>
          </w:p>
        </w:tc>
        <w:tc>
          <w:tcPr>
            <w:tcW w:w="2702" w:type="pct"/>
            <w:shd w:val="clear" w:color="auto" w:fill="auto"/>
            <w:vAlign w:val="center"/>
          </w:tcPr>
          <w:p w14:paraId="3C9F275D">
            <w:pPr>
              <w:widowControl/>
              <w:snapToGrid w:val="0"/>
              <w:spacing w:line="400" w:lineRule="exact"/>
              <w:jc w:val="left"/>
              <w:rPr>
                <w:rFonts w:eastAsia="等线" w:cs="Times New Roman"/>
                <w:spacing w:val="-20"/>
                <w:kern w:val="0"/>
                <w:sz w:val="24"/>
                <w:szCs w:val="24"/>
              </w:rPr>
            </w:pPr>
            <w:r>
              <w:rPr>
                <w:rFonts w:hint="eastAsia" w:cs="Times New Roman"/>
                <w:spacing w:val="-20"/>
                <w:kern w:val="0"/>
                <w:sz w:val="24"/>
                <w:szCs w:val="24"/>
              </w:rPr>
              <w:t>“无废宾馆”创建</w:t>
            </w:r>
          </w:p>
        </w:tc>
        <w:tc>
          <w:tcPr>
            <w:tcW w:w="668" w:type="pct"/>
            <w:shd w:val="clear" w:color="auto" w:fill="auto"/>
            <w:vAlign w:val="center"/>
          </w:tcPr>
          <w:p w14:paraId="482F039C">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0952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2DF23B7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9</w:t>
            </w:r>
          </w:p>
        </w:tc>
        <w:tc>
          <w:tcPr>
            <w:tcW w:w="486" w:type="pct"/>
            <w:vMerge w:val="restart"/>
            <w:shd w:val="clear" w:color="auto" w:fill="auto"/>
            <w:vAlign w:val="center"/>
          </w:tcPr>
          <w:p w14:paraId="26C82CA6">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区教育局</w:t>
            </w:r>
          </w:p>
        </w:tc>
        <w:tc>
          <w:tcPr>
            <w:tcW w:w="285" w:type="pct"/>
            <w:vMerge w:val="restart"/>
            <w:shd w:val="clear" w:color="auto" w:fill="auto"/>
            <w:vAlign w:val="center"/>
          </w:tcPr>
          <w:p w14:paraId="306C869F">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3</w:t>
            </w:r>
          </w:p>
        </w:tc>
        <w:tc>
          <w:tcPr>
            <w:tcW w:w="612" w:type="pct"/>
            <w:shd w:val="clear" w:color="auto" w:fill="auto"/>
            <w:vAlign w:val="center"/>
          </w:tcPr>
          <w:p w14:paraId="5F55041C">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10</w:t>
            </w:r>
          </w:p>
        </w:tc>
        <w:tc>
          <w:tcPr>
            <w:tcW w:w="2702" w:type="pct"/>
            <w:shd w:val="clear" w:color="auto" w:fill="auto"/>
            <w:vAlign w:val="center"/>
          </w:tcPr>
          <w:p w14:paraId="16395EDB">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举办</w:t>
            </w:r>
            <w:r>
              <w:rPr>
                <w:rFonts w:hint="eastAsia" w:ascii="方正仿宋_GBK" w:cs="Times New Roman"/>
                <w:spacing w:val="-20"/>
                <w:kern w:val="0"/>
                <w:sz w:val="24"/>
                <w:szCs w:val="24"/>
              </w:rPr>
              <w:t>“无废”</w:t>
            </w:r>
            <w:r>
              <w:rPr>
                <w:rFonts w:cs="Times New Roman"/>
                <w:spacing w:val="-20"/>
                <w:kern w:val="0"/>
                <w:sz w:val="24"/>
                <w:szCs w:val="24"/>
              </w:rPr>
              <w:t>文化交流活动</w:t>
            </w:r>
          </w:p>
        </w:tc>
        <w:tc>
          <w:tcPr>
            <w:tcW w:w="668" w:type="pct"/>
            <w:shd w:val="clear" w:color="auto" w:fill="auto"/>
            <w:vAlign w:val="center"/>
          </w:tcPr>
          <w:p w14:paraId="11B204B1">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2BCD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4324BDD2">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79440A86">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0DFB914F">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41E3AEF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8</w:t>
            </w:r>
          </w:p>
        </w:tc>
        <w:tc>
          <w:tcPr>
            <w:tcW w:w="2702" w:type="pct"/>
            <w:shd w:val="clear" w:color="auto" w:fill="auto"/>
            <w:vAlign w:val="center"/>
          </w:tcPr>
          <w:p w14:paraId="243DFEB7">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w:t>
            </w:r>
            <w:r>
              <w:rPr>
                <w:rFonts w:hint="eastAsia" w:ascii="方正仿宋_GBK" w:cs="Times New Roman"/>
                <w:spacing w:val="-20"/>
                <w:kern w:val="0"/>
                <w:sz w:val="24"/>
                <w:szCs w:val="24"/>
              </w:rPr>
              <w:t>“无废”</w:t>
            </w:r>
            <w:r>
              <w:rPr>
                <w:rFonts w:cs="Times New Roman"/>
                <w:spacing w:val="-20"/>
                <w:kern w:val="0"/>
                <w:sz w:val="24"/>
                <w:szCs w:val="24"/>
              </w:rPr>
              <w:t>科普教育活动</w:t>
            </w:r>
          </w:p>
        </w:tc>
        <w:tc>
          <w:tcPr>
            <w:tcW w:w="668" w:type="pct"/>
            <w:shd w:val="clear" w:color="auto" w:fill="auto"/>
            <w:vAlign w:val="center"/>
          </w:tcPr>
          <w:p w14:paraId="1C1AE58C">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20DE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BCDCB70">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5381805C">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731A0FD4">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EED41D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E3</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14C76BBF">
            <w:pPr>
              <w:widowControl/>
              <w:snapToGrid w:val="0"/>
              <w:spacing w:line="400" w:lineRule="exact"/>
              <w:jc w:val="left"/>
              <w:rPr>
                <w:rFonts w:eastAsia="等线" w:cs="Times New Roman"/>
                <w:spacing w:val="-20"/>
                <w:kern w:val="0"/>
                <w:sz w:val="24"/>
                <w:szCs w:val="24"/>
              </w:rPr>
            </w:pPr>
            <w:r>
              <w:rPr>
                <w:rFonts w:hint="eastAsia" w:ascii="方正仿宋_GBK" w:cs="Times New Roman"/>
                <w:spacing w:val="-20"/>
                <w:kern w:val="0"/>
                <w:sz w:val="24"/>
                <w:szCs w:val="24"/>
              </w:rPr>
              <w:t>“无废学校”</w:t>
            </w:r>
            <w:r>
              <w:rPr>
                <w:rFonts w:cs="Times New Roman"/>
                <w:spacing w:val="-20"/>
                <w:kern w:val="0"/>
                <w:sz w:val="24"/>
                <w:szCs w:val="24"/>
              </w:rPr>
              <w:t>创建</w:t>
            </w:r>
          </w:p>
        </w:tc>
        <w:tc>
          <w:tcPr>
            <w:tcW w:w="668" w:type="pct"/>
            <w:shd w:val="clear" w:color="auto" w:fill="auto"/>
            <w:vAlign w:val="center"/>
          </w:tcPr>
          <w:p w14:paraId="7BC082A5">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6CFF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Align w:val="center"/>
          </w:tcPr>
          <w:p w14:paraId="34BB4E38">
            <w:pPr>
              <w:widowControl/>
              <w:snapToGrid w:val="0"/>
              <w:spacing w:line="400" w:lineRule="exact"/>
              <w:jc w:val="center"/>
              <w:rPr>
                <w:rFonts w:cs="Times New Roman"/>
                <w:spacing w:val="-20"/>
                <w:kern w:val="0"/>
                <w:sz w:val="24"/>
                <w:szCs w:val="24"/>
              </w:rPr>
            </w:pPr>
            <w:r>
              <w:rPr>
                <w:rFonts w:hint="eastAsia" w:cs="Times New Roman"/>
                <w:spacing w:val="-20"/>
                <w:kern w:val="0"/>
                <w:sz w:val="24"/>
                <w:szCs w:val="24"/>
              </w:rPr>
              <w:t>1</w:t>
            </w:r>
            <w:r>
              <w:rPr>
                <w:rFonts w:cs="Times New Roman"/>
                <w:spacing w:val="-20"/>
                <w:kern w:val="0"/>
                <w:sz w:val="24"/>
                <w:szCs w:val="24"/>
              </w:rPr>
              <w:t>0</w:t>
            </w:r>
          </w:p>
        </w:tc>
        <w:tc>
          <w:tcPr>
            <w:tcW w:w="486" w:type="pct"/>
            <w:vAlign w:val="center"/>
          </w:tcPr>
          <w:p w14:paraId="162787B3">
            <w:pPr>
              <w:widowControl/>
              <w:snapToGrid w:val="0"/>
              <w:spacing w:line="400" w:lineRule="exact"/>
              <w:jc w:val="center"/>
              <w:rPr>
                <w:rFonts w:cs="Times New Roman"/>
                <w:spacing w:val="-20"/>
                <w:kern w:val="0"/>
                <w:sz w:val="24"/>
                <w:szCs w:val="24"/>
              </w:rPr>
            </w:pPr>
            <w:r>
              <w:rPr>
                <w:rFonts w:hint="eastAsia" w:cs="Times New Roman"/>
                <w:spacing w:val="-20"/>
                <w:kern w:val="0"/>
                <w:sz w:val="24"/>
                <w:szCs w:val="24"/>
              </w:rPr>
              <w:t>区卫健委</w:t>
            </w:r>
          </w:p>
        </w:tc>
        <w:tc>
          <w:tcPr>
            <w:tcW w:w="285" w:type="pct"/>
            <w:vAlign w:val="center"/>
          </w:tcPr>
          <w:p w14:paraId="414A4E45">
            <w:pPr>
              <w:widowControl/>
              <w:snapToGrid w:val="0"/>
              <w:spacing w:line="400" w:lineRule="exact"/>
              <w:jc w:val="center"/>
              <w:rPr>
                <w:rFonts w:cs="Times New Roman"/>
                <w:spacing w:val="-20"/>
                <w:kern w:val="0"/>
                <w:sz w:val="24"/>
                <w:szCs w:val="24"/>
              </w:rPr>
            </w:pPr>
            <w:r>
              <w:rPr>
                <w:rFonts w:hint="eastAsia" w:cs="Times New Roman"/>
                <w:spacing w:val="-20"/>
                <w:kern w:val="0"/>
                <w:sz w:val="24"/>
                <w:szCs w:val="24"/>
              </w:rPr>
              <w:t>1</w:t>
            </w:r>
          </w:p>
        </w:tc>
        <w:tc>
          <w:tcPr>
            <w:tcW w:w="612" w:type="pct"/>
            <w:shd w:val="clear" w:color="auto" w:fill="auto"/>
            <w:vAlign w:val="center"/>
          </w:tcPr>
          <w:p w14:paraId="743244FA">
            <w:pPr>
              <w:widowControl/>
              <w:snapToGrid w:val="0"/>
              <w:spacing w:line="400" w:lineRule="exact"/>
              <w:jc w:val="center"/>
              <w:rPr>
                <w:rFonts w:cs="Times New Roman"/>
                <w:spacing w:val="-20"/>
                <w:kern w:val="0"/>
                <w:sz w:val="24"/>
                <w:szCs w:val="24"/>
              </w:rPr>
            </w:pPr>
            <w:r>
              <w:rPr>
                <w:rFonts w:eastAsia="等线" w:cs="Times New Roman"/>
                <w:spacing w:val="-20"/>
                <w:kern w:val="0"/>
                <w:sz w:val="24"/>
                <w:szCs w:val="24"/>
              </w:rPr>
              <w:t>E3</w:t>
            </w:r>
            <w:r>
              <w:rPr>
                <w:rFonts w:hint="eastAsia" w:eastAsia="等线" w:cs="Times New Roman"/>
                <w:spacing w:val="-20"/>
                <w:kern w:val="0"/>
                <w:sz w:val="24"/>
                <w:szCs w:val="24"/>
              </w:rPr>
              <w:t>－1</w:t>
            </w:r>
          </w:p>
        </w:tc>
        <w:tc>
          <w:tcPr>
            <w:tcW w:w="2702" w:type="pct"/>
            <w:shd w:val="clear" w:color="auto" w:fill="auto"/>
            <w:vAlign w:val="center"/>
          </w:tcPr>
          <w:p w14:paraId="2B6AB601">
            <w:pPr>
              <w:widowControl/>
              <w:snapToGrid w:val="0"/>
              <w:spacing w:line="400" w:lineRule="exact"/>
              <w:jc w:val="left"/>
              <w:rPr>
                <w:rFonts w:cs="Times New Roman"/>
                <w:spacing w:val="-20"/>
                <w:kern w:val="0"/>
                <w:sz w:val="24"/>
                <w:szCs w:val="24"/>
              </w:rPr>
            </w:pPr>
            <w:r>
              <w:rPr>
                <w:rFonts w:hint="eastAsia" w:ascii="方正仿宋_GBK" w:cs="Times New Roman"/>
                <w:spacing w:val="-20"/>
                <w:kern w:val="0"/>
                <w:sz w:val="24"/>
                <w:szCs w:val="24"/>
              </w:rPr>
              <w:t>“无废医院”</w:t>
            </w:r>
            <w:r>
              <w:rPr>
                <w:rFonts w:cs="Times New Roman"/>
                <w:spacing w:val="-20"/>
                <w:kern w:val="0"/>
                <w:sz w:val="24"/>
                <w:szCs w:val="24"/>
              </w:rPr>
              <w:t>创建</w:t>
            </w:r>
          </w:p>
        </w:tc>
        <w:tc>
          <w:tcPr>
            <w:tcW w:w="668" w:type="pct"/>
            <w:shd w:val="clear" w:color="auto" w:fill="auto"/>
            <w:vAlign w:val="center"/>
          </w:tcPr>
          <w:p w14:paraId="7CF2F5E3">
            <w:pPr>
              <w:widowControl/>
              <w:snapToGrid w:val="0"/>
              <w:spacing w:line="400" w:lineRule="exact"/>
              <w:jc w:val="center"/>
              <w:rPr>
                <w:rFonts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3CD2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35E539EC">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11</w:t>
            </w:r>
          </w:p>
        </w:tc>
        <w:tc>
          <w:tcPr>
            <w:tcW w:w="486" w:type="pct"/>
            <w:vMerge w:val="restart"/>
            <w:shd w:val="clear" w:color="auto" w:fill="auto"/>
            <w:vAlign w:val="center"/>
          </w:tcPr>
          <w:p w14:paraId="31A57638">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区科技局</w:t>
            </w:r>
          </w:p>
        </w:tc>
        <w:tc>
          <w:tcPr>
            <w:tcW w:w="285" w:type="pct"/>
            <w:vMerge w:val="restart"/>
            <w:shd w:val="clear" w:color="auto" w:fill="auto"/>
            <w:vAlign w:val="center"/>
          </w:tcPr>
          <w:p w14:paraId="2FD51268">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w:t>
            </w:r>
          </w:p>
        </w:tc>
        <w:tc>
          <w:tcPr>
            <w:tcW w:w="612" w:type="pct"/>
            <w:shd w:val="clear" w:color="auto" w:fill="auto"/>
            <w:vAlign w:val="center"/>
          </w:tcPr>
          <w:p w14:paraId="4391931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8</w:t>
            </w:r>
          </w:p>
        </w:tc>
        <w:tc>
          <w:tcPr>
            <w:tcW w:w="2702" w:type="pct"/>
            <w:shd w:val="clear" w:color="auto" w:fill="auto"/>
            <w:vAlign w:val="center"/>
          </w:tcPr>
          <w:p w14:paraId="2DF543A8">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w:t>
            </w:r>
            <w:r>
              <w:rPr>
                <w:rFonts w:hint="eastAsia" w:ascii="方正仿宋_GBK" w:cs="Times New Roman"/>
                <w:spacing w:val="-20"/>
                <w:kern w:val="0"/>
                <w:sz w:val="24"/>
                <w:szCs w:val="24"/>
              </w:rPr>
              <w:t>“无废”</w:t>
            </w:r>
            <w:r>
              <w:rPr>
                <w:rFonts w:cs="Times New Roman"/>
                <w:spacing w:val="-20"/>
                <w:kern w:val="0"/>
                <w:sz w:val="24"/>
                <w:szCs w:val="24"/>
              </w:rPr>
              <w:t>科普教育活动</w:t>
            </w:r>
          </w:p>
        </w:tc>
        <w:tc>
          <w:tcPr>
            <w:tcW w:w="668" w:type="pct"/>
            <w:shd w:val="clear" w:color="auto" w:fill="auto"/>
            <w:vAlign w:val="center"/>
          </w:tcPr>
          <w:p w14:paraId="3213BF31">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2410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08905E55">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70B84AA9">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1127A14F">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0DE4B0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B2</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7575B14B">
            <w:pPr>
              <w:widowControl/>
              <w:snapToGrid w:val="0"/>
              <w:spacing w:line="300" w:lineRule="exact"/>
              <w:jc w:val="left"/>
              <w:rPr>
                <w:rFonts w:eastAsia="等线" w:cs="Times New Roman"/>
                <w:spacing w:val="-20"/>
                <w:kern w:val="0"/>
                <w:sz w:val="24"/>
                <w:szCs w:val="24"/>
              </w:rPr>
            </w:pPr>
            <w:r>
              <w:rPr>
                <w:rFonts w:cs="Times New Roman"/>
                <w:spacing w:val="-20"/>
                <w:kern w:val="0"/>
                <w:sz w:val="24"/>
                <w:szCs w:val="24"/>
              </w:rPr>
              <w:t>支持、鼓励或推动驻区高校院所参与</w:t>
            </w:r>
            <w:r>
              <w:rPr>
                <w:rFonts w:hint="eastAsia" w:ascii="方正仿宋_GBK" w:cs="Times New Roman"/>
                <w:spacing w:val="-20"/>
                <w:kern w:val="0"/>
                <w:sz w:val="24"/>
                <w:szCs w:val="24"/>
              </w:rPr>
              <w:t>“无废城市”</w:t>
            </w:r>
            <w:r>
              <w:rPr>
                <w:rFonts w:cs="Times New Roman"/>
                <w:spacing w:val="-20"/>
                <w:kern w:val="0"/>
                <w:sz w:val="24"/>
                <w:szCs w:val="24"/>
              </w:rPr>
              <w:t>相关技术研究和成果转化、促进产学研相结合</w:t>
            </w:r>
          </w:p>
        </w:tc>
        <w:tc>
          <w:tcPr>
            <w:tcW w:w="668" w:type="pct"/>
            <w:shd w:val="clear" w:color="auto" w:fill="auto"/>
            <w:vAlign w:val="center"/>
          </w:tcPr>
          <w:p w14:paraId="2F6A104F">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1029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shd w:val="clear" w:color="auto" w:fill="auto"/>
            <w:vAlign w:val="center"/>
          </w:tcPr>
          <w:p w14:paraId="23ED9363">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12</w:t>
            </w:r>
          </w:p>
        </w:tc>
        <w:tc>
          <w:tcPr>
            <w:tcW w:w="486" w:type="pct"/>
            <w:shd w:val="clear" w:color="auto" w:fill="auto"/>
            <w:vAlign w:val="center"/>
          </w:tcPr>
          <w:p w14:paraId="5C96B807">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区财政局</w:t>
            </w:r>
          </w:p>
        </w:tc>
        <w:tc>
          <w:tcPr>
            <w:tcW w:w="285" w:type="pct"/>
            <w:shd w:val="clear" w:color="auto" w:fill="auto"/>
            <w:vAlign w:val="center"/>
          </w:tcPr>
          <w:p w14:paraId="286DF81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w:t>
            </w:r>
          </w:p>
        </w:tc>
        <w:tc>
          <w:tcPr>
            <w:tcW w:w="612" w:type="pct"/>
            <w:shd w:val="clear" w:color="auto" w:fill="auto"/>
            <w:vAlign w:val="center"/>
          </w:tcPr>
          <w:p w14:paraId="0D66C1DE">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C2</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4AC9EAF4">
            <w:pPr>
              <w:widowControl/>
              <w:snapToGrid w:val="0"/>
              <w:spacing w:line="300" w:lineRule="exact"/>
              <w:jc w:val="left"/>
              <w:rPr>
                <w:rFonts w:eastAsia="等线" w:cs="Times New Roman"/>
                <w:spacing w:val="-20"/>
                <w:kern w:val="0"/>
                <w:sz w:val="24"/>
                <w:szCs w:val="24"/>
              </w:rPr>
            </w:pPr>
            <w:r>
              <w:rPr>
                <w:rFonts w:cs="Times New Roman"/>
                <w:spacing w:val="-20"/>
                <w:kern w:val="0"/>
                <w:sz w:val="24"/>
                <w:szCs w:val="24"/>
              </w:rPr>
              <w:t>在节能减排、资源综合利用和环境保护等方面推行政府补贴政策，落实重点行业所得税</w:t>
            </w:r>
            <w:r>
              <w:rPr>
                <w:rFonts w:hint="eastAsia" w:ascii="方正仿宋_GBK" w:cs="Times New Roman"/>
                <w:spacing w:val="-20"/>
                <w:kern w:val="0"/>
                <w:sz w:val="24"/>
                <w:szCs w:val="24"/>
              </w:rPr>
              <w:t>“三免三减半”</w:t>
            </w:r>
            <w:r>
              <w:rPr>
                <w:rFonts w:cs="Times New Roman"/>
                <w:spacing w:val="-20"/>
                <w:kern w:val="0"/>
                <w:sz w:val="24"/>
                <w:szCs w:val="24"/>
              </w:rPr>
              <w:t>、增值税即征即退等税收优惠政策</w:t>
            </w:r>
          </w:p>
        </w:tc>
        <w:tc>
          <w:tcPr>
            <w:tcW w:w="668" w:type="pct"/>
            <w:shd w:val="clear" w:color="auto" w:fill="auto"/>
            <w:vAlign w:val="center"/>
          </w:tcPr>
          <w:p w14:paraId="7F74FBB2">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594F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shd w:val="clear" w:color="auto" w:fill="auto"/>
            <w:vAlign w:val="center"/>
          </w:tcPr>
          <w:p w14:paraId="6E567BCB">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13</w:t>
            </w:r>
          </w:p>
        </w:tc>
        <w:tc>
          <w:tcPr>
            <w:tcW w:w="486" w:type="pct"/>
            <w:shd w:val="clear" w:color="auto" w:fill="auto"/>
            <w:vAlign w:val="center"/>
          </w:tcPr>
          <w:p w14:paraId="7FB9C76D">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区税务局</w:t>
            </w:r>
          </w:p>
        </w:tc>
        <w:tc>
          <w:tcPr>
            <w:tcW w:w="285" w:type="pct"/>
            <w:shd w:val="clear" w:color="auto" w:fill="auto"/>
            <w:vAlign w:val="center"/>
          </w:tcPr>
          <w:p w14:paraId="6421185D">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w:t>
            </w:r>
          </w:p>
        </w:tc>
        <w:tc>
          <w:tcPr>
            <w:tcW w:w="612" w:type="pct"/>
            <w:shd w:val="clear" w:color="auto" w:fill="auto"/>
            <w:vAlign w:val="center"/>
          </w:tcPr>
          <w:p w14:paraId="347092FB">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C2</w:t>
            </w:r>
            <w:r>
              <w:rPr>
                <w:rFonts w:hint="eastAsia" w:eastAsia="等线" w:cs="Times New Roman"/>
                <w:spacing w:val="-20"/>
                <w:kern w:val="0"/>
                <w:sz w:val="24"/>
                <w:szCs w:val="24"/>
              </w:rPr>
              <w:t>－</w:t>
            </w:r>
            <w:r>
              <w:rPr>
                <w:rFonts w:eastAsia="等线" w:cs="Times New Roman"/>
                <w:spacing w:val="-20"/>
                <w:kern w:val="0"/>
                <w:sz w:val="24"/>
                <w:szCs w:val="24"/>
              </w:rPr>
              <w:t>1</w:t>
            </w:r>
          </w:p>
        </w:tc>
        <w:tc>
          <w:tcPr>
            <w:tcW w:w="2702" w:type="pct"/>
            <w:shd w:val="clear" w:color="auto" w:fill="auto"/>
            <w:vAlign w:val="center"/>
          </w:tcPr>
          <w:p w14:paraId="4B2690C0">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在节能减排、资源综合利用和环境保护等方面推行政府补贴政策，落实重点行业所得税</w:t>
            </w:r>
            <w:r>
              <w:rPr>
                <w:rFonts w:hint="eastAsia" w:ascii="方正仿宋_GBK" w:cs="Times New Roman"/>
                <w:spacing w:val="-20"/>
                <w:kern w:val="0"/>
                <w:sz w:val="24"/>
                <w:szCs w:val="24"/>
              </w:rPr>
              <w:t>“三免三减半”</w:t>
            </w:r>
            <w:r>
              <w:rPr>
                <w:rFonts w:cs="Times New Roman"/>
                <w:spacing w:val="-20"/>
                <w:kern w:val="0"/>
                <w:sz w:val="24"/>
                <w:szCs w:val="24"/>
              </w:rPr>
              <w:t>、增值税即征即退等税收优惠政策</w:t>
            </w:r>
          </w:p>
        </w:tc>
        <w:tc>
          <w:tcPr>
            <w:tcW w:w="668" w:type="pct"/>
            <w:shd w:val="clear" w:color="auto" w:fill="auto"/>
            <w:vAlign w:val="center"/>
          </w:tcPr>
          <w:p w14:paraId="22135C87">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7754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2894A017">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14</w:t>
            </w:r>
          </w:p>
        </w:tc>
        <w:tc>
          <w:tcPr>
            <w:tcW w:w="486" w:type="pct"/>
            <w:vMerge w:val="restart"/>
            <w:shd w:val="clear" w:color="auto" w:fill="auto"/>
            <w:vAlign w:val="center"/>
          </w:tcPr>
          <w:p w14:paraId="17DBB850">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区文旅局</w:t>
            </w:r>
          </w:p>
        </w:tc>
        <w:tc>
          <w:tcPr>
            <w:tcW w:w="285" w:type="pct"/>
            <w:vMerge w:val="restart"/>
            <w:shd w:val="clear" w:color="auto" w:fill="auto"/>
            <w:vAlign w:val="center"/>
          </w:tcPr>
          <w:p w14:paraId="770E03EC">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3</w:t>
            </w:r>
          </w:p>
        </w:tc>
        <w:tc>
          <w:tcPr>
            <w:tcW w:w="612" w:type="pct"/>
            <w:shd w:val="clear" w:color="auto" w:fill="auto"/>
            <w:vAlign w:val="center"/>
          </w:tcPr>
          <w:p w14:paraId="477EBA25">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10</w:t>
            </w:r>
          </w:p>
        </w:tc>
        <w:tc>
          <w:tcPr>
            <w:tcW w:w="2702" w:type="pct"/>
            <w:shd w:val="clear" w:color="auto" w:fill="auto"/>
            <w:vAlign w:val="center"/>
          </w:tcPr>
          <w:p w14:paraId="4105E0D2">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举办</w:t>
            </w:r>
            <w:r>
              <w:rPr>
                <w:rFonts w:hint="eastAsia" w:ascii="方正仿宋_GBK" w:cs="Times New Roman"/>
                <w:spacing w:val="-20"/>
                <w:kern w:val="0"/>
                <w:sz w:val="24"/>
                <w:szCs w:val="24"/>
              </w:rPr>
              <w:t>“无废”</w:t>
            </w:r>
            <w:r>
              <w:rPr>
                <w:rFonts w:cs="Times New Roman"/>
                <w:spacing w:val="-20"/>
                <w:kern w:val="0"/>
                <w:sz w:val="24"/>
                <w:szCs w:val="24"/>
              </w:rPr>
              <w:t>文化交流活动</w:t>
            </w:r>
          </w:p>
        </w:tc>
        <w:tc>
          <w:tcPr>
            <w:tcW w:w="668" w:type="pct"/>
            <w:shd w:val="clear" w:color="auto" w:fill="auto"/>
            <w:vAlign w:val="center"/>
          </w:tcPr>
          <w:p w14:paraId="6F45994B">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5FB7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1DAFC7D4">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379C7531">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5999B83B">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379B2A8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9</w:t>
            </w:r>
          </w:p>
        </w:tc>
        <w:tc>
          <w:tcPr>
            <w:tcW w:w="2702" w:type="pct"/>
            <w:shd w:val="clear" w:color="auto" w:fill="auto"/>
            <w:vAlign w:val="center"/>
          </w:tcPr>
          <w:p w14:paraId="4C86F102">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打造</w:t>
            </w:r>
            <w:r>
              <w:rPr>
                <w:rFonts w:hint="eastAsia" w:ascii="方正仿宋_GBK" w:cs="Times New Roman"/>
                <w:spacing w:val="-20"/>
                <w:kern w:val="0"/>
                <w:sz w:val="24"/>
                <w:szCs w:val="24"/>
              </w:rPr>
              <w:t>“无废”</w:t>
            </w:r>
            <w:r>
              <w:rPr>
                <w:rFonts w:cs="Times New Roman"/>
                <w:spacing w:val="-20"/>
                <w:kern w:val="0"/>
                <w:sz w:val="24"/>
                <w:szCs w:val="24"/>
              </w:rPr>
              <w:t>文化旅游路线</w:t>
            </w:r>
          </w:p>
        </w:tc>
        <w:tc>
          <w:tcPr>
            <w:tcW w:w="668" w:type="pct"/>
            <w:shd w:val="clear" w:color="auto" w:fill="auto"/>
            <w:vAlign w:val="center"/>
          </w:tcPr>
          <w:p w14:paraId="21870751">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696C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55E8A470">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7B4083FC">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1C3F8BA2">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04733B5F">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E3</w:t>
            </w:r>
            <w:r>
              <w:rPr>
                <w:rFonts w:hint="eastAsia" w:eastAsia="等线" w:cs="Times New Roman"/>
                <w:spacing w:val="-20"/>
                <w:kern w:val="0"/>
                <w:sz w:val="24"/>
                <w:szCs w:val="24"/>
              </w:rPr>
              <w:t>－</w:t>
            </w:r>
            <w:r>
              <w:rPr>
                <w:rFonts w:eastAsia="等线" w:cs="Times New Roman"/>
                <w:spacing w:val="-20"/>
                <w:kern w:val="0"/>
                <w:sz w:val="24"/>
                <w:szCs w:val="24"/>
              </w:rPr>
              <w:t>4</w:t>
            </w:r>
          </w:p>
        </w:tc>
        <w:tc>
          <w:tcPr>
            <w:tcW w:w="2702" w:type="pct"/>
            <w:shd w:val="clear" w:color="auto" w:fill="auto"/>
            <w:vAlign w:val="center"/>
          </w:tcPr>
          <w:p w14:paraId="6C5667DD">
            <w:pPr>
              <w:widowControl/>
              <w:snapToGrid w:val="0"/>
              <w:spacing w:line="400" w:lineRule="exact"/>
              <w:jc w:val="left"/>
              <w:rPr>
                <w:rFonts w:eastAsia="等线" w:cs="Times New Roman"/>
                <w:spacing w:val="-20"/>
                <w:kern w:val="0"/>
                <w:sz w:val="24"/>
                <w:szCs w:val="24"/>
              </w:rPr>
            </w:pPr>
            <w:r>
              <w:rPr>
                <w:rFonts w:hint="eastAsia" w:ascii="方正仿宋_GBK" w:cs="Times New Roman"/>
                <w:spacing w:val="-20"/>
                <w:kern w:val="0"/>
                <w:sz w:val="24"/>
                <w:szCs w:val="24"/>
              </w:rPr>
              <w:t>“无废景区”</w:t>
            </w:r>
            <w:r>
              <w:rPr>
                <w:rFonts w:cs="Times New Roman"/>
                <w:spacing w:val="-20"/>
                <w:kern w:val="0"/>
                <w:sz w:val="24"/>
                <w:szCs w:val="24"/>
              </w:rPr>
              <w:t>创建</w:t>
            </w:r>
          </w:p>
        </w:tc>
        <w:tc>
          <w:tcPr>
            <w:tcW w:w="668" w:type="pct"/>
            <w:shd w:val="clear" w:color="auto" w:fill="auto"/>
            <w:vAlign w:val="center"/>
          </w:tcPr>
          <w:p w14:paraId="6B246BB2">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r w14:paraId="5A2F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shd w:val="clear" w:color="auto" w:fill="auto"/>
            <w:vAlign w:val="center"/>
          </w:tcPr>
          <w:p w14:paraId="79772714">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15</w:t>
            </w:r>
          </w:p>
        </w:tc>
        <w:tc>
          <w:tcPr>
            <w:tcW w:w="486" w:type="pct"/>
            <w:vMerge w:val="restart"/>
            <w:shd w:val="clear" w:color="auto" w:fill="auto"/>
            <w:vAlign w:val="center"/>
          </w:tcPr>
          <w:p w14:paraId="4AF2686F">
            <w:pPr>
              <w:widowControl/>
              <w:snapToGrid w:val="0"/>
              <w:spacing w:line="300" w:lineRule="exact"/>
              <w:jc w:val="center"/>
              <w:rPr>
                <w:rFonts w:cs="Times New Roman"/>
                <w:spacing w:val="-20"/>
                <w:kern w:val="0"/>
                <w:sz w:val="24"/>
                <w:szCs w:val="24"/>
              </w:rPr>
            </w:pPr>
            <w:r>
              <w:rPr>
                <w:rFonts w:cs="Times New Roman"/>
                <w:spacing w:val="-20"/>
                <w:kern w:val="0"/>
                <w:sz w:val="24"/>
                <w:szCs w:val="24"/>
              </w:rPr>
              <w:t>区委</w:t>
            </w:r>
          </w:p>
          <w:p w14:paraId="1EEA744A">
            <w:pPr>
              <w:widowControl/>
              <w:snapToGrid w:val="0"/>
              <w:spacing w:line="300" w:lineRule="exact"/>
              <w:jc w:val="center"/>
              <w:rPr>
                <w:rFonts w:eastAsia="等线" w:cs="Times New Roman"/>
                <w:spacing w:val="-20"/>
                <w:kern w:val="0"/>
                <w:sz w:val="24"/>
                <w:szCs w:val="24"/>
              </w:rPr>
            </w:pPr>
            <w:r>
              <w:rPr>
                <w:rFonts w:cs="Times New Roman"/>
                <w:spacing w:val="-20"/>
                <w:kern w:val="0"/>
                <w:sz w:val="24"/>
                <w:szCs w:val="24"/>
              </w:rPr>
              <w:t>宣传部</w:t>
            </w:r>
          </w:p>
        </w:tc>
        <w:tc>
          <w:tcPr>
            <w:tcW w:w="285" w:type="pct"/>
            <w:vMerge w:val="restart"/>
            <w:shd w:val="clear" w:color="auto" w:fill="auto"/>
            <w:vAlign w:val="center"/>
          </w:tcPr>
          <w:p w14:paraId="001666A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w:t>
            </w:r>
          </w:p>
        </w:tc>
        <w:tc>
          <w:tcPr>
            <w:tcW w:w="612" w:type="pct"/>
            <w:shd w:val="clear" w:color="auto" w:fill="auto"/>
            <w:vAlign w:val="center"/>
          </w:tcPr>
          <w:p w14:paraId="7BF241D1">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6</w:t>
            </w:r>
          </w:p>
        </w:tc>
        <w:tc>
          <w:tcPr>
            <w:tcW w:w="2702" w:type="pct"/>
            <w:shd w:val="clear" w:color="auto" w:fill="auto"/>
            <w:vAlign w:val="center"/>
          </w:tcPr>
          <w:p w14:paraId="66CA37ED">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开展</w:t>
            </w:r>
            <w:r>
              <w:rPr>
                <w:rFonts w:hint="eastAsia" w:ascii="方正仿宋_GBK" w:cs="Times New Roman"/>
                <w:spacing w:val="-20"/>
                <w:kern w:val="0"/>
                <w:sz w:val="24"/>
                <w:szCs w:val="24"/>
              </w:rPr>
              <w:t>“无废城市”</w:t>
            </w:r>
            <w:r>
              <w:rPr>
                <w:rFonts w:cs="Times New Roman"/>
                <w:spacing w:val="-20"/>
                <w:kern w:val="0"/>
                <w:sz w:val="24"/>
                <w:szCs w:val="24"/>
              </w:rPr>
              <w:t>新闻推送，公益宣传活动</w:t>
            </w:r>
          </w:p>
        </w:tc>
        <w:tc>
          <w:tcPr>
            <w:tcW w:w="668" w:type="pct"/>
            <w:shd w:val="clear" w:color="auto" w:fill="auto"/>
            <w:vAlign w:val="center"/>
          </w:tcPr>
          <w:p w14:paraId="43E5FB97">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73EF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vAlign w:val="center"/>
          </w:tcPr>
          <w:p w14:paraId="67331B53">
            <w:pPr>
              <w:widowControl/>
              <w:snapToGrid w:val="0"/>
              <w:spacing w:line="400" w:lineRule="exact"/>
              <w:jc w:val="center"/>
              <w:rPr>
                <w:rFonts w:eastAsia="等线" w:cs="Times New Roman"/>
                <w:spacing w:val="-20"/>
                <w:kern w:val="0"/>
                <w:sz w:val="24"/>
                <w:szCs w:val="24"/>
              </w:rPr>
            </w:pPr>
          </w:p>
        </w:tc>
        <w:tc>
          <w:tcPr>
            <w:tcW w:w="486" w:type="pct"/>
            <w:vMerge w:val="continue"/>
            <w:vAlign w:val="center"/>
          </w:tcPr>
          <w:p w14:paraId="61D152D5">
            <w:pPr>
              <w:widowControl/>
              <w:snapToGrid w:val="0"/>
              <w:spacing w:line="400" w:lineRule="exact"/>
              <w:jc w:val="center"/>
              <w:rPr>
                <w:rFonts w:eastAsia="等线" w:cs="Times New Roman"/>
                <w:spacing w:val="-20"/>
                <w:kern w:val="0"/>
                <w:sz w:val="24"/>
                <w:szCs w:val="24"/>
              </w:rPr>
            </w:pPr>
          </w:p>
        </w:tc>
        <w:tc>
          <w:tcPr>
            <w:tcW w:w="285" w:type="pct"/>
            <w:vMerge w:val="continue"/>
            <w:vAlign w:val="center"/>
          </w:tcPr>
          <w:p w14:paraId="32AC416F">
            <w:pPr>
              <w:widowControl/>
              <w:snapToGrid w:val="0"/>
              <w:spacing w:line="400" w:lineRule="exact"/>
              <w:jc w:val="center"/>
              <w:rPr>
                <w:rFonts w:eastAsia="等线" w:cs="Times New Roman"/>
                <w:spacing w:val="-20"/>
                <w:kern w:val="0"/>
                <w:sz w:val="24"/>
                <w:szCs w:val="24"/>
              </w:rPr>
            </w:pPr>
          </w:p>
        </w:tc>
        <w:tc>
          <w:tcPr>
            <w:tcW w:w="612" w:type="pct"/>
            <w:shd w:val="clear" w:color="auto" w:fill="auto"/>
            <w:vAlign w:val="center"/>
          </w:tcPr>
          <w:p w14:paraId="59492535">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A3</w:t>
            </w:r>
            <w:r>
              <w:rPr>
                <w:rFonts w:hint="eastAsia" w:eastAsia="等线" w:cs="Times New Roman"/>
                <w:spacing w:val="-20"/>
                <w:kern w:val="0"/>
                <w:sz w:val="24"/>
                <w:szCs w:val="24"/>
              </w:rPr>
              <w:t>－</w:t>
            </w:r>
            <w:r>
              <w:rPr>
                <w:rFonts w:eastAsia="等线" w:cs="Times New Roman"/>
                <w:spacing w:val="-20"/>
                <w:kern w:val="0"/>
                <w:sz w:val="24"/>
                <w:szCs w:val="24"/>
              </w:rPr>
              <w:t>7</w:t>
            </w:r>
          </w:p>
        </w:tc>
        <w:tc>
          <w:tcPr>
            <w:tcW w:w="2702" w:type="pct"/>
            <w:shd w:val="clear" w:color="auto" w:fill="auto"/>
            <w:vAlign w:val="center"/>
          </w:tcPr>
          <w:p w14:paraId="487333CF">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推广</w:t>
            </w:r>
            <w:r>
              <w:rPr>
                <w:rFonts w:hint="eastAsia" w:ascii="方正仿宋_GBK" w:cs="Times New Roman"/>
                <w:spacing w:val="-20"/>
                <w:kern w:val="0"/>
                <w:sz w:val="24"/>
                <w:szCs w:val="24"/>
              </w:rPr>
              <w:t>“光盘行动”</w:t>
            </w:r>
            <w:r>
              <w:rPr>
                <w:rFonts w:cs="Times New Roman"/>
                <w:spacing w:val="-20"/>
                <w:kern w:val="0"/>
                <w:sz w:val="24"/>
                <w:szCs w:val="24"/>
              </w:rPr>
              <w:t>，引导适量消费</w:t>
            </w:r>
          </w:p>
        </w:tc>
        <w:tc>
          <w:tcPr>
            <w:tcW w:w="668" w:type="pct"/>
            <w:shd w:val="clear" w:color="auto" w:fill="auto"/>
            <w:vAlign w:val="center"/>
          </w:tcPr>
          <w:p w14:paraId="4A0AC0EA">
            <w:pPr>
              <w:widowControl/>
              <w:snapToGrid w:val="0"/>
              <w:spacing w:line="400" w:lineRule="exact"/>
              <w:jc w:val="center"/>
              <w:rPr>
                <w:rFonts w:eastAsia="等线" w:cs="Times New Roman"/>
                <w:spacing w:val="-20"/>
                <w:kern w:val="0"/>
                <w:sz w:val="24"/>
                <w:szCs w:val="24"/>
              </w:rPr>
            </w:pPr>
            <w:r>
              <w:rPr>
                <w:rFonts w:cs="Times New Roman"/>
                <w:spacing w:val="-20"/>
                <w:kern w:val="0"/>
                <w:sz w:val="24"/>
                <w:szCs w:val="24"/>
              </w:rPr>
              <w:t>持续推进</w:t>
            </w:r>
          </w:p>
        </w:tc>
      </w:tr>
      <w:tr w14:paraId="7997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Align w:val="center"/>
          </w:tcPr>
          <w:p w14:paraId="06ED3536">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16</w:t>
            </w:r>
          </w:p>
        </w:tc>
        <w:tc>
          <w:tcPr>
            <w:tcW w:w="486" w:type="pct"/>
            <w:vAlign w:val="center"/>
          </w:tcPr>
          <w:p w14:paraId="37BEA814">
            <w:pPr>
              <w:widowControl/>
              <w:snapToGrid w:val="0"/>
              <w:spacing w:line="300" w:lineRule="exact"/>
              <w:jc w:val="center"/>
              <w:rPr>
                <w:rFonts w:eastAsia="等线" w:cs="Times New Roman"/>
                <w:spacing w:val="-20"/>
                <w:kern w:val="0"/>
                <w:sz w:val="24"/>
                <w:szCs w:val="24"/>
              </w:rPr>
            </w:pPr>
            <w:r>
              <w:rPr>
                <w:rFonts w:cs="Times New Roman"/>
                <w:spacing w:val="-20"/>
                <w:kern w:val="0"/>
                <w:sz w:val="24"/>
                <w:szCs w:val="24"/>
              </w:rPr>
              <w:t>徐庄高新区管委会</w:t>
            </w:r>
          </w:p>
        </w:tc>
        <w:tc>
          <w:tcPr>
            <w:tcW w:w="285" w:type="pct"/>
            <w:vAlign w:val="center"/>
          </w:tcPr>
          <w:p w14:paraId="3559F520">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1</w:t>
            </w:r>
          </w:p>
        </w:tc>
        <w:tc>
          <w:tcPr>
            <w:tcW w:w="612" w:type="pct"/>
            <w:shd w:val="clear" w:color="auto" w:fill="auto"/>
            <w:vAlign w:val="center"/>
          </w:tcPr>
          <w:p w14:paraId="4AD0A899">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E1</w:t>
            </w:r>
            <w:r>
              <w:rPr>
                <w:rFonts w:hint="eastAsia" w:eastAsia="等线" w:cs="Times New Roman"/>
                <w:spacing w:val="-20"/>
                <w:kern w:val="0"/>
                <w:sz w:val="24"/>
                <w:szCs w:val="24"/>
              </w:rPr>
              <w:t>－</w:t>
            </w:r>
            <w:r>
              <w:rPr>
                <w:rFonts w:eastAsia="等线" w:cs="Times New Roman"/>
                <w:spacing w:val="-20"/>
                <w:kern w:val="0"/>
                <w:sz w:val="24"/>
                <w:szCs w:val="24"/>
              </w:rPr>
              <w:t>2</w:t>
            </w:r>
          </w:p>
        </w:tc>
        <w:tc>
          <w:tcPr>
            <w:tcW w:w="2702" w:type="pct"/>
            <w:shd w:val="clear" w:color="auto" w:fill="auto"/>
            <w:vAlign w:val="center"/>
          </w:tcPr>
          <w:p w14:paraId="40F04D39">
            <w:pPr>
              <w:widowControl/>
              <w:snapToGrid w:val="0"/>
              <w:spacing w:line="400" w:lineRule="exact"/>
              <w:jc w:val="left"/>
              <w:rPr>
                <w:rFonts w:eastAsia="等线" w:cs="Times New Roman"/>
                <w:spacing w:val="-20"/>
                <w:kern w:val="0"/>
                <w:sz w:val="24"/>
                <w:szCs w:val="24"/>
              </w:rPr>
            </w:pPr>
            <w:r>
              <w:rPr>
                <w:rFonts w:cs="Times New Roman"/>
                <w:spacing w:val="-20"/>
                <w:kern w:val="0"/>
                <w:sz w:val="24"/>
                <w:szCs w:val="24"/>
              </w:rPr>
              <w:t>推进新华日报印务中心搬迁工作</w:t>
            </w:r>
          </w:p>
        </w:tc>
        <w:tc>
          <w:tcPr>
            <w:tcW w:w="668" w:type="pct"/>
            <w:shd w:val="clear" w:color="auto" w:fill="auto"/>
            <w:vAlign w:val="center"/>
          </w:tcPr>
          <w:p w14:paraId="1775941A">
            <w:pPr>
              <w:widowControl/>
              <w:snapToGrid w:val="0"/>
              <w:spacing w:line="400" w:lineRule="exact"/>
              <w:jc w:val="center"/>
              <w:rPr>
                <w:rFonts w:eastAsia="等线" w:cs="Times New Roman"/>
                <w:spacing w:val="-20"/>
                <w:kern w:val="0"/>
                <w:sz w:val="24"/>
                <w:szCs w:val="24"/>
              </w:rPr>
            </w:pPr>
            <w:r>
              <w:rPr>
                <w:rFonts w:eastAsia="等线" w:cs="Times New Roman"/>
                <w:spacing w:val="-20"/>
                <w:kern w:val="0"/>
                <w:sz w:val="24"/>
                <w:szCs w:val="24"/>
              </w:rPr>
              <w:t>2022</w:t>
            </w:r>
            <w:r>
              <w:rPr>
                <w:rFonts w:hint="eastAsia" w:eastAsia="等线" w:cs="Times New Roman"/>
                <w:spacing w:val="-20"/>
                <w:kern w:val="0"/>
                <w:sz w:val="24"/>
                <w:szCs w:val="24"/>
              </w:rPr>
              <w:t>－</w:t>
            </w:r>
            <w:r>
              <w:rPr>
                <w:rFonts w:eastAsia="等线" w:cs="Times New Roman"/>
                <w:spacing w:val="-20"/>
                <w:kern w:val="0"/>
                <w:sz w:val="24"/>
                <w:szCs w:val="24"/>
              </w:rPr>
              <w:t>2025</w:t>
            </w:r>
          </w:p>
        </w:tc>
      </w:tr>
    </w:tbl>
    <w:p w14:paraId="4F2BA54A">
      <w:pPr>
        <w:widowControl/>
        <w:snapToGrid w:val="0"/>
        <w:rPr>
          <w:rFonts w:eastAsia="等线" w:cs="Times New Roman"/>
          <w:spacing w:val="-20"/>
          <w:kern w:val="0"/>
          <w:sz w:val="13"/>
          <w:szCs w:val="13"/>
        </w:rPr>
        <w:sectPr>
          <w:pgSz w:w="16838" w:h="11906" w:orient="landscape"/>
          <w:pgMar w:top="1588" w:right="2098" w:bottom="1474" w:left="1701" w:header="851" w:footer="1247" w:gutter="0"/>
          <w:cols w:space="0" w:num="1"/>
          <w:docGrid w:type="linesAndChars" w:linePitch="449" w:charSpace="0"/>
        </w:sectPr>
      </w:pPr>
    </w:p>
    <w:p w14:paraId="48177D17">
      <w:pPr>
        <w:pStyle w:val="2"/>
        <w:numPr>
          <w:ilvl w:val="0"/>
          <w:numId w:val="0"/>
        </w:numPr>
        <w:spacing w:beforeLines="0" w:after="0"/>
        <w:rPr>
          <w:rFonts w:ascii="方正黑体_GBK" w:cs="Times New Roman"/>
          <w:szCs w:val="28"/>
        </w:rPr>
      </w:pPr>
      <w:bookmarkStart w:id="172" w:name="_Toc129882971"/>
      <w:bookmarkStart w:id="173" w:name="_Toc140150532"/>
      <w:r>
        <w:rPr>
          <w:rFonts w:hint="eastAsia" w:ascii="方正黑体_GBK" w:cs="Times New Roman"/>
          <w:szCs w:val="28"/>
        </w:rPr>
        <w:t>第八章 玄武区“无废城市”建设特色模式</w:t>
      </w:r>
      <w:bookmarkEnd w:id="172"/>
      <w:bookmarkEnd w:id="173"/>
    </w:p>
    <w:p w14:paraId="0075A2BC">
      <w:pPr>
        <w:pStyle w:val="3"/>
        <w:spacing w:before="0" w:after="0"/>
        <w:rPr>
          <w:rFonts w:ascii="方正黑体_GBK" w:cs="Times New Roman"/>
          <w:szCs w:val="28"/>
        </w:rPr>
      </w:pPr>
      <w:bookmarkStart w:id="174" w:name="_Toc129882972"/>
      <w:bookmarkStart w:id="175" w:name="_Toc140150533"/>
    </w:p>
    <w:p w14:paraId="1989A9D8">
      <w:pPr>
        <w:pStyle w:val="3"/>
        <w:spacing w:before="0" w:after="0"/>
        <w:rPr>
          <w:rFonts w:ascii="方正黑体_GBK" w:cs="Times New Roman"/>
          <w:szCs w:val="28"/>
        </w:rPr>
      </w:pPr>
      <w:r>
        <w:rPr>
          <w:rFonts w:hint="eastAsia" w:ascii="方正黑体_GBK" w:cs="Times New Roman"/>
          <w:szCs w:val="28"/>
        </w:rPr>
        <w:t xml:space="preserve">第一节 </w:t>
      </w:r>
      <w:bookmarkStart w:id="176" w:name="_Hlk122114788"/>
      <w:r>
        <w:rPr>
          <w:rFonts w:hint="eastAsia" w:ascii="方正黑体_GBK" w:cs="Times New Roman"/>
          <w:szCs w:val="28"/>
        </w:rPr>
        <w:t>“无废玄武”立体宣传模式</w:t>
      </w:r>
      <w:bookmarkEnd w:id="174"/>
      <w:bookmarkEnd w:id="175"/>
      <w:bookmarkEnd w:id="176"/>
    </w:p>
    <w:p w14:paraId="36124F82">
      <w:pPr>
        <w:pStyle w:val="4"/>
        <w:ind w:firstLine="640"/>
        <w:rPr>
          <w:rFonts w:ascii="方正黑体_GBK" w:cs="Times New Roman"/>
          <w:szCs w:val="28"/>
        </w:rPr>
      </w:pPr>
      <w:bookmarkStart w:id="177" w:name="_Toc129882973"/>
      <w:r>
        <w:rPr>
          <w:rFonts w:hint="eastAsia" w:ascii="方正黑体_GBK" w:cs="Times New Roman"/>
          <w:szCs w:val="28"/>
        </w:rPr>
        <w:t>一、建设背景</w:t>
      </w:r>
      <w:bookmarkEnd w:id="177"/>
    </w:p>
    <w:p w14:paraId="768EEA4A">
      <w:pPr>
        <w:ind w:firstLine="640" w:firstLineChars="200"/>
        <w:rPr>
          <w:rFonts w:cs="Times New Roman"/>
          <w:snapToGrid w:val="0"/>
          <w:szCs w:val="32"/>
        </w:rPr>
      </w:pPr>
      <w:r>
        <w:rPr>
          <w:rFonts w:hint="eastAsia" w:cs="Times New Roman"/>
          <w:snapToGrid w:val="0"/>
          <w:szCs w:val="32"/>
        </w:rPr>
        <w:t>目前，玄武区</w:t>
      </w:r>
      <w:r>
        <w:rPr>
          <w:rFonts w:cs="Times New Roman"/>
          <w:snapToGrid w:val="0"/>
          <w:szCs w:val="32"/>
        </w:rPr>
        <w:t>固体废物污染防治宣传教育</w:t>
      </w:r>
      <w:r>
        <w:rPr>
          <w:rFonts w:hint="eastAsia" w:cs="Times New Roman"/>
          <w:snapToGrid w:val="0"/>
          <w:szCs w:val="32"/>
        </w:rPr>
        <w:t>还存在</w:t>
      </w:r>
      <w:r>
        <w:rPr>
          <w:rFonts w:cs="Times New Roman"/>
          <w:snapToGrid w:val="0"/>
          <w:szCs w:val="32"/>
        </w:rPr>
        <w:t>手段不足、力度不够</w:t>
      </w:r>
      <w:r>
        <w:rPr>
          <w:rFonts w:hint="eastAsia" w:cs="Times New Roman"/>
          <w:snapToGrid w:val="0"/>
          <w:szCs w:val="32"/>
        </w:rPr>
        <w:t>等问题，</w:t>
      </w:r>
      <w:r>
        <w:rPr>
          <w:rFonts w:cs="Times New Roman"/>
          <w:snapToGrid w:val="0"/>
          <w:szCs w:val="32"/>
        </w:rPr>
        <w:t>缺乏持续性和有效性。社会公众对固体废物污染认识不到位，对固体废物减量、分类及资源化利用意识淡薄，主动参与积极性不高、获得感不强。</w:t>
      </w:r>
      <w:r>
        <w:rPr>
          <w:rFonts w:hint="eastAsia" w:cs="Times New Roman"/>
          <w:snapToGrid w:val="0"/>
          <w:szCs w:val="32"/>
        </w:rPr>
        <w:t>亟待</w:t>
      </w:r>
      <w:r>
        <w:rPr>
          <w:rFonts w:cs="Times New Roman"/>
          <w:snapToGrid w:val="0"/>
          <w:szCs w:val="32"/>
        </w:rPr>
        <w:t>提升</w:t>
      </w:r>
      <w:r>
        <w:rPr>
          <w:rFonts w:hint="eastAsia" w:cs="Times New Roman"/>
          <w:snapToGrid w:val="0"/>
          <w:szCs w:val="32"/>
        </w:rPr>
        <w:t>“</w:t>
      </w:r>
      <w:r>
        <w:rPr>
          <w:rFonts w:cs="Times New Roman"/>
          <w:snapToGrid w:val="0"/>
          <w:szCs w:val="32"/>
        </w:rPr>
        <w:t>无废城市</w:t>
      </w:r>
      <w:r>
        <w:rPr>
          <w:rFonts w:hint="eastAsia" w:cs="Times New Roman"/>
          <w:snapToGrid w:val="0"/>
          <w:szCs w:val="32"/>
        </w:rPr>
        <w:t>”</w:t>
      </w:r>
      <w:r>
        <w:rPr>
          <w:rFonts w:cs="Times New Roman"/>
          <w:snapToGrid w:val="0"/>
          <w:szCs w:val="32"/>
        </w:rPr>
        <w:t>建设宣传教育的覆盖范围，丰富宣传手段，增强宣传实效，引导政府、企业、社会组织和公众共同参与</w:t>
      </w:r>
      <w:r>
        <w:rPr>
          <w:rFonts w:hint="eastAsia" w:cs="Times New Roman"/>
          <w:snapToGrid w:val="0"/>
          <w:szCs w:val="32"/>
        </w:rPr>
        <w:t>“</w:t>
      </w:r>
      <w:r>
        <w:rPr>
          <w:rFonts w:cs="Times New Roman"/>
          <w:snapToGrid w:val="0"/>
          <w:szCs w:val="32"/>
        </w:rPr>
        <w:t>无废城市</w:t>
      </w:r>
      <w:r>
        <w:rPr>
          <w:rFonts w:hint="eastAsia" w:cs="Times New Roman"/>
          <w:snapToGrid w:val="0"/>
          <w:szCs w:val="32"/>
        </w:rPr>
        <w:t>”</w:t>
      </w:r>
      <w:r>
        <w:rPr>
          <w:rFonts w:cs="Times New Roman"/>
          <w:snapToGrid w:val="0"/>
          <w:szCs w:val="32"/>
        </w:rPr>
        <w:t>建设，有待建立全民参与的立体化</w:t>
      </w:r>
      <w:r>
        <w:rPr>
          <w:rFonts w:hint="eastAsia" w:cs="Times New Roman"/>
          <w:snapToGrid w:val="0"/>
          <w:szCs w:val="32"/>
        </w:rPr>
        <w:t>“</w:t>
      </w:r>
      <w:r>
        <w:rPr>
          <w:rFonts w:cs="Times New Roman"/>
          <w:snapToGrid w:val="0"/>
          <w:szCs w:val="32"/>
        </w:rPr>
        <w:t>无废玄武</w:t>
      </w:r>
      <w:r>
        <w:rPr>
          <w:rFonts w:hint="eastAsia" w:cs="Times New Roman"/>
          <w:snapToGrid w:val="0"/>
          <w:szCs w:val="32"/>
        </w:rPr>
        <w:t>”</w:t>
      </w:r>
      <w:r>
        <w:rPr>
          <w:rFonts w:cs="Times New Roman"/>
          <w:snapToGrid w:val="0"/>
          <w:szCs w:val="32"/>
        </w:rPr>
        <w:t>宣传模式。</w:t>
      </w:r>
    </w:p>
    <w:p w14:paraId="672E8513">
      <w:pPr>
        <w:pStyle w:val="4"/>
        <w:ind w:firstLine="640"/>
        <w:rPr>
          <w:rFonts w:ascii="方正黑体_GBK" w:cs="Times New Roman"/>
          <w:szCs w:val="28"/>
        </w:rPr>
      </w:pPr>
      <w:bookmarkStart w:id="178" w:name="_Toc129882974"/>
      <w:r>
        <w:rPr>
          <w:rFonts w:hint="eastAsia" w:ascii="方正黑体_GBK" w:cs="Times New Roman"/>
          <w:szCs w:val="28"/>
        </w:rPr>
        <w:t>二、建设路径</w:t>
      </w:r>
      <w:bookmarkEnd w:id="178"/>
    </w:p>
    <w:p w14:paraId="6300FEE2">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一</w:t>
      </w:r>
      <w:r>
        <w:rPr>
          <w:rFonts w:ascii="方正楷体_GBK" w:eastAsia="方正楷体_GBK" w:cs="Times New Roman"/>
          <w:b/>
          <w:bCs/>
          <w:szCs w:val="28"/>
        </w:rPr>
        <w:t>）发动干部群众，构建</w:t>
      </w:r>
      <w:r>
        <w:rPr>
          <w:rFonts w:hint="eastAsia" w:ascii="方正楷体_GBK" w:eastAsia="方正楷体_GBK" w:cs="Times New Roman"/>
          <w:b/>
          <w:bCs/>
          <w:szCs w:val="28"/>
        </w:rPr>
        <w:t>“</w:t>
      </w:r>
      <w:r>
        <w:rPr>
          <w:rFonts w:ascii="方正楷体_GBK" w:eastAsia="方正楷体_GBK" w:cs="Times New Roman"/>
          <w:b/>
          <w:bCs/>
          <w:szCs w:val="28"/>
        </w:rPr>
        <w:t>无废</w:t>
      </w:r>
      <w:r>
        <w:rPr>
          <w:rFonts w:hint="eastAsia" w:ascii="方正楷体_GBK" w:eastAsia="方正楷体_GBK" w:cs="Times New Roman"/>
          <w:b/>
          <w:bCs/>
          <w:szCs w:val="28"/>
        </w:rPr>
        <w:t>”</w:t>
      </w:r>
      <w:r>
        <w:rPr>
          <w:rFonts w:ascii="方正楷体_GBK" w:eastAsia="方正楷体_GBK" w:cs="Times New Roman"/>
          <w:b/>
          <w:bCs/>
          <w:szCs w:val="28"/>
        </w:rPr>
        <w:t>宣传组织体系</w:t>
      </w:r>
    </w:p>
    <w:p w14:paraId="0C0B1963">
      <w:pPr>
        <w:ind w:firstLine="640" w:firstLineChars="200"/>
        <w:rPr>
          <w:rFonts w:cs="Times New Roman"/>
        </w:rPr>
      </w:pPr>
      <w:r>
        <w:rPr>
          <w:rFonts w:cs="Times New Roman"/>
          <w:snapToGrid w:val="0"/>
          <w:szCs w:val="32"/>
        </w:rPr>
        <w:t>发动干部深入学习领会习近平生态文明思想，将</w:t>
      </w:r>
      <w:r>
        <w:rPr>
          <w:rFonts w:hint="eastAsia" w:cs="Times New Roman"/>
          <w:snapToGrid w:val="0"/>
          <w:szCs w:val="32"/>
        </w:rPr>
        <w:t>“</w:t>
      </w:r>
      <w:r>
        <w:rPr>
          <w:rFonts w:cs="Times New Roman"/>
          <w:snapToGrid w:val="0"/>
          <w:szCs w:val="32"/>
        </w:rPr>
        <w:t>无废城市</w:t>
      </w:r>
      <w:r>
        <w:rPr>
          <w:rFonts w:hint="eastAsia" w:cs="Times New Roman"/>
          <w:snapToGrid w:val="0"/>
          <w:szCs w:val="32"/>
        </w:rPr>
        <w:t>”</w:t>
      </w:r>
      <w:r>
        <w:rPr>
          <w:rFonts w:cs="Times New Roman"/>
          <w:snapToGrid w:val="0"/>
          <w:szCs w:val="32"/>
        </w:rPr>
        <w:t>建设要求贯彻到</w:t>
      </w:r>
      <w:r>
        <w:rPr>
          <w:rFonts w:hint="eastAsia" w:cs="Times New Roman"/>
          <w:snapToGrid w:val="0"/>
          <w:szCs w:val="32"/>
        </w:rPr>
        <w:t>“</w:t>
      </w:r>
      <w:r>
        <w:rPr>
          <w:rFonts w:cs="Times New Roman"/>
          <w:snapToGrid w:val="0"/>
          <w:szCs w:val="32"/>
        </w:rPr>
        <w:t>强富美高</w:t>
      </w:r>
      <w:r>
        <w:rPr>
          <w:rFonts w:hint="eastAsia" w:cs="Times New Roman"/>
          <w:snapToGrid w:val="0"/>
          <w:szCs w:val="32"/>
        </w:rPr>
        <w:t>”</w:t>
      </w:r>
      <w:r>
        <w:rPr>
          <w:rFonts w:cs="Times New Roman"/>
          <w:snapToGrid w:val="0"/>
          <w:szCs w:val="32"/>
        </w:rPr>
        <w:t>新玄武建设中，各主管部门将</w:t>
      </w:r>
      <w:r>
        <w:rPr>
          <w:rFonts w:hint="eastAsia" w:cs="Times New Roman"/>
          <w:snapToGrid w:val="0"/>
          <w:szCs w:val="32"/>
        </w:rPr>
        <w:t>“</w:t>
      </w:r>
      <w:r>
        <w:rPr>
          <w:rFonts w:cs="Times New Roman"/>
          <w:snapToGrid w:val="0"/>
          <w:szCs w:val="32"/>
        </w:rPr>
        <w:t>无废</w:t>
      </w:r>
      <w:r>
        <w:rPr>
          <w:rFonts w:hint="eastAsia" w:cs="Times New Roman"/>
          <w:snapToGrid w:val="0"/>
          <w:szCs w:val="32"/>
        </w:rPr>
        <w:t>”</w:t>
      </w:r>
      <w:r>
        <w:rPr>
          <w:rFonts w:cs="Times New Roman"/>
          <w:snapToGrid w:val="0"/>
          <w:szCs w:val="32"/>
        </w:rPr>
        <w:t>政策法规和</w:t>
      </w:r>
      <w:r>
        <w:rPr>
          <w:rFonts w:hint="eastAsia" w:cs="Times New Roman"/>
          <w:snapToGrid w:val="0"/>
          <w:szCs w:val="32"/>
        </w:rPr>
        <w:t>“</w:t>
      </w:r>
      <w:r>
        <w:rPr>
          <w:rFonts w:cs="Times New Roman"/>
          <w:snapToGrid w:val="0"/>
          <w:szCs w:val="32"/>
        </w:rPr>
        <w:t>无废</w:t>
      </w:r>
      <w:r>
        <w:rPr>
          <w:rFonts w:hint="eastAsia" w:cs="Times New Roman"/>
          <w:snapToGrid w:val="0"/>
          <w:szCs w:val="32"/>
        </w:rPr>
        <w:t>”</w:t>
      </w:r>
      <w:r>
        <w:rPr>
          <w:rFonts w:cs="Times New Roman"/>
          <w:snapToGrid w:val="0"/>
          <w:szCs w:val="32"/>
        </w:rPr>
        <w:t>理念宣传至固废产生、运输单位</w:t>
      </w:r>
      <w:r>
        <w:rPr>
          <w:rFonts w:hint="eastAsia" w:cs="Times New Roman"/>
          <w:snapToGrid w:val="0"/>
          <w:szCs w:val="32"/>
        </w:rPr>
        <w:t>。建立</w:t>
      </w:r>
      <w:r>
        <w:rPr>
          <w:rFonts w:cs="Times New Roman"/>
          <w:snapToGrid w:val="0"/>
          <w:szCs w:val="32"/>
        </w:rPr>
        <w:t>区、街道、社区</w:t>
      </w:r>
      <w:r>
        <w:rPr>
          <w:rFonts w:hint="eastAsia" w:cs="Times New Roman"/>
          <w:snapToGrid w:val="0"/>
          <w:szCs w:val="32"/>
        </w:rPr>
        <w:t>“</w:t>
      </w:r>
      <w:r>
        <w:rPr>
          <w:rFonts w:cs="Times New Roman"/>
          <w:snapToGrid w:val="0"/>
          <w:szCs w:val="32"/>
        </w:rPr>
        <w:t>无废</w:t>
      </w:r>
      <w:r>
        <w:rPr>
          <w:rFonts w:hint="eastAsia" w:cs="Times New Roman"/>
          <w:snapToGrid w:val="0"/>
          <w:szCs w:val="32"/>
        </w:rPr>
        <w:t>”</w:t>
      </w:r>
      <w:r>
        <w:rPr>
          <w:rFonts w:cs="Times New Roman"/>
          <w:snapToGrid w:val="0"/>
          <w:szCs w:val="32"/>
        </w:rPr>
        <w:t>宣传三级联络员工作机制，</w:t>
      </w:r>
      <w:r>
        <w:rPr>
          <w:rFonts w:cs="Times New Roman"/>
        </w:rPr>
        <w:t>定期组织联络员宣传培训，指导宣传措施落实，</w:t>
      </w:r>
      <w:r>
        <w:rPr>
          <w:rFonts w:hint="eastAsia" w:cs="Times New Roman"/>
        </w:rPr>
        <w:t>构建</w:t>
      </w:r>
      <w:r>
        <w:rPr>
          <w:rFonts w:cs="Times New Roman"/>
        </w:rPr>
        <w:t>纵向到底、横向到边的</w:t>
      </w:r>
      <w:r>
        <w:rPr>
          <w:rFonts w:hint="eastAsia" w:cs="Times New Roman"/>
        </w:rPr>
        <w:t>“</w:t>
      </w:r>
      <w:r>
        <w:rPr>
          <w:rFonts w:cs="Times New Roman"/>
        </w:rPr>
        <w:t>无废</w:t>
      </w:r>
      <w:r>
        <w:rPr>
          <w:rFonts w:hint="eastAsia" w:cs="Times New Roman"/>
        </w:rPr>
        <w:t>”</w:t>
      </w:r>
      <w:r>
        <w:rPr>
          <w:rFonts w:cs="Times New Roman"/>
        </w:rPr>
        <w:t>宣传组织体系</w:t>
      </w:r>
      <w:r>
        <w:rPr>
          <w:rFonts w:hint="eastAsia" w:cs="Times New Roman"/>
        </w:rPr>
        <w:t>。</w:t>
      </w:r>
      <w:r>
        <w:rPr>
          <w:rFonts w:cs="Times New Roman"/>
        </w:rPr>
        <w:t>在群众中成立</w:t>
      </w:r>
      <w:r>
        <w:rPr>
          <w:rFonts w:hint="eastAsia" w:cs="Times New Roman"/>
        </w:rPr>
        <w:t>“</w:t>
      </w:r>
      <w:r>
        <w:rPr>
          <w:rFonts w:cs="Times New Roman"/>
        </w:rPr>
        <w:t>清废纠察队</w:t>
      </w:r>
      <w:r>
        <w:rPr>
          <w:rFonts w:hint="eastAsia" w:cs="Times New Roman"/>
        </w:rPr>
        <w:t>”，</w:t>
      </w:r>
      <w:r>
        <w:rPr>
          <w:rFonts w:cs="Times New Roman"/>
        </w:rPr>
        <w:t>发动环保人士参与监督垃圾分类、固废处置，对操作不</w:t>
      </w:r>
      <w:r>
        <w:rPr>
          <w:rFonts w:hint="eastAsia" w:cs="Times New Roman"/>
        </w:rPr>
        <w:t>当</w:t>
      </w:r>
      <w:r>
        <w:rPr>
          <w:rFonts w:cs="Times New Roman"/>
        </w:rPr>
        <w:t>之处及时纠正。</w:t>
      </w:r>
    </w:p>
    <w:p w14:paraId="7DA6AF0A">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二</w:t>
      </w:r>
      <w:r>
        <w:rPr>
          <w:rFonts w:ascii="方正楷体_GBK" w:eastAsia="方正楷体_GBK" w:cs="Times New Roman"/>
          <w:b/>
          <w:bCs/>
          <w:szCs w:val="28"/>
        </w:rPr>
        <w:t>）线上线下相结合，广泛开展</w:t>
      </w:r>
      <w:r>
        <w:rPr>
          <w:rFonts w:hint="eastAsia" w:ascii="方正楷体_GBK" w:eastAsia="方正楷体_GBK" w:cs="Times New Roman"/>
          <w:b/>
          <w:bCs/>
          <w:szCs w:val="28"/>
        </w:rPr>
        <w:t>“</w:t>
      </w:r>
      <w:r>
        <w:rPr>
          <w:rFonts w:ascii="方正楷体_GBK" w:eastAsia="方正楷体_GBK" w:cs="Times New Roman"/>
          <w:b/>
          <w:bCs/>
          <w:szCs w:val="28"/>
        </w:rPr>
        <w:t>无废</w:t>
      </w:r>
      <w:r>
        <w:rPr>
          <w:rFonts w:hint="eastAsia" w:ascii="方正楷体_GBK" w:eastAsia="方正楷体_GBK" w:cs="Times New Roman"/>
          <w:b/>
          <w:bCs/>
          <w:szCs w:val="28"/>
        </w:rPr>
        <w:t>”</w:t>
      </w:r>
      <w:r>
        <w:rPr>
          <w:rFonts w:ascii="方正楷体_GBK" w:eastAsia="方正楷体_GBK" w:cs="Times New Roman"/>
          <w:b/>
          <w:bCs/>
          <w:szCs w:val="28"/>
        </w:rPr>
        <w:t>宣传活动</w:t>
      </w:r>
    </w:p>
    <w:p w14:paraId="43E39F32">
      <w:pPr>
        <w:ind w:firstLine="640" w:firstLineChars="200"/>
        <w:rPr>
          <w:rFonts w:cs="Times New Roman"/>
        </w:rPr>
      </w:pPr>
      <w:r>
        <w:rPr>
          <w:rFonts w:cs="Times New Roman"/>
          <w:b/>
          <w:bCs/>
        </w:rPr>
        <w:t>多形式线下宣传。</w:t>
      </w:r>
      <w:r>
        <w:rPr>
          <w:rFonts w:cs="Times New Roman"/>
        </w:rPr>
        <w:t>在区内各机关、事业单位办事大厅、电梯口等显著位置设置固定宣传标语</w:t>
      </w:r>
      <w:r>
        <w:rPr>
          <w:rFonts w:hint="eastAsia" w:cs="Times New Roman"/>
        </w:rPr>
        <w:t>。</w:t>
      </w:r>
      <w:r>
        <w:rPr>
          <w:rFonts w:cs="Times New Roman"/>
        </w:rPr>
        <w:t>在主干道、商业街设置</w:t>
      </w:r>
      <w:r>
        <w:rPr>
          <w:rFonts w:hint="eastAsia" w:cs="Times New Roman"/>
        </w:rPr>
        <w:t>“</w:t>
      </w:r>
      <w:r>
        <w:rPr>
          <w:rFonts w:cs="Times New Roman"/>
        </w:rPr>
        <w:t>无废城市</w:t>
      </w:r>
      <w:r>
        <w:rPr>
          <w:rFonts w:hint="eastAsia" w:cs="Times New Roman"/>
        </w:rPr>
        <w:t>”</w:t>
      </w:r>
      <w:r>
        <w:rPr>
          <w:rFonts w:cs="Times New Roman"/>
        </w:rPr>
        <w:t>公益广告</w:t>
      </w:r>
      <w:r>
        <w:rPr>
          <w:rFonts w:hint="eastAsia" w:cs="Times New Roman"/>
        </w:rPr>
        <w:t>。</w:t>
      </w:r>
      <w:r>
        <w:rPr>
          <w:rFonts w:cs="Times New Roman"/>
        </w:rPr>
        <w:t>在区内景区、公园、菜场、商超、宾馆等人流密集场所设置宣传标语</w:t>
      </w:r>
      <w:r>
        <w:rPr>
          <w:rFonts w:hint="eastAsia" w:cs="Times New Roman"/>
        </w:rPr>
        <w:t>。</w:t>
      </w:r>
      <w:r>
        <w:rPr>
          <w:rFonts w:cs="Times New Roman"/>
        </w:rPr>
        <w:t>向全体市民发布</w:t>
      </w:r>
      <w:r>
        <w:rPr>
          <w:rFonts w:hint="eastAsia" w:cs="Times New Roman"/>
        </w:rPr>
        <w:t>“</w:t>
      </w:r>
      <w:r>
        <w:rPr>
          <w:rFonts w:cs="Times New Roman"/>
        </w:rPr>
        <w:t>无废城市</w:t>
      </w:r>
      <w:r>
        <w:rPr>
          <w:rFonts w:hint="eastAsia" w:cs="Times New Roman"/>
        </w:rPr>
        <w:t>”</w:t>
      </w:r>
      <w:r>
        <w:rPr>
          <w:rFonts w:cs="Times New Roman"/>
        </w:rPr>
        <w:t>建设倡议书，逐步引导</w:t>
      </w:r>
      <w:r>
        <w:rPr>
          <w:rFonts w:hint="eastAsia" w:cs="Times New Roman"/>
        </w:rPr>
        <w:t>“</w:t>
      </w:r>
      <w:r>
        <w:rPr>
          <w:rFonts w:cs="Times New Roman"/>
        </w:rPr>
        <w:t>无废</w:t>
      </w:r>
      <w:r>
        <w:rPr>
          <w:rFonts w:hint="eastAsia" w:cs="Times New Roman"/>
        </w:rPr>
        <w:t>”</w:t>
      </w:r>
      <w:r>
        <w:rPr>
          <w:rFonts w:cs="Times New Roman"/>
        </w:rPr>
        <w:t>理念成为共同价值观</w:t>
      </w:r>
      <w:r>
        <w:rPr>
          <w:rFonts w:hint="eastAsia" w:cs="Times New Roman"/>
        </w:rPr>
        <w:t>。</w:t>
      </w:r>
      <w:r>
        <w:rPr>
          <w:rFonts w:cs="Times New Roman"/>
        </w:rPr>
        <w:t>组织开展</w:t>
      </w:r>
      <w:r>
        <w:rPr>
          <w:rFonts w:hint="eastAsia" w:cs="Times New Roman"/>
        </w:rPr>
        <w:t>“</w:t>
      </w:r>
      <w:r>
        <w:rPr>
          <w:rFonts w:cs="Times New Roman"/>
        </w:rPr>
        <w:t>无废</w:t>
      </w:r>
      <w:r>
        <w:rPr>
          <w:rFonts w:hint="eastAsia" w:cs="Times New Roman"/>
        </w:rPr>
        <w:t>”</w:t>
      </w:r>
      <w:r>
        <w:rPr>
          <w:rFonts w:cs="Times New Roman"/>
        </w:rPr>
        <w:t>研学</w:t>
      </w:r>
      <w:r>
        <w:rPr>
          <w:rFonts w:hint="eastAsia" w:cs="Times New Roman"/>
        </w:rPr>
        <w:t>、“</w:t>
      </w:r>
      <w:r>
        <w:rPr>
          <w:rFonts w:cs="Times New Roman"/>
        </w:rPr>
        <w:t>无废</w:t>
      </w:r>
      <w:r>
        <w:rPr>
          <w:rFonts w:hint="eastAsia" w:cs="Times New Roman"/>
        </w:rPr>
        <w:t>”</w:t>
      </w:r>
      <w:r>
        <w:rPr>
          <w:rFonts w:cs="Times New Roman"/>
        </w:rPr>
        <w:t>主题宣讲会、商场</w:t>
      </w:r>
      <w:r>
        <w:rPr>
          <w:rFonts w:hint="eastAsia" w:cs="Times New Roman"/>
        </w:rPr>
        <w:t>“</w:t>
      </w:r>
      <w:r>
        <w:rPr>
          <w:rFonts w:cs="Times New Roman"/>
        </w:rPr>
        <w:t>无废</w:t>
      </w:r>
      <w:r>
        <w:rPr>
          <w:rFonts w:hint="eastAsia" w:cs="Times New Roman"/>
        </w:rPr>
        <w:t>”</w:t>
      </w:r>
      <w:r>
        <w:rPr>
          <w:rFonts w:cs="Times New Roman"/>
        </w:rPr>
        <w:t>制作、</w:t>
      </w:r>
      <w:r>
        <w:rPr>
          <w:rFonts w:hint="eastAsia" w:cs="Times New Roman"/>
        </w:rPr>
        <w:t>“</w:t>
      </w:r>
      <w:r>
        <w:rPr>
          <w:rFonts w:cs="Times New Roman"/>
        </w:rPr>
        <w:t>无废</w:t>
      </w:r>
      <w:r>
        <w:rPr>
          <w:rFonts w:hint="eastAsia" w:cs="Times New Roman"/>
        </w:rPr>
        <w:t>”</w:t>
      </w:r>
      <w:r>
        <w:rPr>
          <w:rFonts w:cs="Times New Roman"/>
        </w:rPr>
        <w:t>文艺演出等一系列主题活动，形成</w:t>
      </w:r>
      <w:r>
        <w:rPr>
          <w:rFonts w:hint="eastAsia" w:cs="Times New Roman"/>
        </w:rPr>
        <w:t>“</w:t>
      </w:r>
      <w:r>
        <w:rPr>
          <w:rFonts w:cs="Times New Roman"/>
        </w:rPr>
        <w:t>无废玄武</w:t>
      </w:r>
      <w:r>
        <w:rPr>
          <w:rFonts w:hint="eastAsia" w:cs="Times New Roman"/>
        </w:rPr>
        <w:t>”</w:t>
      </w:r>
      <w:r>
        <w:rPr>
          <w:rFonts w:cs="Times New Roman"/>
        </w:rPr>
        <w:t>建设宣传</w:t>
      </w:r>
      <w:r>
        <w:rPr>
          <w:rFonts w:hint="eastAsia" w:cs="Times New Roman"/>
        </w:rPr>
        <w:t>“</w:t>
      </w:r>
      <w:r>
        <w:rPr>
          <w:rFonts w:cs="Times New Roman"/>
        </w:rPr>
        <w:t>一张网</w:t>
      </w:r>
      <w:r>
        <w:rPr>
          <w:rFonts w:hint="eastAsia" w:cs="Times New Roman"/>
        </w:rPr>
        <w:t>”。</w:t>
      </w:r>
    </w:p>
    <w:p w14:paraId="61190CE5">
      <w:pPr>
        <w:ind w:firstLine="640" w:firstLineChars="200"/>
        <w:rPr>
          <w:rFonts w:cs="Times New Roman"/>
        </w:rPr>
      </w:pPr>
      <w:r>
        <w:rPr>
          <w:rFonts w:cs="Times New Roman"/>
          <w:b/>
          <w:bCs/>
        </w:rPr>
        <w:t>立体化线上宣传。</w:t>
      </w:r>
      <w:r>
        <w:rPr>
          <w:rFonts w:cs="Times New Roman"/>
        </w:rPr>
        <w:t>充分利用报纸、电视、广播、微信公众号、网站等媒介，多形式、多渠道、多视角全方位宣传。组织开展</w:t>
      </w:r>
      <w:r>
        <w:rPr>
          <w:rFonts w:hint="eastAsia" w:cs="Times New Roman"/>
        </w:rPr>
        <w:t>“</w:t>
      </w:r>
      <w:r>
        <w:rPr>
          <w:rFonts w:cs="Times New Roman"/>
        </w:rPr>
        <w:t>无废城市</w:t>
      </w:r>
      <w:r>
        <w:rPr>
          <w:rFonts w:hint="eastAsia" w:cs="Times New Roman"/>
        </w:rPr>
        <w:t>”</w:t>
      </w:r>
      <w:r>
        <w:rPr>
          <w:rFonts w:cs="Times New Roman"/>
        </w:rPr>
        <w:t>主题短视频、摄影征集活动，将</w:t>
      </w:r>
      <w:r>
        <w:rPr>
          <w:rFonts w:hint="eastAsia" w:cs="Times New Roman"/>
        </w:rPr>
        <w:t>“</w:t>
      </w:r>
      <w:r>
        <w:rPr>
          <w:rFonts w:cs="Times New Roman"/>
        </w:rPr>
        <w:t>无废城市</w:t>
      </w:r>
      <w:r>
        <w:rPr>
          <w:rFonts w:hint="eastAsia" w:cs="Times New Roman"/>
        </w:rPr>
        <w:t>”</w:t>
      </w:r>
      <w:r>
        <w:rPr>
          <w:rFonts w:cs="Times New Roman"/>
        </w:rPr>
        <w:t>宣传与短视频制作、艺术创作等结合</w:t>
      </w:r>
      <w:r>
        <w:rPr>
          <w:rFonts w:hint="eastAsia" w:cs="Times New Roman"/>
        </w:rPr>
        <w:t>。</w:t>
      </w:r>
      <w:r>
        <w:rPr>
          <w:rFonts w:cs="Times New Roman"/>
        </w:rPr>
        <w:t>通过广播、抖音、快手、微视等建立传播媒介综合平台及自制微信小程序开展线上直播，营造全社会共同参与</w:t>
      </w:r>
      <w:r>
        <w:rPr>
          <w:rFonts w:hint="eastAsia" w:cs="Times New Roman"/>
        </w:rPr>
        <w:t>“</w:t>
      </w:r>
      <w:r>
        <w:rPr>
          <w:rFonts w:cs="Times New Roman"/>
        </w:rPr>
        <w:t>无废城市</w:t>
      </w:r>
      <w:r>
        <w:rPr>
          <w:rFonts w:hint="eastAsia" w:cs="Times New Roman"/>
        </w:rPr>
        <w:t>”</w:t>
      </w:r>
      <w:r>
        <w:rPr>
          <w:rFonts w:cs="Times New Roman"/>
        </w:rPr>
        <w:t>建设的浓厚氛围。</w:t>
      </w:r>
    </w:p>
    <w:p w14:paraId="2BA8E0FA">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三</w:t>
      </w:r>
      <w:r>
        <w:rPr>
          <w:rFonts w:ascii="方正楷体_GBK" w:eastAsia="方正楷体_GBK" w:cs="Times New Roman"/>
          <w:b/>
          <w:bCs/>
          <w:szCs w:val="28"/>
        </w:rPr>
        <w:t>）</w:t>
      </w:r>
      <w:r>
        <w:rPr>
          <w:rFonts w:hint="eastAsia" w:ascii="方正楷体_GBK" w:eastAsia="方正楷体_GBK" w:cs="Times New Roman"/>
          <w:b/>
          <w:bCs/>
          <w:szCs w:val="28"/>
        </w:rPr>
        <w:t>“</w:t>
      </w:r>
      <w:r>
        <w:rPr>
          <w:rFonts w:ascii="方正楷体_GBK" w:eastAsia="方正楷体_GBK" w:cs="Times New Roman"/>
          <w:b/>
          <w:bCs/>
          <w:szCs w:val="28"/>
        </w:rPr>
        <w:t>小手拉大手</w:t>
      </w:r>
      <w:r>
        <w:rPr>
          <w:rFonts w:hint="eastAsia" w:ascii="方正楷体_GBK" w:eastAsia="方正楷体_GBK" w:cs="Times New Roman"/>
          <w:b/>
          <w:bCs/>
          <w:szCs w:val="28"/>
        </w:rPr>
        <w:t>”，</w:t>
      </w:r>
      <w:r>
        <w:rPr>
          <w:rFonts w:ascii="方正楷体_GBK" w:eastAsia="方正楷体_GBK" w:cs="Times New Roman"/>
          <w:b/>
          <w:bCs/>
          <w:szCs w:val="28"/>
        </w:rPr>
        <w:t>以点带面推动全域</w:t>
      </w:r>
      <w:r>
        <w:rPr>
          <w:rFonts w:hint="eastAsia" w:ascii="方正楷体_GBK" w:eastAsia="方正楷体_GBK" w:cs="Times New Roman"/>
          <w:b/>
          <w:bCs/>
          <w:szCs w:val="28"/>
        </w:rPr>
        <w:t>“</w:t>
      </w:r>
      <w:r>
        <w:rPr>
          <w:rFonts w:ascii="方正楷体_GBK" w:eastAsia="方正楷体_GBK" w:cs="Times New Roman"/>
          <w:b/>
          <w:bCs/>
          <w:szCs w:val="28"/>
        </w:rPr>
        <w:t>无废</w:t>
      </w:r>
      <w:r>
        <w:rPr>
          <w:rFonts w:hint="eastAsia" w:ascii="方正楷体_GBK" w:eastAsia="方正楷体_GBK" w:cs="Times New Roman"/>
          <w:b/>
          <w:bCs/>
          <w:szCs w:val="28"/>
        </w:rPr>
        <w:t>”</w:t>
      </w:r>
    </w:p>
    <w:p w14:paraId="78E4A5A1">
      <w:pPr>
        <w:ind w:firstLine="640" w:firstLineChars="200"/>
        <w:rPr>
          <w:rFonts w:cs="Times New Roman"/>
        </w:rPr>
      </w:pPr>
      <w:r>
        <w:rPr>
          <w:rFonts w:cs="Times New Roman"/>
          <w:b/>
          <w:bCs/>
        </w:rPr>
        <w:t>辐射家庭和社区。</w:t>
      </w:r>
      <w:r>
        <w:rPr>
          <w:rFonts w:cs="Times New Roman"/>
        </w:rPr>
        <w:t>积极开展学校</w:t>
      </w:r>
      <w:r>
        <w:rPr>
          <w:rFonts w:hint="eastAsia" w:cs="Times New Roman"/>
        </w:rPr>
        <w:t>“</w:t>
      </w:r>
      <w:r>
        <w:rPr>
          <w:rFonts w:cs="Times New Roman"/>
        </w:rPr>
        <w:t>无废</w:t>
      </w:r>
      <w:r>
        <w:rPr>
          <w:rFonts w:hint="eastAsia" w:cs="Times New Roman"/>
        </w:rPr>
        <w:t>”</w:t>
      </w:r>
      <w:r>
        <w:rPr>
          <w:rFonts w:cs="Times New Roman"/>
        </w:rPr>
        <w:t>理念教育，将</w:t>
      </w:r>
      <w:r>
        <w:rPr>
          <w:rFonts w:hint="eastAsia" w:cs="Times New Roman"/>
        </w:rPr>
        <w:t>“</w:t>
      </w:r>
      <w:r>
        <w:rPr>
          <w:rFonts w:cs="Times New Roman"/>
        </w:rPr>
        <w:t>无废城市</w:t>
      </w:r>
      <w:r>
        <w:rPr>
          <w:rFonts w:hint="eastAsia" w:cs="Times New Roman"/>
        </w:rPr>
        <w:t>”</w:t>
      </w:r>
      <w:r>
        <w:rPr>
          <w:rFonts w:cs="Times New Roman"/>
        </w:rPr>
        <w:t>建设相关内容纳入教学计划，引导孩子培养勤俭节约、低碳环保的生态文明生活行为习惯，通过多样的实践活动培养孩子垃圾分类意识，鼓励孩子以</w:t>
      </w:r>
      <w:r>
        <w:rPr>
          <w:rFonts w:hint="eastAsia" w:cs="Times New Roman"/>
        </w:rPr>
        <w:t>“</w:t>
      </w:r>
      <w:r>
        <w:rPr>
          <w:rFonts w:cs="Times New Roman"/>
        </w:rPr>
        <w:t>小手拉大手</w:t>
      </w:r>
      <w:r>
        <w:rPr>
          <w:rFonts w:hint="eastAsia" w:cs="Times New Roman"/>
        </w:rPr>
        <w:t>”</w:t>
      </w:r>
      <w:r>
        <w:rPr>
          <w:rFonts w:cs="Times New Roman"/>
        </w:rPr>
        <w:t>的方式带动整个家庭乃至社区养成绿色低碳的生活习惯。</w:t>
      </w:r>
    </w:p>
    <w:p w14:paraId="0425D2DC">
      <w:pPr>
        <w:ind w:firstLine="640" w:firstLineChars="200"/>
        <w:rPr>
          <w:rFonts w:cs="Times New Roman"/>
        </w:rPr>
      </w:pPr>
      <w:r>
        <w:rPr>
          <w:rFonts w:cs="Times New Roman"/>
          <w:b/>
          <w:bCs/>
        </w:rPr>
        <w:t>辐射企业和社会。</w:t>
      </w:r>
      <w:r>
        <w:rPr>
          <w:rFonts w:cs="Times New Roman"/>
        </w:rPr>
        <w:t>充分发挥党政机关示范引领作用，率先开展</w:t>
      </w:r>
      <w:r>
        <w:rPr>
          <w:rFonts w:hint="eastAsia" w:cs="Times New Roman"/>
        </w:rPr>
        <w:t>“</w:t>
      </w:r>
      <w:r>
        <w:rPr>
          <w:rFonts w:cs="Times New Roman"/>
        </w:rPr>
        <w:t>无废机关</w:t>
      </w:r>
      <w:r>
        <w:rPr>
          <w:rFonts w:hint="eastAsia" w:cs="Times New Roman"/>
        </w:rPr>
        <w:t>”</w:t>
      </w:r>
      <w:r>
        <w:rPr>
          <w:rFonts w:cs="Times New Roman"/>
        </w:rPr>
        <w:t>建设，践行绿色办公、绿色出行</w:t>
      </w:r>
      <w:r>
        <w:rPr>
          <w:rFonts w:hint="eastAsia" w:cs="Times New Roman"/>
        </w:rPr>
        <w:t>。发挥</w:t>
      </w:r>
      <w:r>
        <w:rPr>
          <w:rFonts w:cs="Times New Roman"/>
        </w:rPr>
        <w:t>行业龙头企业示范带动作用</w:t>
      </w:r>
      <w:r>
        <w:rPr>
          <w:rFonts w:hint="eastAsia" w:cs="Times New Roman"/>
        </w:rPr>
        <w:t>，</w:t>
      </w:r>
      <w:r>
        <w:rPr>
          <w:rFonts w:cs="Times New Roman"/>
        </w:rPr>
        <w:t>建设</w:t>
      </w:r>
      <w:r>
        <w:rPr>
          <w:rFonts w:hint="eastAsia" w:cs="Times New Roman"/>
        </w:rPr>
        <w:t>“</w:t>
      </w:r>
      <w:r>
        <w:rPr>
          <w:rFonts w:cs="Times New Roman"/>
        </w:rPr>
        <w:t>无废企业</w:t>
      </w:r>
      <w:r>
        <w:rPr>
          <w:rFonts w:hint="eastAsia" w:cs="Times New Roman"/>
        </w:rPr>
        <w:t>”，</w:t>
      </w:r>
      <w:r>
        <w:rPr>
          <w:rFonts w:cs="Times New Roman"/>
        </w:rPr>
        <w:t>以点带面，在全社会营造良好的</w:t>
      </w:r>
      <w:r>
        <w:rPr>
          <w:rFonts w:hint="eastAsia" w:cs="Times New Roman"/>
        </w:rPr>
        <w:t>“</w:t>
      </w:r>
      <w:r>
        <w:rPr>
          <w:rFonts w:cs="Times New Roman"/>
        </w:rPr>
        <w:t>无废</w:t>
      </w:r>
      <w:r>
        <w:rPr>
          <w:rFonts w:hint="eastAsia" w:cs="Times New Roman"/>
        </w:rPr>
        <w:t>”</w:t>
      </w:r>
      <w:r>
        <w:rPr>
          <w:rFonts w:cs="Times New Roman"/>
        </w:rPr>
        <w:t>氛围。</w:t>
      </w:r>
    </w:p>
    <w:p w14:paraId="47A62689">
      <w:pPr>
        <w:pStyle w:val="4"/>
        <w:ind w:firstLine="640"/>
        <w:rPr>
          <w:rFonts w:ascii="方正黑体_GBK" w:cs="Times New Roman"/>
          <w:szCs w:val="28"/>
        </w:rPr>
      </w:pPr>
      <w:bookmarkStart w:id="179" w:name="_Toc129882975"/>
      <w:r>
        <w:rPr>
          <w:rFonts w:hint="eastAsia" w:ascii="方正黑体_GBK" w:cs="Times New Roman"/>
          <w:szCs w:val="28"/>
        </w:rPr>
        <w:t>三、预期成效</w:t>
      </w:r>
      <w:bookmarkEnd w:id="179"/>
    </w:p>
    <w:p w14:paraId="0E5451AE">
      <w:pPr>
        <w:ind w:firstLine="640" w:firstLineChars="200"/>
        <w:rPr>
          <w:rFonts w:cs="Times New Roman"/>
        </w:rPr>
      </w:pPr>
      <w:r>
        <w:rPr>
          <w:rFonts w:cs="Times New Roman"/>
        </w:rPr>
        <w:t>到2025年，玄武区</w:t>
      </w:r>
      <w:r>
        <w:rPr>
          <w:rFonts w:hint="eastAsia" w:cs="Times New Roman"/>
        </w:rPr>
        <w:t>“</w:t>
      </w:r>
      <w:r>
        <w:rPr>
          <w:rFonts w:cs="Times New Roman"/>
        </w:rPr>
        <w:t>无废城市</w:t>
      </w:r>
      <w:r>
        <w:rPr>
          <w:rFonts w:hint="eastAsia" w:cs="Times New Roman"/>
        </w:rPr>
        <w:t>”</w:t>
      </w:r>
      <w:r>
        <w:rPr>
          <w:rFonts w:cs="Times New Roman"/>
        </w:rPr>
        <w:t>建设宣传教育</w:t>
      </w:r>
      <w:r>
        <w:rPr>
          <w:rFonts w:hint="eastAsia" w:cs="Times New Roman"/>
        </w:rPr>
        <w:t>实现全覆盖</w:t>
      </w:r>
      <w:r>
        <w:rPr>
          <w:rFonts w:cs="Times New Roman"/>
        </w:rPr>
        <w:t>，全区拥有良好的</w:t>
      </w:r>
      <w:r>
        <w:rPr>
          <w:rFonts w:hint="eastAsia" w:cs="Times New Roman"/>
        </w:rPr>
        <w:t>“</w:t>
      </w:r>
      <w:r>
        <w:rPr>
          <w:rFonts w:cs="Times New Roman"/>
        </w:rPr>
        <w:t>无废</w:t>
      </w:r>
      <w:r>
        <w:rPr>
          <w:rFonts w:hint="eastAsia" w:cs="Times New Roman"/>
        </w:rPr>
        <w:t>”</w:t>
      </w:r>
      <w:r>
        <w:rPr>
          <w:rFonts w:cs="Times New Roman"/>
        </w:rPr>
        <w:t>氛围，</w:t>
      </w:r>
      <w:r>
        <w:rPr>
          <w:rFonts w:hint="eastAsia" w:cs="Times New Roman"/>
        </w:rPr>
        <w:t>“</w:t>
      </w:r>
      <w:r>
        <w:rPr>
          <w:rFonts w:cs="Times New Roman"/>
        </w:rPr>
        <w:t>无废</w:t>
      </w:r>
      <w:r>
        <w:rPr>
          <w:rFonts w:hint="eastAsia" w:cs="Times New Roman"/>
        </w:rPr>
        <w:t>”</w:t>
      </w:r>
      <w:r>
        <w:rPr>
          <w:rFonts w:cs="Times New Roman"/>
        </w:rPr>
        <w:t>理念深入人心，全民参与的</w:t>
      </w:r>
      <w:r>
        <w:rPr>
          <w:rFonts w:hint="eastAsia" w:cs="Times New Roman"/>
        </w:rPr>
        <w:t>“</w:t>
      </w:r>
      <w:r>
        <w:rPr>
          <w:rFonts w:cs="Times New Roman"/>
        </w:rPr>
        <w:t>无废玄武</w:t>
      </w:r>
      <w:r>
        <w:rPr>
          <w:rFonts w:hint="eastAsia" w:cs="Times New Roman"/>
        </w:rPr>
        <w:t>”</w:t>
      </w:r>
      <w:r>
        <w:rPr>
          <w:rFonts w:cs="Times New Roman"/>
        </w:rPr>
        <w:t>建设体系基本形成。</w:t>
      </w:r>
    </w:p>
    <w:p w14:paraId="73281968">
      <w:pPr>
        <w:spacing w:line="240" w:lineRule="auto"/>
        <w:jc w:val="center"/>
        <w:rPr>
          <w:rFonts w:cs="Times New Roman"/>
        </w:rPr>
      </w:pPr>
      <w:r>
        <w:rPr>
          <w:rFonts w:cs="Times New Roman"/>
        </w:rPr>
        <w:drawing>
          <wp:inline distT="0" distB="0" distL="0" distR="0">
            <wp:extent cx="5200650" cy="40347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b="14369"/>
                    <a:stretch>
                      <a:fillRect/>
                    </a:stretch>
                  </pic:blipFill>
                  <pic:spPr>
                    <a:xfrm>
                      <a:off x="0" y="0"/>
                      <a:ext cx="5216773" cy="4047498"/>
                    </a:xfrm>
                    <a:prstGeom prst="rect">
                      <a:avLst/>
                    </a:prstGeom>
                    <a:noFill/>
                    <a:ln>
                      <a:noFill/>
                    </a:ln>
                  </pic:spPr>
                </pic:pic>
              </a:graphicData>
            </a:graphic>
          </wp:inline>
        </w:drawing>
      </w:r>
    </w:p>
    <w:p w14:paraId="4D8DC694">
      <w:pPr>
        <w:pStyle w:val="43"/>
        <w:numPr>
          <w:ilvl w:val="0"/>
          <w:numId w:val="31"/>
        </w:numPr>
        <w:spacing w:beforeLines="0" w:line="560" w:lineRule="exact"/>
        <w:rPr>
          <w:rFonts w:cs="Times New Roman"/>
          <w:szCs w:val="28"/>
        </w:rPr>
      </w:pPr>
      <w:r>
        <w:rPr>
          <w:rFonts w:hint="eastAsia" w:cs="Times New Roman"/>
        </w:rPr>
        <w:t>“</w:t>
      </w:r>
      <w:r>
        <w:rPr>
          <w:rFonts w:cs="Times New Roman"/>
        </w:rPr>
        <w:t>无废玄武</w:t>
      </w:r>
      <w:r>
        <w:rPr>
          <w:rFonts w:hint="eastAsia" w:cs="Times New Roman"/>
        </w:rPr>
        <w:t>”</w:t>
      </w:r>
      <w:r>
        <w:rPr>
          <w:rFonts w:cs="Times New Roman"/>
        </w:rPr>
        <w:t>立体宣传模式</w:t>
      </w:r>
      <w:bookmarkStart w:id="180" w:name="_Toc113048270"/>
      <w:bookmarkEnd w:id="180"/>
      <w:bookmarkStart w:id="181" w:name="_Toc113048289"/>
      <w:bookmarkEnd w:id="181"/>
      <w:bookmarkStart w:id="182" w:name="_Toc113048308"/>
      <w:bookmarkEnd w:id="182"/>
      <w:bookmarkStart w:id="183" w:name="_Toc113048274"/>
      <w:bookmarkEnd w:id="183"/>
      <w:bookmarkStart w:id="184" w:name="_Toc113048304"/>
      <w:bookmarkEnd w:id="184"/>
      <w:bookmarkStart w:id="185" w:name="_Toc113048277"/>
      <w:bookmarkEnd w:id="185"/>
      <w:bookmarkStart w:id="186" w:name="_Toc113048281"/>
      <w:bookmarkEnd w:id="186"/>
      <w:bookmarkStart w:id="187" w:name="_Toc113048298"/>
      <w:bookmarkEnd w:id="187"/>
      <w:bookmarkStart w:id="188" w:name="_Toc113048288"/>
      <w:bookmarkEnd w:id="188"/>
      <w:bookmarkStart w:id="189" w:name="_Toc113048292"/>
      <w:bookmarkEnd w:id="189"/>
      <w:bookmarkStart w:id="190" w:name="_Toc113048290"/>
      <w:bookmarkEnd w:id="190"/>
      <w:bookmarkStart w:id="191" w:name="_Toc113048310"/>
      <w:bookmarkEnd w:id="191"/>
      <w:bookmarkStart w:id="192" w:name="_Toc113048306"/>
      <w:bookmarkEnd w:id="192"/>
      <w:bookmarkStart w:id="193" w:name="_Toc113048293"/>
      <w:bookmarkEnd w:id="193"/>
      <w:bookmarkStart w:id="194" w:name="_Toc113048313"/>
      <w:bookmarkEnd w:id="194"/>
      <w:bookmarkStart w:id="195" w:name="_Toc113048276"/>
      <w:bookmarkEnd w:id="195"/>
      <w:bookmarkStart w:id="196" w:name="_Toc113048305"/>
      <w:bookmarkEnd w:id="196"/>
      <w:bookmarkStart w:id="197" w:name="_Toc113048295"/>
      <w:bookmarkEnd w:id="197"/>
      <w:bookmarkStart w:id="198" w:name="_Toc113048291"/>
      <w:bookmarkEnd w:id="198"/>
      <w:bookmarkStart w:id="199" w:name="_Toc113048311"/>
      <w:bookmarkEnd w:id="199"/>
      <w:bookmarkStart w:id="200" w:name="_Toc113048280"/>
      <w:bookmarkEnd w:id="200"/>
      <w:bookmarkStart w:id="201" w:name="_Toc113048284"/>
      <w:bookmarkEnd w:id="201"/>
      <w:bookmarkStart w:id="202" w:name="_Toc113048312"/>
      <w:bookmarkEnd w:id="202"/>
      <w:bookmarkStart w:id="203" w:name="_Toc113048285"/>
      <w:bookmarkEnd w:id="203"/>
      <w:bookmarkStart w:id="204" w:name="_Toc113048299"/>
      <w:bookmarkEnd w:id="204"/>
      <w:bookmarkStart w:id="205" w:name="_Toc113048283"/>
      <w:bookmarkEnd w:id="205"/>
      <w:bookmarkStart w:id="206" w:name="_Toc113048279"/>
      <w:bookmarkEnd w:id="206"/>
      <w:bookmarkStart w:id="207" w:name="_Toc113048301"/>
      <w:bookmarkEnd w:id="207"/>
      <w:bookmarkStart w:id="208" w:name="_Toc113048296"/>
      <w:bookmarkEnd w:id="208"/>
      <w:bookmarkStart w:id="209" w:name="_Toc113048286"/>
      <w:bookmarkEnd w:id="209"/>
      <w:bookmarkStart w:id="210" w:name="_Toc113048272"/>
      <w:bookmarkEnd w:id="210"/>
      <w:bookmarkStart w:id="211" w:name="_Toc113048314"/>
      <w:bookmarkEnd w:id="211"/>
      <w:bookmarkStart w:id="212" w:name="_Toc113048302"/>
      <w:bookmarkEnd w:id="212"/>
      <w:bookmarkStart w:id="213" w:name="_Toc113048297"/>
      <w:bookmarkEnd w:id="213"/>
      <w:bookmarkStart w:id="214" w:name="_Toc113048300"/>
      <w:bookmarkEnd w:id="214"/>
      <w:bookmarkStart w:id="215" w:name="_Toc113048287"/>
      <w:bookmarkEnd w:id="215"/>
      <w:bookmarkStart w:id="216" w:name="_Toc113048303"/>
      <w:bookmarkEnd w:id="216"/>
      <w:bookmarkStart w:id="217" w:name="_Toc113048282"/>
      <w:bookmarkEnd w:id="217"/>
      <w:bookmarkStart w:id="218" w:name="_Toc113048278"/>
      <w:bookmarkEnd w:id="218"/>
      <w:bookmarkStart w:id="219" w:name="_Toc113048275"/>
      <w:bookmarkEnd w:id="219"/>
      <w:bookmarkStart w:id="220" w:name="_Toc113048273"/>
      <w:bookmarkEnd w:id="220"/>
      <w:bookmarkStart w:id="221" w:name="_Toc113048307"/>
      <w:bookmarkEnd w:id="221"/>
      <w:bookmarkStart w:id="222" w:name="_Toc113048294"/>
      <w:bookmarkEnd w:id="222"/>
      <w:bookmarkStart w:id="223" w:name="_Toc113048309"/>
      <w:bookmarkEnd w:id="223"/>
      <w:bookmarkStart w:id="224" w:name="_Toc113048271"/>
      <w:bookmarkEnd w:id="224"/>
    </w:p>
    <w:p w14:paraId="2A7C9C72">
      <w:pPr>
        <w:pStyle w:val="3"/>
        <w:spacing w:before="0" w:after="0"/>
        <w:rPr>
          <w:rFonts w:ascii="方正黑体_GBK" w:cs="Times New Roman"/>
          <w:szCs w:val="28"/>
        </w:rPr>
      </w:pPr>
      <w:bookmarkStart w:id="225" w:name="_Toc140150534"/>
      <w:bookmarkStart w:id="226" w:name="_Toc129882976"/>
    </w:p>
    <w:p w14:paraId="1C11D247">
      <w:pPr>
        <w:pStyle w:val="3"/>
        <w:spacing w:before="0" w:after="0"/>
        <w:rPr>
          <w:rFonts w:ascii="方正黑体_GBK" w:cs="Times New Roman"/>
          <w:szCs w:val="28"/>
        </w:rPr>
      </w:pPr>
      <w:r>
        <w:rPr>
          <w:rFonts w:hint="eastAsia" w:ascii="方正黑体_GBK" w:cs="Times New Roman"/>
          <w:szCs w:val="28"/>
        </w:rPr>
        <w:t>第二节 “无废景区”绿色旅游模式</w:t>
      </w:r>
      <w:bookmarkEnd w:id="225"/>
      <w:bookmarkEnd w:id="226"/>
    </w:p>
    <w:p w14:paraId="108EB674">
      <w:pPr>
        <w:pStyle w:val="4"/>
        <w:ind w:firstLine="640"/>
        <w:rPr>
          <w:rFonts w:ascii="方正黑体_GBK" w:cs="Times New Roman"/>
          <w:szCs w:val="28"/>
        </w:rPr>
      </w:pPr>
      <w:bookmarkStart w:id="227" w:name="_Toc129882977"/>
      <w:r>
        <w:rPr>
          <w:rFonts w:hint="eastAsia" w:ascii="方正黑体_GBK" w:cs="Times New Roman"/>
          <w:szCs w:val="28"/>
        </w:rPr>
        <w:t>一、建设背景</w:t>
      </w:r>
      <w:bookmarkEnd w:id="227"/>
    </w:p>
    <w:p w14:paraId="2CF8AA2F">
      <w:pPr>
        <w:ind w:firstLine="640" w:firstLineChars="200"/>
        <w:rPr>
          <w:rFonts w:cs="Times New Roman"/>
        </w:rPr>
      </w:pPr>
      <w:r>
        <w:rPr>
          <w:rFonts w:hint="eastAsia" w:cs="Times New Roman"/>
        </w:rPr>
        <w:t>“</w:t>
      </w:r>
      <w:r>
        <w:rPr>
          <w:rFonts w:cs="Times New Roman"/>
        </w:rPr>
        <w:t>无废景区</w:t>
      </w:r>
      <w:r>
        <w:rPr>
          <w:rFonts w:hint="eastAsia" w:cs="Times New Roman"/>
        </w:rPr>
        <w:t>”</w:t>
      </w:r>
      <w:r>
        <w:rPr>
          <w:rFonts w:cs="Times New Roman"/>
        </w:rPr>
        <w:t>是</w:t>
      </w:r>
      <w:r>
        <w:rPr>
          <w:rFonts w:hint="eastAsia" w:cs="Times New Roman"/>
        </w:rPr>
        <w:t>“</w:t>
      </w:r>
      <w:r>
        <w:rPr>
          <w:rFonts w:cs="Times New Roman"/>
        </w:rPr>
        <w:t>无废城市</w:t>
      </w:r>
      <w:r>
        <w:rPr>
          <w:rFonts w:hint="eastAsia" w:cs="Times New Roman"/>
        </w:rPr>
        <w:t>”</w:t>
      </w:r>
      <w:r>
        <w:rPr>
          <w:rFonts w:cs="Times New Roman"/>
        </w:rPr>
        <w:t>建设的重要组成部分，是建立在</w:t>
      </w:r>
      <w:r>
        <w:rPr>
          <w:rFonts w:hint="eastAsia" w:cs="Times New Roman"/>
        </w:rPr>
        <w:t>“</w:t>
      </w:r>
      <w:r>
        <w:rPr>
          <w:rFonts w:cs="Times New Roman"/>
        </w:rPr>
        <w:t>无废城市</w:t>
      </w:r>
      <w:r>
        <w:rPr>
          <w:rFonts w:hint="eastAsia" w:cs="Times New Roman"/>
        </w:rPr>
        <w:t>”</w:t>
      </w:r>
      <w:r>
        <w:rPr>
          <w:rFonts w:cs="Times New Roman"/>
        </w:rPr>
        <w:t xml:space="preserve">概念基础上的一种先进的景区管理理念，以绿色、协调、开放、共享的新发展理念为引领，倡导游客保护环境、减少污染，实现景区固废资源化与无害化，推进循环利用和节能减排，打造低碳、环保、节能、与自然和谐共生的景区。 </w:t>
      </w:r>
    </w:p>
    <w:p w14:paraId="3BA2852E">
      <w:pPr>
        <w:ind w:firstLine="640" w:firstLineChars="200"/>
        <w:rPr>
          <w:rFonts w:cs="Times New Roman"/>
        </w:rPr>
      </w:pPr>
      <w:r>
        <w:rPr>
          <w:rFonts w:hint="eastAsia" w:cs="Times New Roman"/>
        </w:rPr>
        <w:t>玄武区“一城山水、十朝风尚”，区内历史古迹众多，旅游景区较为密集</w:t>
      </w:r>
      <w:r>
        <w:rPr>
          <w:rFonts w:cs="Times New Roman"/>
        </w:rPr>
        <w:t>。发挥区内文旅资源丰沛优势，鼓励中山陵、玄武湖景区等旅游景点积极推进</w:t>
      </w:r>
      <w:r>
        <w:rPr>
          <w:rFonts w:hint="eastAsia" w:cs="Times New Roman"/>
        </w:rPr>
        <w:t>“</w:t>
      </w:r>
      <w:r>
        <w:rPr>
          <w:rFonts w:cs="Times New Roman"/>
        </w:rPr>
        <w:t>无废景区</w:t>
      </w:r>
      <w:r>
        <w:rPr>
          <w:rFonts w:hint="eastAsia" w:cs="Times New Roman"/>
        </w:rPr>
        <w:t>”</w:t>
      </w:r>
      <w:r>
        <w:rPr>
          <w:rFonts w:cs="Times New Roman"/>
        </w:rPr>
        <w:t>建设，助推</w:t>
      </w:r>
      <w:r>
        <w:rPr>
          <w:rFonts w:hint="eastAsia" w:cs="Times New Roman"/>
        </w:rPr>
        <w:t>“</w:t>
      </w:r>
      <w:r>
        <w:rPr>
          <w:rFonts w:cs="Times New Roman"/>
        </w:rPr>
        <w:t>无废玄武</w:t>
      </w:r>
      <w:r>
        <w:rPr>
          <w:rFonts w:hint="eastAsia" w:cs="Times New Roman"/>
        </w:rPr>
        <w:t>”</w:t>
      </w:r>
      <w:r>
        <w:rPr>
          <w:rFonts w:cs="Times New Roman"/>
        </w:rPr>
        <w:t>建设。</w:t>
      </w:r>
    </w:p>
    <w:p w14:paraId="4EFD4814">
      <w:pPr>
        <w:pStyle w:val="4"/>
        <w:ind w:firstLine="640"/>
        <w:rPr>
          <w:rFonts w:ascii="方正黑体_GBK" w:cs="Times New Roman"/>
          <w:szCs w:val="28"/>
        </w:rPr>
      </w:pPr>
      <w:bookmarkStart w:id="228" w:name="_Toc129882978"/>
      <w:r>
        <w:rPr>
          <w:rFonts w:hint="eastAsia" w:ascii="方正黑体_GBK" w:cs="Times New Roman"/>
          <w:szCs w:val="28"/>
        </w:rPr>
        <w:t>二、建设路径</w:t>
      </w:r>
      <w:bookmarkEnd w:id="228"/>
    </w:p>
    <w:p w14:paraId="726B5340">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一</w:t>
      </w:r>
      <w:r>
        <w:rPr>
          <w:rFonts w:ascii="方正楷体_GBK" w:eastAsia="方正楷体_GBK" w:cs="Times New Roman"/>
          <w:b/>
          <w:bCs/>
          <w:szCs w:val="28"/>
        </w:rPr>
        <w:t>）强化顶层设计，保障景区</w:t>
      </w:r>
      <w:r>
        <w:rPr>
          <w:rFonts w:hint="eastAsia" w:ascii="方正楷体_GBK" w:eastAsia="方正楷体_GBK" w:cs="Times New Roman"/>
          <w:b/>
          <w:bCs/>
          <w:szCs w:val="28"/>
        </w:rPr>
        <w:t>“</w:t>
      </w:r>
      <w:r>
        <w:rPr>
          <w:rFonts w:ascii="方正楷体_GBK" w:eastAsia="方正楷体_GBK" w:cs="Times New Roman"/>
          <w:b/>
          <w:bCs/>
          <w:szCs w:val="28"/>
        </w:rPr>
        <w:t>秩序</w:t>
      </w:r>
      <w:r>
        <w:rPr>
          <w:rFonts w:hint="eastAsia" w:ascii="方正楷体_GBK" w:eastAsia="方正楷体_GBK" w:cs="Times New Roman"/>
          <w:b/>
          <w:bCs/>
          <w:szCs w:val="28"/>
        </w:rPr>
        <w:t>”</w:t>
      </w:r>
      <w:r>
        <w:rPr>
          <w:rFonts w:ascii="方正楷体_GBK" w:eastAsia="方正楷体_GBK" w:cs="Times New Roman"/>
          <w:b/>
          <w:bCs/>
          <w:szCs w:val="28"/>
        </w:rPr>
        <w:t>化</w:t>
      </w:r>
    </w:p>
    <w:p w14:paraId="482BA2EB">
      <w:pPr>
        <w:ind w:firstLine="640" w:firstLineChars="200"/>
        <w:rPr>
          <w:rFonts w:cs="Times New Roman"/>
        </w:rPr>
      </w:pPr>
      <w:r>
        <w:rPr>
          <w:rFonts w:cs="Times New Roman"/>
        </w:rPr>
        <w:t>在景区内成立由主要领导牵头</w:t>
      </w:r>
      <w:r>
        <w:rPr>
          <w:rFonts w:hint="eastAsia" w:cs="Times New Roman"/>
        </w:rPr>
        <w:t>的“</w:t>
      </w:r>
      <w:r>
        <w:rPr>
          <w:rFonts w:cs="Times New Roman"/>
        </w:rPr>
        <w:t>无废景区</w:t>
      </w:r>
      <w:r>
        <w:rPr>
          <w:rFonts w:hint="eastAsia" w:cs="Times New Roman"/>
        </w:rPr>
        <w:t>”</w:t>
      </w:r>
      <w:r>
        <w:rPr>
          <w:rFonts w:cs="Times New Roman"/>
        </w:rPr>
        <w:t>创建工作领导小组，编制创建</w:t>
      </w:r>
      <w:r>
        <w:rPr>
          <w:rFonts w:hint="eastAsia" w:cs="Times New Roman"/>
        </w:rPr>
        <w:t>“</w:t>
      </w:r>
      <w:r>
        <w:rPr>
          <w:rFonts w:cs="Times New Roman"/>
        </w:rPr>
        <w:t>无废景区</w:t>
      </w:r>
      <w:r>
        <w:rPr>
          <w:rFonts w:hint="eastAsia" w:cs="Times New Roman"/>
        </w:rPr>
        <w:t>”</w:t>
      </w:r>
      <w:r>
        <w:rPr>
          <w:rFonts w:cs="Times New Roman"/>
        </w:rPr>
        <w:t>工作实施方案，明确目标任务、</w:t>
      </w:r>
      <w:r>
        <w:rPr>
          <w:rFonts w:hint="eastAsia" w:cs="Times New Roman"/>
        </w:rPr>
        <w:t>责任</w:t>
      </w:r>
      <w:r>
        <w:rPr>
          <w:rFonts w:cs="Times New Roman"/>
        </w:rPr>
        <w:t>分工及时间节点，确保工作有序推进</w:t>
      </w:r>
      <w:r>
        <w:rPr>
          <w:rFonts w:hint="eastAsia" w:cs="Times New Roman"/>
        </w:rPr>
        <w:t>。</w:t>
      </w:r>
      <w:r>
        <w:rPr>
          <w:rFonts w:cs="Times New Roman"/>
        </w:rPr>
        <w:t>建立景区垃圾分类管理制度和环境卫生保洁机制</w:t>
      </w:r>
      <w:r>
        <w:rPr>
          <w:rFonts w:hint="eastAsia" w:cs="Times New Roman"/>
        </w:rPr>
        <w:t>，</w:t>
      </w:r>
      <w:r>
        <w:rPr>
          <w:rFonts w:cs="Times New Roman"/>
        </w:rPr>
        <w:t>组织召开动员和培训大会，确保创建工作周密部署</w:t>
      </w:r>
      <w:r>
        <w:rPr>
          <w:rFonts w:hint="eastAsia" w:cs="Times New Roman"/>
        </w:rPr>
        <w:t>、</w:t>
      </w:r>
      <w:r>
        <w:rPr>
          <w:rFonts w:cs="Times New Roman"/>
        </w:rPr>
        <w:t>层层落实</w:t>
      </w:r>
      <w:r>
        <w:rPr>
          <w:rFonts w:hint="eastAsia" w:cs="Times New Roman"/>
        </w:rPr>
        <w:t>、</w:t>
      </w:r>
      <w:r>
        <w:rPr>
          <w:rFonts w:cs="Times New Roman"/>
        </w:rPr>
        <w:t>人人参与</w:t>
      </w:r>
      <w:r>
        <w:rPr>
          <w:rFonts w:hint="eastAsia" w:cs="Times New Roman"/>
        </w:rPr>
        <w:t>、</w:t>
      </w:r>
      <w:r>
        <w:rPr>
          <w:rFonts w:cs="Times New Roman"/>
        </w:rPr>
        <w:t>推动有力。</w:t>
      </w:r>
    </w:p>
    <w:p w14:paraId="7C843435">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二</w:t>
      </w:r>
      <w:r>
        <w:rPr>
          <w:rFonts w:ascii="方正楷体_GBK" w:eastAsia="方正楷体_GBK" w:cs="Times New Roman"/>
          <w:b/>
          <w:bCs/>
          <w:szCs w:val="28"/>
        </w:rPr>
        <w:t>）强化固废管理，实现景区</w:t>
      </w:r>
      <w:r>
        <w:rPr>
          <w:rFonts w:hint="eastAsia" w:ascii="方正楷体_GBK" w:eastAsia="方正楷体_GBK" w:cs="Times New Roman"/>
          <w:b/>
          <w:bCs/>
          <w:szCs w:val="28"/>
        </w:rPr>
        <w:t>“</w:t>
      </w:r>
      <w:r>
        <w:rPr>
          <w:rFonts w:ascii="方正楷体_GBK" w:eastAsia="方正楷体_GBK" w:cs="Times New Roman"/>
          <w:b/>
          <w:bCs/>
          <w:szCs w:val="28"/>
        </w:rPr>
        <w:t>无废</w:t>
      </w:r>
      <w:r>
        <w:rPr>
          <w:rFonts w:hint="eastAsia" w:ascii="方正楷体_GBK" w:eastAsia="方正楷体_GBK" w:cs="Times New Roman"/>
          <w:b/>
          <w:bCs/>
          <w:szCs w:val="28"/>
        </w:rPr>
        <w:t>”</w:t>
      </w:r>
      <w:r>
        <w:rPr>
          <w:rFonts w:ascii="方正楷体_GBK" w:eastAsia="方正楷体_GBK" w:cs="Times New Roman"/>
          <w:b/>
          <w:bCs/>
          <w:szCs w:val="28"/>
        </w:rPr>
        <w:t>化</w:t>
      </w:r>
    </w:p>
    <w:p w14:paraId="405F230F">
      <w:pPr>
        <w:ind w:firstLine="640" w:firstLineChars="200"/>
        <w:rPr>
          <w:rFonts w:cs="Times New Roman"/>
        </w:rPr>
      </w:pPr>
      <w:r>
        <w:rPr>
          <w:rFonts w:cs="Times New Roman"/>
          <w:b/>
          <w:bCs/>
        </w:rPr>
        <w:t>推行禁塑限塑活动。</w:t>
      </w:r>
      <w:r>
        <w:rPr>
          <w:rFonts w:cs="Times New Roman"/>
        </w:rPr>
        <w:t>景区内各餐饮业严禁使用不可降解的一次性餐具等非环保材料。经营商户根据旅游经营规范要求</w:t>
      </w:r>
      <w:r>
        <w:rPr>
          <w:rFonts w:hint="eastAsia" w:cs="Times New Roman"/>
        </w:rPr>
        <w:t>， 落实</w:t>
      </w:r>
      <w:r>
        <w:rPr>
          <w:rFonts w:cs="Times New Roman"/>
        </w:rPr>
        <w:t>旅游商品简易包装规定，非特殊情况避免提供一次性塑料制品，减少景区内白色垃圾产生，景区餐饮集中点</w:t>
      </w:r>
      <w:r>
        <w:rPr>
          <w:rFonts w:hint="eastAsia" w:cs="Times New Roman"/>
        </w:rPr>
        <w:t>使用</w:t>
      </w:r>
      <w:r>
        <w:rPr>
          <w:rFonts w:cs="Times New Roman"/>
        </w:rPr>
        <w:t>可循环使用</w:t>
      </w:r>
      <w:r>
        <w:rPr>
          <w:rFonts w:hint="eastAsia" w:cs="Times New Roman"/>
        </w:rPr>
        <w:t>的</w:t>
      </w:r>
      <w:r>
        <w:rPr>
          <w:rFonts w:cs="Times New Roman"/>
        </w:rPr>
        <w:t>消毒餐具并引导游客践行</w:t>
      </w:r>
      <w:r>
        <w:rPr>
          <w:rFonts w:hint="eastAsia" w:cs="Times New Roman"/>
        </w:rPr>
        <w:t>“</w:t>
      </w:r>
      <w:r>
        <w:rPr>
          <w:rFonts w:cs="Times New Roman"/>
        </w:rPr>
        <w:t>光盘行动</w:t>
      </w:r>
      <w:r>
        <w:rPr>
          <w:rFonts w:hint="eastAsia" w:cs="Times New Roman"/>
        </w:rPr>
        <w:t>”。</w:t>
      </w:r>
    </w:p>
    <w:p w14:paraId="0E442D63">
      <w:pPr>
        <w:ind w:firstLine="640" w:firstLineChars="200"/>
        <w:rPr>
          <w:rFonts w:cs="Times New Roman"/>
        </w:rPr>
      </w:pPr>
      <w:r>
        <w:rPr>
          <w:rFonts w:cs="Times New Roman"/>
          <w:b/>
          <w:bCs/>
        </w:rPr>
        <w:t>加大固体废物管理</w:t>
      </w:r>
      <w:r>
        <w:rPr>
          <w:rFonts w:cs="Times New Roman"/>
        </w:rPr>
        <w:t>。全面推广景区垃圾分类，游客较集中的垃圾投放点使用三组四色独立分类垃圾桶，分散点使用不可回收和可回收垃圾桶，并合理配置满足需求的保洁队伍，保障日常环境整洁卫生，做到垃圾清扫及时，日产日清</w:t>
      </w:r>
      <w:r>
        <w:rPr>
          <w:rFonts w:hint="eastAsia" w:cs="Times New Roman"/>
        </w:rPr>
        <w:t>。</w:t>
      </w:r>
      <w:r>
        <w:rPr>
          <w:rFonts w:cs="Times New Roman"/>
        </w:rPr>
        <w:t>在景区绿化管理过程中，严格要求绿化防护人员对景区绿化区域采用无公害病虫防治技术，化肥等农药包装废弃物全部交由专业处理公司安全处置。</w:t>
      </w:r>
    </w:p>
    <w:p w14:paraId="626BDE40">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三</w:t>
      </w:r>
      <w:r>
        <w:rPr>
          <w:rFonts w:ascii="方正楷体_GBK" w:eastAsia="方正楷体_GBK" w:cs="Times New Roman"/>
          <w:b/>
          <w:bCs/>
          <w:szCs w:val="28"/>
        </w:rPr>
        <w:t>）聚焦智慧赋能，推广旅游</w:t>
      </w:r>
      <w:r>
        <w:rPr>
          <w:rFonts w:hint="eastAsia" w:ascii="方正楷体_GBK" w:eastAsia="方正楷体_GBK" w:cs="Times New Roman"/>
          <w:b/>
          <w:bCs/>
          <w:szCs w:val="28"/>
        </w:rPr>
        <w:t>“</w:t>
      </w:r>
      <w:r>
        <w:rPr>
          <w:rFonts w:ascii="方正楷体_GBK" w:eastAsia="方正楷体_GBK" w:cs="Times New Roman"/>
          <w:b/>
          <w:bCs/>
          <w:szCs w:val="28"/>
        </w:rPr>
        <w:t>无纸</w:t>
      </w:r>
      <w:r>
        <w:rPr>
          <w:rFonts w:hint="eastAsia" w:ascii="方正楷体_GBK" w:eastAsia="方正楷体_GBK" w:cs="Times New Roman"/>
          <w:b/>
          <w:bCs/>
          <w:szCs w:val="28"/>
        </w:rPr>
        <w:t>”</w:t>
      </w:r>
      <w:r>
        <w:rPr>
          <w:rFonts w:ascii="方正楷体_GBK" w:eastAsia="方正楷体_GBK" w:cs="Times New Roman"/>
          <w:b/>
          <w:bCs/>
          <w:szCs w:val="28"/>
        </w:rPr>
        <w:t>化</w:t>
      </w:r>
    </w:p>
    <w:p w14:paraId="3BD5B869">
      <w:pPr>
        <w:ind w:firstLine="640" w:firstLineChars="200"/>
        <w:rPr>
          <w:rFonts w:cs="Times New Roman"/>
        </w:rPr>
      </w:pPr>
      <w:r>
        <w:rPr>
          <w:rFonts w:cs="Times New Roman"/>
        </w:rPr>
        <w:t>大力推动智慧旅游建设，景区推广电子票，以APP门票识别码等方式逐步减少直至杜绝纸质票</w:t>
      </w:r>
      <w:r>
        <w:rPr>
          <w:rFonts w:hint="eastAsia" w:cs="Times New Roman"/>
        </w:rPr>
        <w:t>。</w:t>
      </w:r>
      <w:r>
        <w:rPr>
          <w:rFonts w:cs="Times New Roman"/>
        </w:rPr>
        <w:t>推广使用语音导览等数字化系统，融入景区地图、景点介绍等内容，以减少纸质宣传手册等资料的使用。</w:t>
      </w:r>
    </w:p>
    <w:p w14:paraId="1CD42B41">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四</w:t>
      </w:r>
      <w:r>
        <w:rPr>
          <w:rFonts w:ascii="方正楷体_GBK" w:eastAsia="方正楷体_GBK" w:cs="Times New Roman"/>
          <w:b/>
          <w:bCs/>
          <w:szCs w:val="28"/>
        </w:rPr>
        <w:t>）聚焦志愿服务，助推宣传</w:t>
      </w:r>
      <w:r>
        <w:rPr>
          <w:rFonts w:hint="eastAsia" w:ascii="方正楷体_GBK" w:eastAsia="方正楷体_GBK" w:cs="Times New Roman"/>
          <w:b/>
          <w:bCs/>
          <w:szCs w:val="28"/>
        </w:rPr>
        <w:t>“</w:t>
      </w:r>
      <w:r>
        <w:rPr>
          <w:rFonts w:ascii="方正楷体_GBK" w:eastAsia="方正楷体_GBK" w:cs="Times New Roman"/>
          <w:b/>
          <w:bCs/>
          <w:szCs w:val="28"/>
        </w:rPr>
        <w:t>全域</w:t>
      </w:r>
      <w:r>
        <w:rPr>
          <w:rFonts w:hint="eastAsia" w:ascii="方正楷体_GBK" w:eastAsia="方正楷体_GBK" w:cs="Times New Roman"/>
          <w:b/>
          <w:bCs/>
          <w:szCs w:val="28"/>
        </w:rPr>
        <w:t>”</w:t>
      </w:r>
      <w:r>
        <w:rPr>
          <w:rFonts w:ascii="方正楷体_GBK" w:eastAsia="方正楷体_GBK" w:cs="Times New Roman"/>
          <w:b/>
          <w:bCs/>
          <w:szCs w:val="28"/>
        </w:rPr>
        <w:t>化</w:t>
      </w:r>
    </w:p>
    <w:p w14:paraId="421CDC30">
      <w:pPr>
        <w:ind w:firstLine="640" w:firstLineChars="200"/>
        <w:rPr>
          <w:rFonts w:cs="Times New Roman"/>
          <w:kern w:val="0"/>
        </w:rPr>
      </w:pPr>
      <w:r>
        <w:rPr>
          <w:rFonts w:cs="Times New Roman"/>
        </w:rPr>
        <w:t>借助</w:t>
      </w:r>
      <w:r>
        <w:rPr>
          <w:rFonts w:cs="Times New Roman"/>
          <w:kern w:val="0"/>
        </w:rPr>
        <w:t>电子屏、宣传栏、主题海报、教育讲解、公益活动、引导标识、文明提示牌等进行宣传报道，组织</w:t>
      </w:r>
      <w:r>
        <w:rPr>
          <w:rFonts w:hint="eastAsia" w:cs="Times New Roman"/>
          <w:kern w:val="0"/>
        </w:rPr>
        <w:t>“</w:t>
      </w:r>
      <w:r>
        <w:rPr>
          <w:rFonts w:cs="Times New Roman"/>
          <w:kern w:val="0"/>
        </w:rPr>
        <w:t>环保志愿者</w:t>
      </w:r>
      <w:r>
        <w:rPr>
          <w:rFonts w:hint="eastAsia" w:cs="Times New Roman"/>
          <w:kern w:val="0"/>
        </w:rPr>
        <w:t>”</w:t>
      </w:r>
      <w:r>
        <w:rPr>
          <w:rFonts w:cs="Times New Roman"/>
          <w:kern w:val="0"/>
        </w:rPr>
        <w:t>向景区游客宣传垃圾分类相关知识、</w:t>
      </w:r>
      <w:r>
        <w:rPr>
          <w:rFonts w:hint="eastAsia" w:cs="Times New Roman"/>
          <w:kern w:val="0"/>
        </w:rPr>
        <w:t>“</w:t>
      </w:r>
      <w:r>
        <w:rPr>
          <w:rFonts w:cs="Times New Roman"/>
          <w:kern w:val="0"/>
        </w:rPr>
        <w:t>无废景区</w:t>
      </w:r>
      <w:r>
        <w:rPr>
          <w:rFonts w:hint="eastAsia" w:cs="Times New Roman"/>
          <w:kern w:val="0"/>
        </w:rPr>
        <w:t>”</w:t>
      </w:r>
      <w:r>
        <w:rPr>
          <w:rFonts w:cs="Times New Roman"/>
          <w:kern w:val="0"/>
        </w:rPr>
        <w:t>概念和绿色旅游理念，发动游客、工作人员一起参与</w:t>
      </w:r>
      <w:r>
        <w:rPr>
          <w:rFonts w:hint="eastAsia" w:cs="Times New Roman"/>
          <w:kern w:val="0"/>
        </w:rPr>
        <w:t>“</w:t>
      </w:r>
      <w:r>
        <w:rPr>
          <w:rFonts w:cs="Times New Roman"/>
          <w:kern w:val="0"/>
        </w:rPr>
        <w:t>无废化</w:t>
      </w:r>
      <w:r>
        <w:rPr>
          <w:rFonts w:hint="eastAsia" w:cs="Times New Roman"/>
          <w:kern w:val="0"/>
        </w:rPr>
        <w:t>”</w:t>
      </w:r>
      <w:r>
        <w:rPr>
          <w:rFonts w:cs="Times New Roman"/>
          <w:kern w:val="0"/>
        </w:rPr>
        <w:t>互动活动等。在景区接待中心等人流量</w:t>
      </w:r>
      <w:r>
        <w:rPr>
          <w:rFonts w:hint="eastAsia" w:cs="Times New Roman"/>
          <w:kern w:val="0"/>
        </w:rPr>
        <w:t>较</w:t>
      </w:r>
      <w:r>
        <w:rPr>
          <w:rFonts w:cs="Times New Roman"/>
          <w:kern w:val="0"/>
        </w:rPr>
        <w:t>大的</w:t>
      </w:r>
      <w:r>
        <w:rPr>
          <w:rFonts w:hint="eastAsia" w:cs="Times New Roman"/>
          <w:kern w:val="0"/>
        </w:rPr>
        <w:t>位置摆放“</w:t>
      </w:r>
      <w:r>
        <w:rPr>
          <w:rFonts w:cs="Times New Roman"/>
          <w:kern w:val="0"/>
        </w:rPr>
        <w:t>无废景区</w:t>
      </w:r>
      <w:r>
        <w:rPr>
          <w:rFonts w:hint="eastAsia" w:cs="Times New Roman"/>
          <w:kern w:val="0"/>
        </w:rPr>
        <w:t>”</w:t>
      </w:r>
      <w:r>
        <w:rPr>
          <w:rFonts w:cs="Times New Roman"/>
          <w:kern w:val="0"/>
        </w:rPr>
        <w:t>宣传单，张贴宣传画，充分利用玄武区旅游资源，提升全域</w:t>
      </w:r>
      <w:r>
        <w:rPr>
          <w:rFonts w:hint="eastAsia" w:cs="Times New Roman"/>
          <w:kern w:val="0"/>
        </w:rPr>
        <w:t>“</w:t>
      </w:r>
      <w:r>
        <w:rPr>
          <w:rFonts w:cs="Times New Roman"/>
          <w:kern w:val="0"/>
        </w:rPr>
        <w:t>无废城市</w:t>
      </w:r>
      <w:r>
        <w:rPr>
          <w:rFonts w:hint="eastAsia" w:cs="Times New Roman"/>
          <w:kern w:val="0"/>
        </w:rPr>
        <w:t>”</w:t>
      </w:r>
      <w:r>
        <w:rPr>
          <w:rFonts w:cs="Times New Roman"/>
          <w:kern w:val="0"/>
        </w:rPr>
        <w:t>建设水平。</w:t>
      </w:r>
    </w:p>
    <w:p w14:paraId="598E81D7">
      <w:pPr>
        <w:pStyle w:val="4"/>
        <w:ind w:firstLine="640"/>
        <w:rPr>
          <w:rFonts w:ascii="方正黑体_GBK" w:cs="Times New Roman"/>
          <w:szCs w:val="28"/>
        </w:rPr>
      </w:pPr>
      <w:bookmarkStart w:id="229" w:name="_Toc129882979"/>
      <w:r>
        <w:rPr>
          <w:rFonts w:hint="eastAsia" w:ascii="方正黑体_GBK" w:cs="Times New Roman"/>
          <w:szCs w:val="28"/>
        </w:rPr>
        <w:t>三、预期成效</w:t>
      </w:r>
      <w:bookmarkEnd w:id="229"/>
    </w:p>
    <w:p w14:paraId="45912236">
      <w:pPr>
        <w:ind w:firstLine="640" w:firstLineChars="200"/>
        <w:rPr>
          <w:rFonts w:cs="Times New Roman"/>
        </w:rPr>
      </w:pPr>
      <w:r>
        <w:rPr>
          <w:rFonts w:cs="Times New Roman"/>
        </w:rPr>
        <w:t>到2025年，全区各景区营造良好的</w:t>
      </w:r>
      <w:r>
        <w:rPr>
          <w:rFonts w:hint="eastAsia" w:cs="Times New Roman"/>
        </w:rPr>
        <w:t>“</w:t>
      </w:r>
      <w:r>
        <w:rPr>
          <w:rFonts w:cs="Times New Roman"/>
        </w:rPr>
        <w:t>无废</w:t>
      </w:r>
      <w:r>
        <w:rPr>
          <w:rFonts w:hint="eastAsia" w:cs="Times New Roman"/>
        </w:rPr>
        <w:t>”</w:t>
      </w:r>
      <w:r>
        <w:rPr>
          <w:rFonts w:cs="Times New Roman"/>
        </w:rPr>
        <w:t>氛围，建成5家</w:t>
      </w:r>
      <w:r>
        <w:rPr>
          <w:rFonts w:hint="eastAsia" w:cs="Times New Roman"/>
        </w:rPr>
        <w:t>“</w:t>
      </w:r>
      <w:r>
        <w:rPr>
          <w:rFonts w:cs="Times New Roman"/>
        </w:rPr>
        <w:t>无废景区</w:t>
      </w:r>
      <w:r>
        <w:rPr>
          <w:rFonts w:hint="eastAsia" w:cs="Times New Roman"/>
        </w:rPr>
        <w:t>”。</w:t>
      </w:r>
    </w:p>
    <w:p w14:paraId="3400F7E3">
      <w:pPr>
        <w:spacing w:line="240" w:lineRule="auto"/>
        <w:jc w:val="center"/>
        <w:rPr>
          <w:rFonts w:cs="Times New Roman"/>
          <w:kern w:val="0"/>
        </w:rPr>
      </w:pPr>
      <w:r>
        <w:rPr>
          <w:rFonts w:cs="Times New Roman"/>
          <w:kern w:val="0"/>
        </w:rPr>
        <w:drawing>
          <wp:inline distT="0" distB="0" distL="0" distR="0">
            <wp:extent cx="5375910" cy="3446145"/>
            <wp:effectExtent l="0" t="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383980" cy="3451139"/>
                    </a:xfrm>
                    <a:prstGeom prst="rect">
                      <a:avLst/>
                    </a:prstGeom>
                    <a:noFill/>
                  </pic:spPr>
                </pic:pic>
              </a:graphicData>
            </a:graphic>
          </wp:inline>
        </w:drawing>
      </w:r>
    </w:p>
    <w:p w14:paraId="512EB9DF">
      <w:pPr>
        <w:pStyle w:val="43"/>
        <w:numPr>
          <w:ilvl w:val="0"/>
          <w:numId w:val="32"/>
        </w:numPr>
        <w:spacing w:beforeLines="0" w:line="560" w:lineRule="exact"/>
        <w:rPr>
          <w:rFonts w:cs="Times New Roman"/>
        </w:rPr>
      </w:pPr>
      <w:r>
        <w:rPr>
          <w:rFonts w:hint="eastAsia" w:cs="Times New Roman"/>
        </w:rPr>
        <w:t>“</w:t>
      </w:r>
      <w:r>
        <w:rPr>
          <w:rFonts w:cs="Times New Roman"/>
        </w:rPr>
        <w:t>无废景区</w:t>
      </w:r>
      <w:r>
        <w:rPr>
          <w:rFonts w:hint="eastAsia" w:cs="Times New Roman"/>
        </w:rPr>
        <w:t>”</w:t>
      </w:r>
      <w:r>
        <w:rPr>
          <w:rFonts w:cs="Times New Roman"/>
        </w:rPr>
        <w:t>绿色旅游模式</w:t>
      </w:r>
    </w:p>
    <w:p w14:paraId="61E0B99B">
      <w:pPr>
        <w:pStyle w:val="3"/>
        <w:spacing w:before="0" w:after="0"/>
        <w:rPr>
          <w:rFonts w:ascii="方正黑体_GBK" w:cs="Times New Roman"/>
          <w:szCs w:val="28"/>
        </w:rPr>
      </w:pPr>
      <w:bookmarkStart w:id="230" w:name="_Toc129882980"/>
      <w:bookmarkStart w:id="231" w:name="_Toc140150535"/>
    </w:p>
    <w:p w14:paraId="33250D34">
      <w:pPr>
        <w:pStyle w:val="3"/>
        <w:spacing w:before="0" w:after="0"/>
        <w:rPr>
          <w:rFonts w:ascii="方正黑体_GBK" w:cs="Times New Roman"/>
          <w:szCs w:val="28"/>
        </w:rPr>
      </w:pPr>
      <w:r>
        <w:rPr>
          <w:rFonts w:hint="eastAsia" w:ascii="方正黑体_GBK" w:cs="Times New Roman"/>
          <w:szCs w:val="28"/>
        </w:rPr>
        <w:t>第三节 “玄武环保宝”资源回收模式</w:t>
      </w:r>
      <w:bookmarkEnd w:id="230"/>
      <w:bookmarkEnd w:id="231"/>
    </w:p>
    <w:p w14:paraId="7844D606">
      <w:pPr>
        <w:pStyle w:val="4"/>
        <w:ind w:firstLine="640"/>
        <w:rPr>
          <w:rFonts w:ascii="方正黑体_GBK" w:cs="Times New Roman"/>
          <w:szCs w:val="28"/>
        </w:rPr>
      </w:pPr>
      <w:bookmarkStart w:id="232" w:name="_Toc129882981"/>
      <w:r>
        <w:rPr>
          <w:rFonts w:hint="eastAsia" w:ascii="方正黑体_GBK" w:cs="Times New Roman"/>
          <w:szCs w:val="28"/>
        </w:rPr>
        <w:t>一、建设背景</w:t>
      </w:r>
      <w:bookmarkEnd w:id="232"/>
    </w:p>
    <w:p w14:paraId="63AD569B">
      <w:pPr>
        <w:ind w:firstLine="640" w:firstLineChars="200"/>
        <w:rPr>
          <w:rFonts w:cs="Times New Roman"/>
        </w:rPr>
      </w:pPr>
      <w:r>
        <w:rPr>
          <w:rFonts w:cs="Times New Roman"/>
        </w:rPr>
        <w:t>南京市政府</w:t>
      </w:r>
      <w:r>
        <w:rPr>
          <w:rFonts w:hint="eastAsia" w:cs="Times New Roman"/>
        </w:rPr>
        <w:t>已</w:t>
      </w:r>
      <w:r>
        <w:rPr>
          <w:rFonts w:cs="Times New Roman"/>
        </w:rPr>
        <w:t>印发《南京市废旧物资循环利用体系建设实施方案（2022</w:t>
      </w:r>
      <w:r>
        <w:rPr>
          <w:rFonts w:hint="eastAsia" w:cs="Times New Roman"/>
        </w:rPr>
        <w:t>－</w:t>
      </w:r>
      <w:r>
        <w:rPr>
          <w:rFonts w:cs="Times New Roman"/>
        </w:rPr>
        <w:t>2025）》，明确鼓励回收服务站点及回收企业推广</w:t>
      </w:r>
      <w:r>
        <w:rPr>
          <w:rFonts w:hint="eastAsia" w:cs="Times New Roman"/>
        </w:rPr>
        <w:t>“</w:t>
      </w:r>
      <w:r>
        <w:rPr>
          <w:rFonts w:cs="Times New Roman"/>
        </w:rPr>
        <w:t>互联网+回收</w:t>
      </w:r>
      <w:r>
        <w:rPr>
          <w:rFonts w:hint="eastAsia" w:cs="Times New Roman"/>
        </w:rPr>
        <w:t>”</w:t>
      </w:r>
      <w:r>
        <w:rPr>
          <w:rFonts w:cs="Times New Roman"/>
        </w:rPr>
        <w:t>模式，建立有效积分兑换奖励机制，设立</w:t>
      </w:r>
      <w:r>
        <w:rPr>
          <w:rFonts w:hint="eastAsia" w:cs="Times New Roman"/>
        </w:rPr>
        <w:t>“</w:t>
      </w:r>
      <w:r>
        <w:rPr>
          <w:rFonts w:cs="Times New Roman"/>
        </w:rPr>
        <w:t>绿色账户</w:t>
      </w:r>
      <w:r>
        <w:rPr>
          <w:rFonts w:hint="eastAsia" w:cs="Times New Roman"/>
        </w:rPr>
        <w:t>”</w:t>
      </w:r>
      <w:r>
        <w:rPr>
          <w:rFonts w:cs="Times New Roman"/>
        </w:rPr>
        <w:t>，鼓励居民积极践行废旧物资高效回收。玄武区率先探索资源回收系统智能服务平台建设，线下资源回收服务交投点，将可回收物收运进一步细化，推进垃圾更高效</w:t>
      </w:r>
      <w:r>
        <w:rPr>
          <w:rFonts w:hint="eastAsia" w:cs="Times New Roman"/>
        </w:rPr>
        <w:t>“</w:t>
      </w:r>
      <w:r>
        <w:rPr>
          <w:rFonts w:cs="Times New Roman"/>
        </w:rPr>
        <w:t>变废为宝</w:t>
      </w:r>
      <w:r>
        <w:rPr>
          <w:rFonts w:hint="eastAsia" w:cs="Times New Roman"/>
        </w:rPr>
        <w:t>”。</w:t>
      </w:r>
    </w:p>
    <w:p w14:paraId="4FE7BD85">
      <w:pPr>
        <w:ind w:firstLine="640" w:firstLineChars="200"/>
        <w:rPr>
          <w:rFonts w:cs="Times New Roman"/>
        </w:rPr>
      </w:pPr>
      <w:r>
        <w:rPr>
          <w:rFonts w:cs="Times New Roman"/>
        </w:rPr>
        <w:t>玄武区现已建成垃圾分类亭房、资源回收交投点、废品回收站、分拣中心等设施800</w:t>
      </w:r>
      <w:r>
        <w:rPr>
          <w:rFonts w:hint="eastAsia" w:cs="Times New Roman"/>
        </w:rPr>
        <w:t>余</w:t>
      </w:r>
      <w:r>
        <w:rPr>
          <w:rFonts w:cs="Times New Roman"/>
        </w:rPr>
        <w:t>座，计划将持续增设交投点、废品回收站，新增垃圾分类宣教馆，形成</w:t>
      </w:r>
      <w:r>
        <w:rPr>
          <w:rFonts w:hint="eastAsia" w:cs="Times New Roman"/>
        </w:rPr>
        <w:t>“</w:t>
      </w:r>
      <w:r>
        <w:rPr>
          <w:rFonts w:cs="Times New Roman"/>
        </w:rPr>
        <w:t>点、站、中心</w:t>
      </w:r>
      <w:r>
        <w:rPr>
          <w:rFonts w:hint="eastAsia" w:cs="Times New Roman"/>
        </w:rPr>
        <w:t>”</w:t>
      </w:r>
      <w:r>
        <w:rPr>
          <w:rFonts w:cs="Times New Roman"/>
        </w:rPr>
        <w:t>三级回收体系。区环境集团在</w:t>
      </w:r>
      <w:r>
        <w:rPr>
          <w:rFonts w:hint="eastAsia" w:cs="Times New Roman"/>
        </w:rPr>
        <w:t>“</w:t>
      </w:r>
      <w:r>
        <w:rPr>
          <w:rFonts w:cs="Times New Roman"/>
        </w:rPr>
        <w:t>一体化</w:t>
      </w:r>
      <w:r>
        <w:rPr>
          <w:rFonts w:hint="eastAsia" w:cs="Times New Roman"/>
        </w:rPr>
        <w:t>”</w:t>
      </w:r>
      <w:r>
        <w:rPr>
          <w:rFonts w:cs="Times New Roman"/>
        </w:rPr>
        <w:t>推进玄武区垃圾分类资源化、减量化、无害化的同时，充分发挥</w:t>
      </w:r>
      <w:r>
        <w:rPr>
          <w:rFonts w:hint="eastAsia" w:cs="Times New Roman"/>
        </w:rPr>
        <w:t>“</w:t>
      </w:r>
      <w:r>
        <w:rPr>
          <w:rFonts w:cs="Times New Roman"/>
        </w:rPr>
        <w:t>互联网思维</w:t>
      </w:r>
      <w:r>
        <w:rPr>
          <w:rFonts w:hint="eastAsia" w:cs="Times New Roman"/>
        </w:rPr>
        <w:t>”，利用</w:t>
      </w:r>
      <w:r>
        <w:rPr>
          <w:rFonts w:cs="Times New Roman"/>
        </w:rPr>
        <w:t>垃圾分类行业、再生资源行业的</w:t>
      </w:r>
      <w:r>
        <w:rPr>
          <w:rFonts w:hint="eastAsia" w:cs="Times New Roman"/>
        </w:rPr>
        <w:t>“</w:t>
      </w:r>
      <w:r>
        <w:rPr>
          <w:rFonts w:cs="Times New Roman"/>
        </w:rPr>
        <w:t>双向基因</w:t>
      </w:r>
      <w:r>
        <w:rPr>
          <w:rFonts w:hint="eastAsia" w:cs="Times New Roman"/>
        </w:rPr>
        <w:t>”，</w:t>
      </w:r>
      <w:r>
        <w:rPr>
          <w:rFonts w:cs="Times New Roman"/>
        </w:rPr>
        <w:t>以</w:t>
      </w:r>
      <w:r>
        <w:rPr>
          <w:rFonts w:hint="eastAsia" w:cs="Times New Roman"/>
        </w:rPr>
        <w:t>“</w:t>
      </w:r>
      <w:r>
        <w:rPr>
          <w:rFonts w:cs="Times New Roman"/>
        </w:rPr>
        <w:t>再生资源回收</w:t>
      </w:r>
      <w:r>
        <w:rPr>
          <w:rFonts w:hint="eastAsia" w:cs="Times New Roman"/>
        </w:rPr>
        <w:t>”</w:t>
      </w:r>
      <w:r>
        <w:rPr>
          <w:rFonts w:cs="Times New Roman"/>
        </w:rPr>
        <w:t>撬动</w:t>
      </w:r>
      <w:r>
        <w:rPr>
          <w:rFonts w:hint="eastAsia" w:cs="Times New Roman"/>
        </w:rPr>
        <w:t>“</w:t>
      </w:r>
      <w:r>
        <w:rPr>
          <w:rFonts w:cs="Times New Roman"/>
        </w:rPr>
        <w:t>垃圾分类回收</w:t>
      </w:r>
      <w:r>
        <w:rPr>
          <w:rFonts w:hint="eastAsia" w:cs="Times New Roman"/>
        </w:rPr>
        <w:t>”，</w:t>
      </w:r>
      <w:r>
        <w:rPr>
          <w:rFonts w:cs="Times New Roman"/>
        </w:rPr>
        <w:t>逐步推动垃圾分类回收体系从公共性事业向市场化运作。</w:t>
      </w:r>
    </w:p>
    <w:p w14:paraId="2EB260A1">
      <w:pPr>
        <w:pStyle w:val="4"/>
        <w:ind w:firstLine="640"/>
        <w:rPr>
          <w:rFonts w:ascii="方正黑体_GBK" w:cs="Times New Roman"/>
          <w:szCs w:val="28"/>
        </w:rPr>
      </w:pPr>
      <w:bookmarkStart w:id="233" w:name="_Toc129882982"/>
      <w:r>
        <w:rPr>
          <w:rFonts w:hint="eastAsia" w:ascii="方正黑体_GBK" w:cs="Times New Roman"/>
          <w:szCs w:val="28"/>
        </w:rPr>
        <w:t>二、建设路径</w:t>
      </w:r>
      <w:bookmarkEnd w:id="233"/>
    </w:p>
    <w:p w14:paraId="6CDBC414">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一</w:t>
      </w:r>
      <w:r>
        <w:rPr>
          <w:rFonts w:ascii="方正楷体_GBK" w:eastAsia="方正楷体_GBK" w:cs="Times New Roman"/>
          <w:b/>
          <w:bCs/>
          <w:szCs w:val="28"/>
        </w:rPr>
        <w:t>）</w:t>
      </w:r>
      <w:r>
        <w:rPr>
          <w:rFonts w:hint="eastAsia" w:ascii="方正楷体_GBK" w:eastAsia="方正楷体_GBK" w:cs="Times New Roman"/>
          <w:b/>
          <w:bCs/>
          <w:szCs w:val="28"/>
        </w:rPr>
        <w:t>“</w:t>
      </w:r>
      <w:r>
        <w:rPr>
          <w:rFonts w:ascii="方正楷体_GBK" w:eastAsia="方正楷体_GBK" w:cs="Times New Roman"/>
          <w:b/>
          <w:bCs/>
          <w:szCs w:val="28"/>
        </w:rPr>
        <w:t>分类投放+资源回收</w:t>
      </w:r>
      <w:r>
        <w:rPr>
          <w:rFonts w:hint="eastAsia" w:ascii="方正楷体_GBK" w:eastAsia="方正楷体_GBK" w:cs="Times New Roman"/>
          <w:b/>
          <w:bCs/>
          <w:szCs w:val="28"/>
        </w:rPr>
        <w:t>”</w:t>
      </w:r>
      <w:r>
        <w:rPr>
          <w:rFonts w:ascii="方正楷体_GBK" w:eastAsia="方正楷体_GBK" w:cs="Times New Roman"/>
          <w:b/>
          <w:bCs/>
          <w:szCs w:val="28"/>
        </w:rPr>
        <w:t>，提升精细化管控水平</w:t>
      </w:r>
    </w:p>
    <w:p w14:paraId="5AED3D16">
      <w:pPr>
        <w:ind w:firstLine="640" w:firstLineChars="200"/>
        <w:rPr>
          <w:rFonts w:cs="Times New Roman"/>
        </w:rPr>
      </w:pPr>
      <w:r>
        <w:rPr>
          <w:rFonts w:cs="Times New Roman"/>
        </w:rPr>
        <w:t>充分借助互联网思维，以</w:t>
      </w:r>
      <w:r>
        <w:rPr>
          <w:rFonts w:hint="eastAsia" w:cs="Times New Roman"/>
        </w:rPr>
        <w:t>“</w:t>
      </w:r>
      <w:r>
        <w:rPr>
          <w:rFonts w:cs="Times New Roman"/>
        </w:rPr>
        <w:t>创新、协调、绿色、开放、共享</w:t>
      </w:r>
      <w:r>
        <w:rPr>
          <w:rFonts w:hint="eastAsia" w:cs="Times New Roman"/>
        </w:rPr>
        <w:t>”</w:t>
      </w:r>
      <w:r>
        <w:rPr>
          <w:rFonts w:cs="Times New Roman"/>
        </w:rPr>
        <w:t>的新发展理念为引领，创新开发</w:t>
      </w:r>
      <w:r>
        <w:rPr>
          <w:rFonts w:hint="eastAsia" w:cs="Times New Roman"/>
        </w:rPr>
        <w:t>“</w:t>
      </w:r>
      <w:r>
        <w:rPr>
          <w:rFonts w:cs="Times New Roman"/>
        </w:rPr>
        <w:t>玄武环保宝</w:t>
      </w:r>
      <w:r>
        <w:rPr>
          <w:rFonts w:hint="eastAsia" w:cs="Times New Roman"/>
        </w:rPr>
        <w:t>”</w:t>
      </w:r>
      <w:r>
        <w:rPr>
          <w:rFonts w:cs="Times New Roman"/>
        </w:rPr>
        <w:t>资源回收系统，打造</w:t>
      </w:r>
      <w:r>
        <w:rPr>
          <w:rFonts w:hint="eastAsia" w:cs="Times New Roman"/>
        </w:rPr>
        <w:t>“</w:t>
      </w:r>
      <w:r>
        <w:rPr>
          <w:rFonts w:cs="Times New Roman"/>
        </w:rPr>
        <w:t>前端分类投放+中端分类收运+末端分类处置</w:t>
      </w:r>
      <w:r>
        <w:rPr>
          <w:rFonts w:hint="eastAsia" w:cs="Times New Roman"/>
        </w:rPr>
        <w:t>”</w:t>
      </w:r>
      <w:r>
        <w:rPr>
          <w:rFonts w:cs="Times New Roman"/>
        </w:rPr>
        <w:t>的全链式服务运营模式，利用科技赋能提升</w:t>
      </w:r>
      <w:r>
        <w:rPr>
          <w:rFonts w:hint="eastAsia" w:cs="Times New Roman"/>
        </w:rPr>
        <w:t>“</w:t>
      </w:r>
      <w:r>
        <w:rPr>
          <w:rFonts w:cs="Times New Roman"/>
        </w:rPr>
        <w:t>无废城市</w:t>
      </w:r>
      <w:r>
        <w:rPr>
          <w:rFonts w:hint="eastAsia" w:cs="Times New Roman"/>
        </w:rPr>
        <w:t>”</w:t>
      </w:r>
      <w:r>
        <w:rPr>
          <w:rFonts w:cs="Times New Roman"/>
        </w:rPr>
        <w:t>建设过程中生活垃圾精细化管控水平，促进城市生活垃圾分类清运体系和生活源再生资源回收体系</w:t>
      </w:r>
      <w:r>
        <w:rPr>
          <w:rFonts w:hint="eastAsia" w:cs="Times New Roman"/>
        </w:rPr>
        <w:t>“</w:t>
      </w:r>
      <w:r>
        <w:rPr>
          <w:rFonts w:cs="Times New Roman"/>
        </w:rPr>
        <w:t>两网融合</w:t>
      </w:r>
      <w:r>
        <w:rPr>
          <w:rFonts w:hint="eastAsia" w:cs="Times New Roman"/>
        </w:rPr>
        <w:t>”。</w:t>
      </w:r>
    </w:p>
    <w:p w14:paraId="0FB283AF">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二</w:t>
      </w:r>
      <w:r>
        <w:rPr>
          <w:rFonts w:ascii="方正楷体_GBK" w:eastAsia="方正楷体_GBK" w:cs="Times New Roman"/>
          <w:b/>
          <w:bCs/>
          <w:szCs w:val="28"/>
        </w:rPr>
        <w:t>）</w:t>
      </w:r>
      <w:r>
        <w:rPr>
          <w:rFonts w:hint="eastAsia" w:ascii="方正楷体_GBK" w:eastAsia="方正楷体_GBK" w:cs="Times New Roman"/>
          <w:b/>
          <w:bCs/>
          <w:szCs w:val="28"/>
        </w:rPr>
        <w:t>“</w:t>
      </w:r>
      <w:r>
        <w:rPr>
          <w:rFonts w:ascii="方正楷体_GBK" w:eastAsia="方正楷体_GBK" w:cs="Times New Roman"/>
          <w:b/>
          <w:bCs/>
          <w:szCs w:val="28"/>
        </w:rPr>
        <w:t>人工智能+大数据</w:t>
      </w:r>
      <w:r>
        <w:rPr>
          <w:rFonts w:hint="eastAsia" w:ascii="方正楷体_GBK" w:eastAsia="方正楷体_GBK" w:cs="Times New Roman"/>
          <w:b/>
          <w:bCs/>
          <w:szCs w:val="28"/>
        </w:rPr>
        <w:t>”</w:t>
      </w:r>
      <w:r>
        <w:rPr>
          <w:rFonts w:ascii="方正楷体_GBK" w:eastAsia="方正楷体_GBK" w:cs="Times New Roman"/>
          <w:b/>
          <w:bCs/>
          <w:szCs w:val="28"/>
        </w:rPr>
        <w:t>，优化再生资源管理体系</w:t>
      </w:r>
    </w:p>
    <w:p w14:paraId="6B323553">
      <w:pPr>
        <w:ind w:firstLine="640" w:firstLineChars="200"/>
        <w:rPr>
          <w:rFonts w:cs="Times New Roman"/>
        </w:rPr>
      </w:pPr>
      <w:r>
        <w:rPr>
          <w:rFonts w:cs="Times New Roman"/>
        </w:rPr>
        <w:t>以</w:t>
      </w:r>
      <w:r>
        <w:rPr>
          <w:rFonts w:hint="eastAsia" w:cs="Times New Roman"/>
        </w:rPr>
        <w:t>“</w:t>
      </w:r>
      <w:r>
        <w:rPr>
          <w:rFonts w:cs="Times New Roman"/>
        </w:rPr>
        <w:t>RPA+AI</w:t>
      </w:r>
      <w:r>
        <w:rPr>
          <w:rFonts w:hint="eastAsia" w:cs="Times New Roman"/>
        </w:rPr>
        <w:t>”</w:t>
      </w:r>
      <w:r>
        <w:rPr>
          <w:rFonts w:cs="Times New Roman"/>
        </w:rPr>
        <w:t>数字化技术为支撑，开发融合再生资源分类回收、积分兑换等智慧服务功能，拓展二手交易等服务。创建垃圾品类、分类流程等</w:t>
      </w:r>
      <w:r>
        <w:rPr>
          <w:rFonts w:hint="eastAsia" w:cs="Times New Roman"/>
        </w:rPr>
        <w:t>“</w:t>
      </w:r>
      <w:r>
        <w:rPr>
          <w:rFonts w:cs="Times New Roman"/>
        </w:rPr>
        <w:t>人工智能+大数据</w:t>
      </w:r>
      <w:r>
        <w:rPr>
          <w:rFonts w:hint="eastAsia" w:cs="Times New Roman"/>
        </w:rPr>
        <w:t>”</w:t>
      </w:r>
      <w:r>
        <w:rPr>
          <w:rFonts w:cs="Times New Roman"/>
        </w:rPr>
        <w:t>的管理体系，了解各类资源回收信息，并通过精准统计，不断为优化管理、高效运行</w:t>
      </w:r>
      <w:r>
        <w:rPr>
          <w:rFonts w:hint="eastAsia" w:cs="Times New Roman"/>
        </w:rPr>
        <w:t>、</w:t>
      </w:r>
      <w:r>
        <w:rPr>
          <w:rFonts w:cs="Times New Roman"/>
        </w:rPr>
        <w:t>质量提升等提供改进方法和决策依据。</w:t>
      </w:r>
    </w:p>
    <w:p w14:paraId="181832DF">
      <w:pPr>
        <w:pStyle w:val="36"/>
        <w:ind w:firstLine="643"/>
        <w:outlineLvl w:val="3"/>
        <w:rPr>
          <w:rFonts w:ascii="方正楷体_GBK" w:eastAsia="方正楷体_GBK" w:cs="Times New Roman"/>
          <w:b/>
          <w:bCs/>
          <w:szCs w:val="28"/>
        </w:rPr>
      </w:pPr>
      <w:r>
        <w:rPr>
          <w:rFonts w:ascii="方正楷体_GBK" w:eastAsia="方正楷体_GBK" w:cs="Times New Roman"/>
          <w:b/>
          <w:bCs/>
          <w:szCs w:val="28"/>
        </w:rPr>
        <w:t>（</w:t>
      </w:r>
      <w:r>
        <w:rPr>
          <w:rFonts w:hint="eastAsia" w:ascii="方正楷体_GBK" w:eastAsia="方正楷体_GBK" w:cs="Times New Roman"/>
          <w:b/>
          <w:bCs/>
          <w:szCs w:val="28"/>
        </w:rPr>
        <w:t>三</w:t>
      </w:r>
      <w:r>
        <w:rPr>
          <w:rFonts w:ascii="方正楷体_GBK" w:eastAsia="方正楷体_GBK" w:cs="Times New Roman"/>
          <w:b/>
          <w:bCs/>
          <w:szCs w:val="28"/>
        </w:rPr>
        <w:t>）</w:t>
      </w:r>
      <w:r>
        <w:rPr>
          <w:rFonts w:hint="eastAsia" w:ascii="方正楷体_GBK" w:eastAsia="方正楷体_GBK" w:cs="Times New Roman"/>
          <w:b/>
          <w:bCs/>
          <w:szCs w:val="28"/>
        </w:rPr>
        <w:t>“</w:t>
      </w:r>
      <w:r>
        <w:rPr>
          <w:rFonts w:ascii="方正楷体_GBK" w:eastAsia="方正楷体_GBK" w:cs="Times New Roman"/>
          <w:b/>
          <w:bCs/>
          <w:szCs w:val="28"/>
        </w:rPr>
        <w:t>多措并举+常态长效</w:t>
      </w:r>
      <w:r>
        <w:rPr>
          <w:rFonts w:hint="eastAsia" w:ascii="方正楷体_GBK" w:eastAsia="方正楷体_GBK" w:cs="Times New Roman"/>
          <w:b/>
          <w:bCs/>
          <w:szCs w:val="28"/>
        </w:rPr>
        <w:t>”</w:t>
      </w:r>
      <w:r>
        <w:rPr>
          <w:rFonts w:ascii="方正楷体_GBK" w:eastAsia="方正楷体_GBK" w:cs="Times New Roman"/>
          <w:b/>
          <w:bCs/>
          <w:szCs w:val="28"/>
        </w:rPr>
        <w:t>，推进垃圾处理减量化</w:t>
      </w:r>
    </w:p>
    <w:p w14:paraId="12141ECE">
      <w:pPr>
        <w:ind w:firstLine="640" w:firstLineChars="200"/>
        <w:rPr>
          <w:rFonts w:cs="Times New Roman"/>
        </w:rPr>
      </w:pPr>
      <w:r>
        <w:rPr>
          <w:rFonts w:cs="Times New Roman"/>
        </w:rPr>
        <w:t>常态化开展</w:t>
      </w:r>
      <w:r>
        <w:rPr>
          <w:rFonts w:hint="eastAsia" w:cs="Times New Roman"/>
        </w:rPr>
        <w:t>“</w:t>
      </w:r>
      <w:r>
        <w:rPr>
          <w:rFonts w:cs="Times New Roman"/>
        </w:rPr>
        <w:t>垃圾分类有我，再生资源回收进社区</w:t>
      </w:r>
      <w:r>
        <w:rPr>
          <w:rFonts w:hint="eastAsia" w:cs="Times New Roman"/>
        </w:rPr>
        <w:t>”</w:t>
      </w:r>
      <w:r>
        <w:rPr>
          <w:rFonts w:cs="Times New Roman"/>
        </w:rPr>
        <w:t>等垃圾分类宣传和资源回收现场活动，让广大居民了解低值可回收物的价值，提高对再生资源、循环经济和</w:t>
      </w:r>
      <w:r>
        <w:rPr>
          <w:rFonts w:hint="eastAsia" w:cs="Times New Roman"/>
        </w:rPr>
        <w:t>“</w:t>
      </w:r>
      <w:r>
        <w:rPr>
          <w:rFonts w:cs="Times New Roman"/>
        </w:rPr>
        <w:t>玄武环保宝</w:t>
      </w:r>
      <w:r>
        <w:rPr>
          <w:rFonts w:hint="eastAsia" w:cs="Times New Roman"/>
        </w:rPr>
        <w:t>”</w:t>
      </w:r>
      <w:r>
        <w:rPr>
          <w:rFonts w:cs="Times New Roman"/>
        </w:rPr>
        <w:t>资源回收系统的认知。拓宽回收渠道，开展智能</w:t>
      </w:r>
      <w:r>
        <w:rPr>
          <w:rFonts w:hint="eastAsia" w:cs="Times New Roman"/>
        </w:rPr>
        <w:t>“</w:t>
      </w:r>
      <w:r>
        <w:rPr>
          <w:rFonts w:cs="Times New Roman"/>
        </w:rPr>
        <w:t>敲门</w:t>
      </w:r>
      <w:r>
        <w:rPr>
          <w:rFonts w:hint="eastAsia" w:cs="Times New Roman"/>
        </w:rPr>
        <w:t>”</w:t>
      </w:r>
      <w:r>
        <w:rPr>
          <w:rFonts w:cs="Times New Roman"/>
        </w:rPr>
        <w:t>和智慧</w:t>
      </w:r>
      <w:r>
        <w:rPr>
          <w:rFonts w:hint="eastAsia" w:cs="Times New Roman"/>
        </w:rPr>
        <w:t>“</w:t>
      </w:r>
      <w:r>
        <w:rPr>
          <w:rFonts w:cs="Times New Roman"/>
        </w:rPr>
        <w:t>上门</w:t>
      </w:r>
      <w:r>
        <w:rPr>
          <w:rFonts w:hint="eastAsia" w:cs="Times New Roman"/>
        </w:rPr>
        <w:t>”</w:t>
      </w:r>
      <w:r>
        <w:rPr>
          <w:rFonts w:cs="Times New Roman"/>
        </w:rPr>
        <w:t>行动，主动进家入户，让再生资源</w:t>
      </w:r>
      <w:r>
        <w:rPr>
          <w:rFonts w:hint="eastAsia" w:cs="Times New Roman"/>
        </w:rPr>
        <w:t>“</w:t>
      </w:r>
      <w:r>
        <w:rPr>
          <w:rFonts w:cs="Times New Roman"/>
        </w:rPr>
        <w:t>快快回家</w:t>
      </w:r>
      <w:r>
        <w:rPr>
          <w:rFonts w:hint="eastAsia" w:cs="Times New Roman"/>
        </w:rPr>
        <w:t>”“</w:t>
      </w:r>
      <w:r>
        <w:rPr>
          <w:rFonts w:cs="Times New Roman"/>
        </w:rPr>
        <w:t>全部归家</w:t>
      </w:r>
      <w:r>
        <w:rPr>
          <w:rFonts w:hint="eastAsia" w:cs="Times New Roman"/>
        </w:rPr>
        <w:t>”，</w:t>
      </w:r>
      <w:r>
        <w:rPr>
          <w:rFonts w:cs="Times New Roman"/>
        </w:rPr>
        <w:t>实现垃圾处理减量化，努力营造人人参与</w:t>
      </w:r>
      <w:r>
        <w:rPr>
          <w:rFonts w:hint="eastAsia" w:cs="Times New Roman"/>
        </w:rPr>
        <w:t>“</w:t>
      </w:r>
      <w:r>
        <w:rPr>
          <w:rFonts w:cs="Times New Roman"/>
        </w:rPr>
        <w:t>无废城市</w:t>
      </w:r>
      <w:r>
        <w:rPr>
          <w:rFonts w:hint="eastAsia" w:cs="Times New Roman"/>
        </w:rPr>
        <w:t>”</w:t>
      </w:r>
      <w:r>
        <w:rPr>
          <w:rFonts w:cs="Times New Roman"/>
        </w:rPr>
        <w:t>建设的良好氛围。</w:t>
      </w:r>
    </w:p>
    <w:p w14:paraId="42896C62">
      <w:pPr>
        <w:pStyle w:val="4"/>
        <w:ind w:firstLine="640"/>
        <w:rPr>
          <w:rFonts w:ascii="方正黑体_GBK" w:cs="Times New Roman"/>
          <w:szCs w:val="28"/>
        </w:rPr>
      </w:pPr>
      <w:bookmarkStart w:id="234" w:name="_Toc129882983"/>
      <w:r>
        <w:rPr>
          <w:rFonts w:hint="eastAsia" w:ascii="方正黑体_GBK" w:cs="Times New Roman"/>
          <w:szCs w:val="28"/>
        </w:rPr>
        <w:t>三、预期成效</w:t>
      </w:r>
      <w:bookmarkEnd w:id="234"/>
    </w:p>
    <w:p w14:paraId="31B51791">
      <w:pPr>
        <w:ind w:firstLine="640" w:firstLineChars="200"/>
        <w:rPr>
          <w:rFonts w:cs="Times New Roman"/>
        </w:rPr>
      </w:pPr>
      <w:r>
        <w:rPr>
          <w:rFonts w:cs="Times New Roman"/>
        </w:rPr>
        <w:t>到2025年，</w:t>
      </w:r>
      <w:r>
        <w:rPr>
          <w:rFonts w:hint="eastAsia" w:cs="Times New Roman"/>
        </w:rPr>
        <w:t>“</w:t>
      </w:r>
      <w:r>
        <w:rPr>
          <w:rFonts w:cs="Times New Roman"/>
        </w:rPr>
        <w:t>玄武环保宝</w:t>
      </w:r>
      <w:r>
        <w:rPr>
          <w:rFonts w:hint="eastAsia" w:cs="Times New Roman"/>
        </w:rPr>
        <w:t>”</w:t>
      </w:r>
      <w:r>
        <w:rPr>
          <w:rFonts w:cs="Times New Roman"/>
        </w:rPr>
        <w:t>资源回收模式推广全区，智能回收系统服务平台线下</w:t>
      </w:r>
      <w:r>
        <w:rPr>
          <w:rFonts w:hint="eastAsia" w:cs="Times New Roman"/>
        </w:rPr>
        <w:t>“</w:t>
      </w:r>
      <w:r>
        <w:rPr>
          <w:rFonts w:cs="Times New Roman"/>
        </w:rPr>
        <w:t>点、站、中心</w:t>
      </w:r>
      <w:r>
        <w:rPr>
          <w:rFonts w:hint="eastAsia" w:cs="Times New Roman"/>
        </w:rPr>
        <w:t>”</w:t>
      </w:r>
      <w:r>
        <w:rPr>
          <w:rFonts w:cs="Times New Roman"/>
        </w:rPr>
        <w:t>三级回收设施体系基本形成，再生资源回收体系逐步完善，生活垃圾回收利用率有效提升。</w:t>
      </w:r>
    </w:p>
    <w:p w14:paraId="63286ADF">
      <w:pPr>
        <w:spacing w:line="240" w:lineRule="auto"/>
        <w:rPr>
          <w:rFonts w:cs="Times New Roman"/>
        </w:rPr>
      </w:pPr>
      <w:r>
        <w:rPr>
          <w:rFonts w:cs="Times New Roman"/>
        </w:rPr>
        <w:drawing>
          <wp:inline distT="0" distB="0" distL="0" distR="0">
            <wp:extent cx="5272405" cy="3081655"/>
            <wp:effectExtent l="0" t="0" r="444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89429" cy="3081655"/>
                    </a:xfrm>
                    <a:prstGeom prst="rect">
                      <a:avLst/>
                    </a:prstGeom>
                    <a:noFill/>
                  </pic:spPr>
                </pic:pic>
              </a:graphicData>
            </a:graphic>
          </wp:inline>
        </w:drawing>
      </w:r>
    </w:p>
    <w:p w14:paraId="2CA13265">
      <w:pPr>
        <w:pStyle w:val="43"/>
        <w:numPr>
          <w:ilvl w:val="0"/>
          <w:numId w:val="33"/>
        </w:numPr>
        <w:spacing w:beforeLines="0" w:line="560" w:lineRule="exact"/>
        <w:rPr>
          <w:rFonts w:cs="Times New Roman"/>
        </w:rPr>
      </w:pPr>
      <w:r>
        <w:rPr>
          <w:rFonts w:hint="eastAsia" w:cs="Times New Roman"/>
        </w:rPr>
        <w:t>“</w:t>
      </w:r>
      <w:r>
        <w:rPr>
          <w:rFonts w:cs="Times New Roman"/>
        </w:rPr>
        <w:t>玄武环保宝</w:t>
      </w:r>
      <w:r>
        <w:rPr>
          <w:rFonts w:hint="eastAsia" w:cs="Times New Roman"/>
        </w:rPr>
        <w:t>”</w:t>
      </w:r>
      <w:r>
        <w:rPr>
          <w:rFonts w:cs="Times New Roman"/>
        </w:rPr>
        <w:t>资源回收模式</w:t>
      </w:r>
    </w:p>
    <w:p w14:paraId="09EC0734">
      <w:pPr>
        <w:pStyle w:val="43"/>
        <w:spacing w:beforeLines="0" w:line="560" w:lineRule="exact"/>
        <w:rPr>
          <w:rFonts w:cs="Times New Roman"/>
        </w:rPr>
      </w:pPr>
    </w:p>
    <w:p w14:paraId="35FD7DD8">
      <w:pPr>
        <w:pStyle w:val="43"/>
        <w:spacing w:beforeLines="0" w:line="560" w:lineRule="exact"/>
        <w:rPr>
          <w:rFonts w:cs="Times New Roman"/>
        </w:rPr>
        <w:sectPr>
          <w:pgSz w:w="11906" w:h="16838"/>
          <w:pgMar w:top="2098" w:right="1474" w:bottom="1701" w:left="1588" w:header="851" w:footer="1247" w:gutter="0"/>
          <w:cols w:space="425" w:num="1"/>
          <w:docGrid w:type="linesAndChars" w:linePitch="381" w:charSpace="0"/>
        </w:sectPr>
      </w:pPr>
    </w:p>
    <w:p w14:paraId="3DE17D41">
      <w:pPr>
        <w:pStyle w:val="2"/>
        <w:numPr>
          <w:ilvl w:val="0"/>
          <w:numId w:val="0"/>
        </w:numPr>
        <w:spacing w:beforeLines="0" w:after="0"/>
        <w:rPr>
          <w:rFonts w:ascii="方正黑体_GBK" w:cs="Times New Roman"/>
          <w:szCs w:val="28"/>
        </w:rPr>
      </w:pPr>
      <w:bookmarkStart w:id="235" w:name="_Toc129882984"/>
      <w:bookmarkStart w:id="236" w:name="_Toc140150536"/>
      <w:r>
        <w:rPr>
          <w:rFonts w:hint="eastAsia" w:ascii="方正黑体_GBK" w:cs="Times New Roman"/>
          <w:szCs w:val="28"/>
        </w:rPr>
        <w:t>第九章 保障措施</w:t>
      </w:r>
      <w:bookmarkEnd w:id="235"/>
      <w:bookmarkEnd w:id="236"/>
    </w:p>
    <w:p w14:paraId="3DBE57AF">
      <w:pPr>
        <w:pStyle w:val="3"/>
        <w:spacing w:before="0" w:after="0"/>
        <w:rPr>
          <w:rFonts w:ascii="方正黑体_GBK" w:cs="Times New Roman"/>
          <w:szCs w:val="28"/>
        </w:rPr>
      </w:pPr>
      <w:bookmarkStart w:id="237" w:name="_Toc129882985"/>
      <w:bookmarkStart w:id="238" w:name="_Hlk108447669"/>
      <w:bookmarkStart w:id="239" w:name="_Toc140150537"/>
    </w:p>
    <w:p w14:paraId="08C0AA0F">
      <w:pPr>
        <w:pStyle w:val="3"/>
        <w:spacing w:before="0" w:after="0"/>
        <w:rPr>
          <w:rFonts w:ascii="方正黑体_GBK" w:cs="Times New Roman"/>
          <w:szCs w:val="28"/>
        </w:rPr>
      </w:pPr>
      <w:r>
        <w:rPr>
          <w:rFonts w:hint="eastAsia" w:ascii="方正黑体_GBK" w:cs="Times New Roman"/>
          <w:szCs w:val="28"/>
        </w:rPr>
        <w:t>第一节 加强组织领导</w:t>
      </w:r>
      <w:bookmarkEnd w:id="237"/>
      <w:bookmarkEnd w:id="238"/>
      <w:bookmarkEnd w:id="239"/>
    </w:p>
    <w:p w14:paraId="065E9704">
      <w:pPr>
        <w:ind w:firstLine="640" w:firstLineChars="200"/>
        <w:rPr>
          <w:rFonts w:cs="Times New Roman"/>
          <w:szCs w:val="28"/>
        </w:rPr>
      </w:pPr>
      <w:bookmarkStart w:id="240" w:name="_Hlk108447686"/>
      <w:r>
        <w:rPr>
          <w:rFonts w:hint="eastAsia" w:ascii="方正楷体_GBK" w:eastAsia="方正楷体_GBK" w:cs="Times New Roman"/>
          <w:b/>
          <w:bCs/>
          <w:szCs w:val="28"/>
        </w:rPr>
        <w:t>统筹“无废城市”建设工作</w:t>
      </w:r>
      <w:r>
        <w:rPr>
          <w:rFonts w:cs="Times New Roman"/>
          <w:szCs w:val="28"/>
        </w:rPr>
        <w:t>。</w:t>
      </w:r>
      <w:r>
        <w:rPr>
          <w:rFonts w:hint="eastAsia" w:cs="Times New Roman"/>
          <w:szCs w:val="28"/>
        </w:rPr>
        <w:t>将</w:t>
      </w:r>
      <w:r>
        <w:rPr>
          <w:rFonts w:cs="Times New Roman"/>
          <w:szCs w:val="28"/>
        </w:rPr>
        <w:t>玄武区</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建设工作列为政府年度重点工作任务，依托区</w:t>
      </w:r>
      <w:r>
        <w:rPr>
          <w:rFonts w:hint="eastAsia" w:cs="Times New Roman"/>
          <w:szCs w:val="28"/>
        </w:rPr>
        <w:t>攻坚办，</w:t>
      </w:r>
      <w:r>
        <w:rPr>
          <w:rFonts w:cs="Times New Roman"/>
          <w:szCs w:val="28"/>
        </w:rPr>
        <w:t>强化</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w:t>
      </w:r>
      <w:r>
        <w:rPr>
          <w:rFonts w:hint="eastAsia" w:cs="Times New Roman"/>
          <w:szCs w:val="28"/>
        </w:rPr>
        <w:t>工作</w:t>
      </w:r>
      <w:r>
        <w:rPr>
          <w:rFonts w:cs="Times New Roman"/>
          <w:szCs w:val="28"/>
        </w:rPr>
        <w:t>管理，由玄武生态环境局、区发改委、</w:t>
      </w:r>
      <w:r>
        <w:rPr>
          <w:rFonts w:hint="eastAsia" w:cs="Times New Roman"/>
          <w:szCs w:val="28"/>
        </w:rPr>
        <w:t>区</w:t>
      </w:r>
      <w:r>
        <w:rPr>
          <w:rFonts w:cs="Times New Roman"/>
          <w:szCs w:val="28"/>
        </w:rPr>
        <w:t>城管局、</w:t>
      </w:r>
      <w:r>
        <w:rPr>
          <w:rFonts w:hint="eastAsia" w:cs="Times New Roman"/>
          <w:szCs w:val="28"/>
        </w:rPr>
        <w:t>区</w:t>
      </w:r>
      <w:r>
        <w:rPr>
          <w:rFonts w:cs="Times New Roman"/>
          <w:szCs w:val="28"/>
        </w:rPr>
        <w:t>建设局等主要业务部门派专人实体化运作，统筹推进</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建设工作。</w:t>
      </w:r>
    </w:p>
    <w:p w14:paraId="0CABACD4">
      <w:pPr>
        <w:ind w:firstLine="640" w:firstLineChars="200"/>
        <w:rPr>
          <w:rFonts w:cs="Times New Roman"/>
          <w:szCs w:val="28"/>
        </w:rPr>
      </w:pPr>
      <w:r>
        <w:rPr>
          <w:rFonts w:ascii="方正楷体_GBK" w:eastAsia="方正楷体_GBK" w:cs="Times New Roman"/>
          <w:b/>
          <w:bCs/>
          <w:szCs w:val="28"/>
        </w:rPr>
        <w:t>建立部门联席会议制度</w:t>
      </w:r>
      <w:r>
        <w:rPr>
          <w:rFonts w:cs="Times New Roman"/>
          <w:b/>
          <w:bCs/>
          <w:szCs w:val="28"/>
        </w:rPr>
        <w:t>。</w:t>
      </w:r>
      <w:r>
        <w:rPr>
          <w:rFonts w:cs="Times New Roman"/>
          <w:szCs w:val="28"/>
        </w:rPr>
        <w:t>建立</w:t>
      </w:r>
      <w:r>
        <w:rPr>
          <w:rFonts w:hint="eastAsia" w:cs="Times New Roman"/>
          <w:szCs w:val="28"/>
        </w:rPr>
        <w:t>由</w:t>
      </w:r>
      <w:r>
        <w:rPr>
          <w:rFonts w:cs="Times New Roman"/>
          <w:szCs w:val="28"/>
        </w:rPr>
        <w:t>区政府分管领导任总召集人</w:t>
      </w:r>
      <w:r>
        <w:rPr>
          <w:rFonts w:hint="eastAsia" w:cs="Times New Roman"/>
          <w:szCs w:val="28"/>
        </w:rPr>
        <w:t>的</w:t>
      </w:r>
      <w:r>
        <w:rPr>
          <w:rFonts w:cs="Times New Roman"/>
          <w:szCs w:val="28"/>
        </w:rPr>
        <w:t>玄武区</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建设联席会议制度，以生态环境、发展改革、城市管理、</w:t>
      </w:r>
      <w:r>
        <w:rPr>
          <w:rFonts w:hint="eastAsia" w:cs="Times New Roman"/>
          <w:szCs w:val="28"/>
        </w:rPr>
        <w:t>城市</w:t>
      </w:r>
      <w:r>
        <w:rPr>
          <w:rFonts w:cs="Times New Roman"/>
          <w:szCs w:val="28"/>
        </w:rPr>
        <w:t>建设四大主要业务部门为</w:t>
      </w:r>
      <w:r>
        <w:rPr>
          <w:rFonts w:hint="eastAsia" w:cs="Times New Roman"/>
          <w:szCs w:val="28"/>
        </w:rPr>
        <w:t>主要</w:t>
      </w:r>
      <w:r>
        <w:rPr>
          <w:rFonts w:cs="Times New Roman"/>
          <w:szCs w:val="28"/>
        </w:rPr>
        <w:t>成员，同时覆盖任务清单</w:t>
      </w:r>
      <w:r>
        <w:rPr>
          <w:rFonts w:hint="eastAsia" w:cs="Times New Roman"/>
          <w:szCs w:val="28"/>
        </w:rPr>
        <w:t>中相关</w:t>
      </w:r>
      <w:r>
        <w:rPr>
          <w:rFonts w:cs="Times New Roman"/>
          <w:szCs w:val="28"/>
        </w:rPr>
        <w:t>责任主体部门，定期</w:t>
      </w:r>
      <w:r>
        <w:rPr>
          <w:rFonts w:hint="eastAsia" w:cs="Times New Roman"/>
          <w:szCs w:val="28"/>
        </w:rPr>
        <w:t>召开</w:t>
      </w:r>
      <w:r>
        <w:rPr>
          <w:rFonts w:cs="Times New Roman"/>
          <w:szCs w:val="28"/>
        </w:rPr>
        <w:t>部门协同推进研讨会，</w:t>
      </w:r>
      <w:r>
        <w:rPr>
          <w:rFonts w:hint="eastAsia" w:cs="Times New Roman"/>
          <w:szCs w:val="28"/>
        </w:rPr>
        <w:t>研究</w:t>
      </w:r>
      <w:r>
        <w:rPr>
          <w:rFonts w:cs="Times New Roman"/>
          <w:szCs w:val="28"/>
        </w:rPr>
        <w:t>工作过程中的重难点问题，高效有序推进建设工作落地落实。加强市区联动，共同推进</w:t>
      </w:r>
      <w:r>
        <w:rPr>
          <w:rFonts w:hint="eastAsia" w:cs="Times New Roman"/>
          <w:szCs w:val="28"/>
        </w:rPr>
        <w:t>“</w:t>
      </w:r>
      <w:r>
        <w:rPr>
          <w:rFonts w:cs="Times New Roman"/>
          <w:szCs w:val="28"/>
        </w:rPr>
        <w:t>无废南京</w:t>
      </w:r>
      <w:r>
        <w:rPr>
          <w:rFonts w:hint="eastAsia" w:cs="Times New Roman"/>
          <w:szCs w:val="28"/>
        </w:rPr>
        <w:t>”</w:t>
      </w:r>
      <w:r>
        <w:rPr>
          <w:rFonts w:cs="Times New Roman"/>
          <w:szCs w:val="28"/>
        </w:rPr>
        <w:t>建设。</w:t>
      </w:r>
    </w:p>
    <w:bookmarkEnd w:id="240"/>
    <w:p w14:paraId="12322122">
      <w:pPr>
        <w:pStyle w:val="3"/>
        <w:spacing w:before="0" w:after="0"/>
        <w:rPr>
          <w:rFonts w:ascii="方正黑体_GBK" w:cs="Times New Roman"/>
          <w:szCs w:val="28"/>
        </w:rPr>
      </w:pPr>
      <w:bookmarkStart w:id="241" w:name="_Toc140150538"/>
      <w:bookmarkStart w:id="242" w:name="_Toc129882986"/>
    </w:p>
    <w:p w14:paraId="536F01FD">
      <w:pPr>
        <w:pStyle w:val="3"/>
        <w:spacing w:before="0" w:after="0"/>
        <w:rPr>
          <w:rFonts w:ascii="方正黑体_GBK" w:cs="Times New Roman"/>
          <w:szCs w:val="28"/>
        </w:rPr>
      </w:pPr>
      <w:r>
        <w:rPr>
          <w:rFonts w:hint="eastAsia" w:ascii="方正黑体_GBK" w:cs="Times New Roman"/>
          <w:szCs w:val="28"/>
        </w:rPr>
        <w:t>第二节 强化监督考核</w:t>
      </w:r>
      <w:bookmarkEnd w:id="241"/>
      <w:bookmarkEnd w:id="242"/>
      <w:bookmarkStart w:id="243" w:name="_Hlk108447722"/>
    </w:p>
    <w:p w14:paraId="23EABAF7">
      <w:pPr>
        <w:ind w:firstLine="640" w:firstLineChars="200"/>
        <w:rPr>
          <w:rFonts w:cs="Times New Roman"/>
          <w:szCs w:val="28"/>
        </w:rPr>
      </w:pPr>
      <w:r>
        <w:rPr>
          <w:rFonts w:ascii="方正楷体_GBK" w:eastAsia="方正楷体_GBK" w:cs="Times New Roman"/>
          <w:b/>
          <w:bCs/>
          <w:szCs w:val="28"/>
        </w:rPr>
        <w:t>明确职责分工</w:t>
      </w:r>
      <w:r>
        <w:rPr>
          <w:rFonts w:hint="eastAsia" w:ascii="方正楷体_GBK" w:eastAsia="方正楷体_GBK" w:cs="Times New Roman"/>
          <w:b/>
          <w:bCs/>
          <w:szCs w:val="28"/>
        </w:rPr>
        <w:t>。</w:t>
      </w:r>
      <w:r>
        <w:rPr>
          <w:rFonts w:cs="Times New Roman"/>
          <w:szCs w:val="28"/>
        </w:rPr>
        <w:t>建立部门责任清单和重点工作清单，明确工作内容和责任主体，由</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建设工作小组制定季度目标和年度目标，将责任压实到岗、任务落实到人，有序推定</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w:t>
      </w:r>
    </w:p>
    <w:p w14:paraId="71D79C13">
      <w:pPr>
        <w:ind w:firstLine="640" w:firstLineChars="200"/>
        <w:rPr>
          <w:rFonts w:cs="Times New Roman"/>
          <w:szCs w:val="28"/>
        </w:rPr>
      </w:pPr>
      <w:r>
        <w:rPr>
          <w:rFonts w:ascii="方正楷体_GBK" w:eastAsia="方正楷体_GBK" w:cs="Times New Roman"/>
          <w:b/>
          <w:bCs/>
          <w:szCs w:val="28"/>
        </w:rPr>
        <w:t>强化监督</w:t>
      </w:r>
      <w:r>
        <w:rPr>
          <w:rFonts w:hint="eastAsia" w:ascii="方正楷体_GBK" w:eastAsia="方正楷体_GBK" w:cs="Times New Roman"/>
          <w:b/>
          <w:bCs/>
          <w:szCs w:val="28"/>
        </w:rPr>
        <w:t>问效。</w:t>
      </w:r>
      <w:r>
        <w:rPr>
          <w:rFonts w:cs="Times New Roman"/>
          <w:szCs w:val="28"/>
        </w:rPr>
        <w:t>建立</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建设工作调度督办制度和建设成效定期评估机制，</w:t>
      </w:r>
      <w:r>
        <w:rPr>
          <w:rFonts w:hint="eastAsia" w:cs="Times New Roman"/>
          <w:szCs w:val="28"/>
        </w:rPr>
        <w:t>并</w:t>
      </w:r>
      <w:r>
        <w:rPr>
          <w:rFonts w:cs="Times New Roman"/>
          <w:szCs w:val="28"/>
        </w:rPr>
        <w:t>纳入深入打好污染防治攻坚战考核，建设工作小组定期调度和评估工作成效，及时发现、解决问题，推动各项任务高质量完成。通过党建引领，将</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w:t>
      </w:r>
      <w:r>
        <w:rPr>
          <w:rFonts w:hint="eastAsia" w:cs="Times New Roman"/>
          <w:szCs w:val="28"/>
        </w:rPr>
        <w:t>工作，</w:t>
      </w:r>
      <w:r>
        <w:rPr>
          <w:rFonts w:cs="Times New Roman"/>
          <w:szCs w:val="28"/>
        </w:rPr>
        <w:t>全面落实到各层级党政工作中，</w:t>
      </w:r>
      <w:r>
        <w:rPr>
          <w:rFonts w:hint="eastAsia" w:cs="Times New Roman"/>
          <w:szCs w:val="28"/>
        </w:rPr>
        <w:t>并</w:t>
      </w:r>
      <w:r>
        <w:rPr>
          <w:rFonts w:cs="Times New Roman"/>
          <w:szCs w:val="28"/>
        </w:rPr>
        <w:t>作为申报环境保护专项资金的重要参考，对</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建设真抓实干成效明显的</w:t>
      </w:r>
      <w:r>
        <w:rPr>
          <w:rFonts w:hint="eastAsia" w:cs="Times New Roman"/>
          <w:szCs w:val="28"/>
        </w:rPr>
        <w:t>单位</w:t>
      </w:r>
      <w:r>
        <w:rPr>
          <w:rFonts w:cs="Times New Roman"/>
          <w:szCs w:val="28"/>
        </w:rPr>
        <w:t>给予通报表扬。</w:t>
      </w:r>
    </w:p>
    <w:p w14:paraId="42A713FB">
      <w:pPr>
        <w:pStyle w:val="3"/>
        <w:spacing w:before="0" w:after="0"/>
        <w:rPr>
          <w:rFonts w:ascii="方正黑体_GBK" w:cs="Times New Roman"/>
          <w:szCs w:val="28"/>
        </w:rPr>
      </w:pPr>
      <w:bookmarkStart w:id="244" w:name="_Toc140150539"/>
      <w:bookmarkStart w:id="245" w:name="_Toc129882987"/>
    </w:p>
    <w:p w14:paraId="3FD438D8">
      <w:pPr>
        <w:pStyle w:val="3"/>
        <w:spacing w:before="0" w:after="0"/>
        <w:rPr>
          <w:rFonts w:ascii="方正黑体_GBK" w:cs="Times New Roman"/>
          <w:szCs w:val="28"/>
        </w:rPr>
      </w:pPr>
      <w:r>
        <w:rPr>
          <w:rFonts w:hint="eastAsia" w:ascii="方正黑体_GBK" w:cs="Times New Roman"/>
          <w:szCs w:val="28"/>
        </w:rPr>
        <w:t>第三节 加</w:t>
      </w:r>
      <w:bookmarkEnd w:id="243"/>
      <w:r>
        <w:rPr>
          <w:rFonts w:hint="eastAsia" w:ascii="方正黑体_GBK" w:cs="Times New Roman"/>
          <w:szCs w:val="28"/>
        </w:rPr>
        <w:t>大要素投入</w:t>
      </w:r>
      <w:bookmarkEnd w:id="244"/>
      <w:bookmarkEnd w:id="245"/>
    </w:p>
    <w:p w14:paraId="0CDB5FCA">
      <w:pPr>
        <w:ind w:firstLine="640" w:firstLineChars="200"/>
        <w:rPr>
          <w:rFonts w:cs="Times New Roman"/>
          <w:szCs w:val="28"/>
        </w:rPr>
      </w:pPr>
      <w:bookmarkStart w:id="246" w:name="_Hlk108447743"/>
      <w:r>
        <w:rPr>
          <w:rFonts w:ascii="方正楷体_GBK" w:eastAsia="方正楷体_GBK" w:cs="Times New Roman"/>
          <w:b/>
          <w:bCs/>
          <w:szCs w:val="28"/>
        </w:rPr>
        <w:t>加大财政保障力度</w:t>
      </w:r>
      <w:r>
        <w:rPr>
          <w:rFonts w:cs="Times New Roman"/>
          <w:szCs w:val="28"/>
        </w:rPr>
        <w:t>。鼓励金融机构创新绿色融资方式</w:t>
      </w:r>
      <w:r>
        <w:rPr>
          <w:rFonts w:hint="eastAsia" w:cs="Times New Roman"/>
          <w:szCs w:val="28"/>
        </w:rPr>
        <w:t>，</w:t>
      </w:r>
      <w:r>
        <w:rPr>
          <w:rFonts w:cs="Times New Roman"/>
          <w:szCs w:val="28"/>
        </w:rPr>
        <w:t>在风险可控前提下加大资金支持力度</w:t>
      </w:r>
      <w:r>
        <w:rPr>
          <w:rFonts w:hint="eastAsia" w:cs="Times New Roman"/>
          <w:szCs w:val="28"/>
        </w:rPr>
        <w:t>。</w:t>
      </w:r>
      <w:r>
        <w:rPr>
          <w:rFonts w:cs="Times New Roman"/>
          <w:szCs w:val="28"/>
        </w:rPr>
        <w:t>加强发改、生态环境、财政等多部门之间的沟通协调，全面抓好对上资金政策争取工作。</w:t>
      </w:r>
    </w:p>
    <w:p w14:paraId="1567BB7B">
      <w:pPr>
        <w:ind w:firstLine="640" w:firstLineChars="200"/>
        <w:rPr>
          <w:rFonts w:cs="Times New Roman"/>
          <w:szCs w:val="28"/>
        </w:rPr>
      </w:pPr>
      <w:r>
        <w:rPr>
          <w:rFonts w:ascii="方正楷体_GBK" w:eastAsia="方正楷体_GBK" w:cs="Times New Roman"/>
          <w:b/>
          <w:bCs/>
          <w:szCs w:val="28"/>
        </w:rPr>
        <w:t>加大人才保障力度</w:t>
      </w:r>
      <w:r>
        <w:rPr>
          <w:rFonts w:cs="Times New Roman"/>
          <w:szCs w:val="28"/>
        </w:rPr>
        <w:t>。</w:t>
      </w:r>
      <w:r>
        <w:rPr>
          <w:rFonts w:hint="eastAsia" w:cs="Times New Roman"/>
          <w:szCs w:val="28"/>
        </w:rPr>
        <w:t>在</w:t>
      </w:r>
      <w:r>
        <w:rPr>
          <w:rFonts w:cs="Times New Roman"/>
          <w:szCs w:val="28"/>
        </w:rPr>
        <w:t>固废资源化技术、固废处理政策、环境经济与管理等领域，组建由区内高校、研究机构、行业协会、管理部门等知名专家组成</w:t>
      </w:r>
      <w:r>
        <w:rPr>
          <w:rFonts w:hint="eastAsia" w:cs="Times New Roman"/>
          <w:szCs w:val="28"/>
        </w:rPr>
        <w:t>的</w:t>
      </w:r>
      <w:r>
        <w:rPr>
          <w:rFonts w:cs="Times New Roman"/>
          <w:szCs w:val="28"/>
        </w:rPr>
        <w:t>技术顾问团队，作为玄武区高标准建设</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的智囊团，科学指导</w:t>
      </w:r>
      <w:r>
        <w:rPr>
          <w:rFonts w:hint="eastAsia" w:cs="Times New Roman"/>
          <w:szCs w:val="28"/>
        </w:rPr>
        <w:t>“</w:t>
      </w:r>
      <w:r>
        <w:rPr>
          <w:rFonts w:cs="Times New Roman"/>
          <w:szCs w:val="28"/>
        </w:rPr>
        <w:t>无废城市</w:t>
      </w:r>
      <w:r>
        <w:rPr>
          <w:rFonts w:hint="eastAsia" w:cs="Times New Roman"/>
          <w:szCs w:val="28"/>
        </w:rPr>
        <w:t>”</w:t>
      </w:r>
      <w:r>
        <w:rPr>
          <w:rFonts w:cs="Times New Roman"/>
          <w:szCs w:val="28"/>
        </w:rPr>
        <w:t>建设。</w:t>
      </w:r>
    </w:p>
    <w:p w14:paraId="4B1FD138">
      <w:pPr>
        <w:ind w:firstLine="640" w:firstLineChars="200"/>
        <w:rPr>
          <w:rFonts w:cs="Times New Roman"/>
          <w:szCs w:val="28"/>
        </w:rPr>
      </w:pPr>
      <w:r>
        <w:rPr>
          <w:rFonts w:ascii="方正楷体_GBK" w:eastAsia="方正楷体_GBK" w:cs="Times New Roman"/>
          <w:b/>
          <w:bCs/>
          <w:szCs w:val="28"/>
        </w:rPr>
        <w:t>加大技术保障力度</w:t>
      </w:r>
      <w:r>
        <w:rPr>
          <w:rFonts w:cs="Times New Roman"/>
          <w:szCs w:val="28"/>
        </w:rPr>
        <w:t>。依托高校和科研</w:t>
      </w:r>
      <w:r>
        <w:rPr>
          <w:rFonts w:hint="eastAsia" w:cs="Times New Roman"/>
          <w:szCs w:val="28"/>
        </w:rPr>
        <w:t>机</w:t>
      </w:r>
      <w:r>
        <w:rPr>
          <w:rFonts w:cs="Times New Roman"/>
          <w:szCs w:val="28"/>
        </w:rPr>
        <w:t>构的实力技术优势</w:t>
      </w:r>
      <w:r>
        <w:rPr>
          <w:rFonts w:hint="eastAsia" w:cs="Times New Roman"/>
          <w:szCs w:val="28"/>
        </w:rPr>
        <w:t>，</w:t>
      </w:r>
      <w:r>
        <w:rPr>
          <w:rFonts w:cs="Times New Roman"/>
          <w:szCs w:val="28"/>
        </w:rPr>
        <w:t>搭建产、学、研合作平台，开展关键技术攻关，对固废</w:t>
      </w:r>
      <w:r>
        <w:rPr>
          <w:rFonts w:hint="eastAsia" w:cs="Times New Roman"/>
          <w:szCs w:val="28"/>
        </w:rPr>
        <w:t>“</w:t>
      </w:r>
      <w:r>
        <w:rPr>
          <w:rFonts w:cs="Times New Roman"/>
          <w:szCs w:val="28"/>
        </w:rPr>
        <w:t>产生源头</w:t>
      </w:r>
      <w:r>
        <w:rPr>
          <w:rFonts w:hint="eastAsia" w:cs="Times New Roman"/>
          <w:szCs w:val="28"/>
        </w:rPr>
        <w:t>—</w:t>
      </w:r>
      <w:r>
        <w:rPr>
          <w:rFonts w:cs="Times New Roman"/>
          <w:szCs w:val="28"/>
        </w:rPr>
        <w:t>中间运输</w:t>
      </w:r>
      <w:r>
        <w:rPr>
          <w:rFonts w:hint="eastAsia" w:cs="Times New Roman"/>
          <w:szCs w:val="28"/>
        </w:rPr>
        <w:t>—</w:t>
      </w:r>
      <w:r>
        <w:rPr>
          <w:rFonts w:cs="Times New Roman"/>
          <w:szCs w:val="28"/>
        </w:rPr>
        <w:t>末端处置</w:t>
      </w:r>
      <w:r>
        <w:rPr>
          <w:rFonts w:hint="eastAsia" w:cs="Times New Roman"/>
          <w:szCs w:val="28"/>
        </w:rPr>
        <w:t>”</w:t>
      </w:r>
      <w:r>
        <w:rPr>
          <w:rFonts w:cs="Times New Roman"/>
          <w:szCs w:val="28"/>
        </w:rPr>
        <w:t>等</w:t>
      </w:r>
      <w:r>
        <w:rPr>
          <w:rFonts w:hint="eastAsia" w:cs="Times New Roman"/>
          <w:szCs w:val="28"/>
        </w:rPr>
        <w:t>环节，</w:t>
      </w:r>
      <w:r>
        <w:rPr>
          <w:rFonts w:cs="Times New Roman"/>
          <w:szCs w:val="28"/>
        </w:rPr>
        <w:t>开展固体废物综合利用技术的研究与创新。</w:t>
      </w:r>
    </w:p>
    <w:bookmarkEnd w:id="246"/>
    <w:p w14:paraId="60A705B7">
      <w:pPr>
        <w:pStyle w:val="3"/>
        <w:spacing w:before="0" w:after="0"/>
        <w:rPr>
          <w:rFonts w:ascii="方正黑体_GBK" w:cs="Times New Roman"/>
          <w:szCs w:val="28"/>
        </w:rPr>
      </w:pPr>
      <w:bookmarkStart w:id="247" w:name="_Toc129882988"/>
      <w:bookmarkStart w:id="248" w:name="_Toc140150540"/>
    </w:p>
    <w:p w14:paraId="66175E01">
      <w:pPr>
        <w:pStyle w:val="3"/>
        <w:spacing w:before="0" w:after="0"/>
        <w:rPr>
          <w:rFonts w:ascii="方正黑体_GBK" w:cs="Times New Roman"/>
          <w:szCs w:val="28"/>
        </w:rPr>
      </w:pPr>
      <w:r>
        <w:rPr>
          <w:rFonts w:hint="eastAsia" w:ascii="方正黑体_GBK" w:cs="Times New Roman"/>
          <w:szCs w:val="28"/>
        </w:rPr>
        <w:t>第四节 强化监管执法</w:t>
      </w:r>
      <w:bookmarkEnd w:id="247"/>
      <w:bookmarkEnd w:id="248"/>
    </w:p>
    <w:p w14:paraId="04915733">
      <w:pPr>
        <w:ind w:firstLine="640" w:firstLineChars="200"/>
        <w:rPr>
          <w:rFonts w:cs="Times New Roman"/>
          <w:szCs w:val="28"/>
        </w:rPr>
      </w:pPr>
      <w:r>
        <w:rPr>
          <w:rFonts w:ascii="方正楷体_GBK" w:eastAsia="方正楷体_GBK" w:cs="Times New Roman"/>
          <w:b/>
          <w:bCs/>
          <w:szCs w:val="28"/>
        </w:rPr>
        <w:t>强化全流程监管</w:t>
      </w:r>
      <w:r>
        <w:rPr>
          <w:rFonts w:cs="Times New Roman"/>
          <w:b/>
          <w:bCs/>
          <w:szCs w:val="28"/>
        </w:rPr>
        <w:t>。</w:t>
      </w:r>
      <w:r>
        <w:rPr>
          <w:rFonts w:cs="Times New Roman"/>
          <w:szCs w:val="28"/>
        </w:rPr>
        <w:t>各</w:t>
      </w:r>
      <w:r>
        <w:rPr>
          <w:rFonts w:hint="eastAsia" w:cs="Times New Roman"/>
          <w:szCs w:val="28"/>
        </w:rPr>
        <w:t>相关</w:t>
      </w:r>
      <w:r>
        <w:rPr>
          <w:rFonts w:cs="Times New Roman"/>
          <w:szCs w:val="28"/>
        </w:rPr>
        <w:t>部门要强化一般工业固体废物、生活垃圾、建筑垃圾、危险废物的收集、运输、贮存和利用处置活动的</w:t>
      </w:r>
      <w:r>
        <w:rPr>
          <w:rFonts w:hint="eastAsia" w:cs="Times New Roman"/>
          <w:szCs w:val="28"/>
        </w:rPr>
        <w:t>全流程</w:t>
      </w:r>
      <w:r>
        <w:rPr>
          <w:rFonts w:cs="Times New Roman"/>
          <w:szCs w:val="28"/>
        </w:rPr>
        <w:t>监督管理。</w:t>
      </w:r>
    </w:p>
    <w:p w14:paraId="482BCBA6">
      <w:pPr>
        <w:ind w:firstLine="640" w:firstLineChars="200"/>
        <w:rPr>
          <w:rFonts w:cs="Times New Roman"/>
          <w:szCs w:val="28"/>
        </w:rPr>
      </w:pPr>
      <w:r>
        <w:rPr>
          <w:rFonts w:hint="eastAsia" w:ascii="方正楷体_GBK" w:eastAsia="方正楷体_GBK" w:cs="Times New Roman"/>
          <w:b/>
          <w:bCs/>
          <w:szCs w:val="28"/>
        </w:rPr>
        <w:t>强化各</w:t>
      </w:r>
      <w:r>
        <w:rPr>
          <w:rFonts w:ascii="方正楷体_GBK" w:eastAsia="方正楷体_GBK" w:cs="Times New Roman"/>
          <w:b/>
          <w:bCs/>
          <w:szCs w:val="28"/>
        </w:rPr>
        <w:t>部门联动</w:t>
      </w:r>
      <w:r>
        <w:rPr>
          <w:rFonts w:cs="Times New Roman"/>
          <w:szCs w:val="28"/>
        </w:rPr>
        <w:t>。</w:t>
      </w:r>
      <w:r>
        <w:rPr>
          <w:rFonts w:hint="eastAsia" w:cs="Times New Roman"/>
          <w:szCs w:val="28"/>
        </w:rPr>
        <w:t>各</w:t>
      </w:r>
      <w:r>
        <w:rPr>
          <w:rFonts w:cs="Times New Roman"/>
          <w:szCs w:val="28"/>
        </w:rPr>
        <w:t>部门协同配合</w:t>
      </w:r>
      <w:r>
        <w:rPr>
          <w:rFonts w:hint="eastAsia" w:cs="Times New Roman"/>
          <w:szCs w:val="28"/>
        </w:rPr>
        <w:t>开展</w:t>
      </w:r>
      <w:r>
        <w:rPr>
          <w:rFonts w:cs="Times New Roman"/>
          <w:szCs w:val="28"/>
        </w:rPr>
        <w:t>联合检查、联合执法，依法严厉打击各类固体废物非法转移、</w:t>
      </w:r>
      <w:r>
        <w:rPr>
          <w:rFonts w:hint="eastAsia" w:cs="Times New Roman"/>
          <w:szCs w:val="28"/>
        </w:rPr>
        <w:t>非法</w:t>
      </w:r>
      <w:r>
        <w:rPr>
          <w:rFonts w:cs="Times New Roman"/>
          <w:szCs w:val="28"/>
        </w:rPr>
        <w:t>倾倒</w:t>
      </w:r>
      <w:r>
        <w:rPr>
          <w:rFonts w:hint="eastAsia" w:cs="Times New Roman"/>
          <w:szCs w:val="28"/>
        </w:rPr>
        <w:t>和</w:t>
      </w:r>
      <w:r>
        <w:rPr>
          <w:rFonts w:cs="Times New Roman"/>
          <w:szCs w:val="28"/>
        </w:rPr>
        <w:t>无证从事危险废物收集、利用与处置经营</w:t>
      </w:r>
      <w:r>
        <w:rPr>
          <w:rFonts w:hint="eastAsia" w:cs="Times New Roman"/>
          <w:szCs w:val="28"/>
        </w:rPr>
        <w:t>等</w:t>
      </w:r>
      <w:r>
        <w:rPr>
          <w:rFonts w:cs="Times New Roman"/>
          <w:szCs w:val="28"/>
        </w:rPr>
        <w:t>活动。持续打击违法违规回收拆解</w:t>
      </w:r>
      <w:r>
        <w:rPr>
          <w:rFonts w:hint="eastAsia" w:cs="Times New Roman"/>
          <w:szCs w:val="28"/>
        </w:rPr>
        <w:t>废旧铅酸</w:t>
      </w:r>
      <w:r>
        <w:rPr>
          <w:rFonts w:cs="Times New Roman"/>
          <w:szCs w:val="28"/>
        </w:rPr>
        <w:t>蓄电池、报废汽车、</w:t>
      </w:r>
      <w:r>
        <w:rPr>
          <w:rFonts w:hint="eastAsia" w:cs="Times New Roman"/>
          <w:szCs w:val="28"/>
        </w:rPr>
        <w:t>报废</w:t>
      </w:r>
      <w:r>
        <w:rPr>
          <w:rFonts w:cs="Times New Roman"/>
          <w:szCs w:val="28"/>
        </w:rPr>
        <w:t>电器电子产品行为。对固体废物监管责任落实不到位的</w:t>
      </w:r>
      <w:r>
        <w:rPr>
          <w:rFonts w:hint="eastAsia" w:cs="Times New Roman"/>
          <w:szCs w:val="28"/>
        </w:rPr>
        <w:t>单位</w:t>
      </w:r>
      <w:r>
        <w:rPr>
          <w:rFonts w:cs="Times New Roman"/>
          <w:szCs w:val="28"/>
        </w:rPr>
        <w:t>，依纪依法严肃追究责任。</w:t>
      </w:r>
    </w:p>
    <w:p w14:paraId="56D4075E">
      <w:pPr>
        <w:rPr>
          <w:rFonts w:cs="Times New Roman"/>
          <w:szCs w:val="28"/>
        </w:rPr>
      </w:pPr>
    </w:p>
    <w:p w14:paraId="6A336F02">
      <w:pPr>
        <w:ind w:firstLine="640" w:firstLineChars="200"/>
      </w:pPr>
      <w:r>
        <w:rPr>
          <w:rFonts w:hint="eastAsia"/>
        </w:rPr>
        <w:t>附件：1</w:t>
      </w:r>
      <w:r>
        <w:t xml:space="preserve">. </w:t>
      </w:r>
      <w:r>
        <w:rPr>
          <w:rFonts w:hint="eastAsia"/>
        </w:rPr>
        <w:t>固体废物清单</w:t>
      </w:r>
    </w:p>
    <w:p w14:paraId="021F33A9">
      <w:r>
        <w:t xml:space="preserve">                  </w:t>
      </w:r>
      <w:r>
        <w:rPr>
          <w:rFonts w:hint="eastAsia"/>
        </w:rPr>
        <w:t xml:space="preserve"> </w:t>
      </w:r>
      <w:r>
        <w:t xml:space="preserve"> 2. </w:t>
      </w:r>
      <w:r>
        <w:rPr>
          <w:rFonts w:hint="eastAsia"/>
        </w:rPr>
        <w:t>指标可达性分析</w:t>
      </w:r>
    </w:p>
    <w:p w14:paraId="64A625B0">
      <w:pPr>
        <w:sectPr>
          <w:pgSz w:w="11906" w:h="16838"/>
          <w:pgMar w:top="2098" w:right="1474" w:bottom="1701" w:left="1588" w:header="851" w:footer="1247" w:gutter="0"/>
          <w:cols w:space="425" w:num="1"/>
          <w:docGrid w:type="linesAndChars" w:linePitch="381" w:charSpace="0"/>
        </w:sectPr>
      </w:pPr>
    </w:p>
    <w:p w14:paraId="45B360E9">
      <w:pPr>
        <w:jc w:val="left"/>
        <w:outlineLvl w:val="0"/>
        <w:rPr>
          <w:rFonts w:eastAsia="方正黑体_GBK" w:cs="Times New Roman"/>
          <w:szCs w:val="24"/>
        </w:rPr>
      </w:pPr>
      <w:bookmarkStart w:id="249" w:name="_Toc140150541"/>
      <w:bookmarkStart w:id="250" w:name="_Toc119073727"/>
      <w:bookmarkStart w:id="251" w:name="_Toc129882989"/>
      <w:bookmarkStart w:id="252" w:name="_Toc118993004"/>
      <w:r>
        <w:rPr>
          <w:rFonts w:hint="eastAsia" w:eastAsia="方正黑体_GBK" w:cs="Times New Roman"/>
          <w:szCs w:val="24"/>
        </w:rPr>
        <w:t>附件1</w:t>
      </w:r>
      <w:bookmarkEnd w:id="249"/>
    </w:p>
    <w:p w14:paraId="568DED2F">
      <w:pPr>
        <w:jc w:val="center"/>
        <w:rPr>
          <w:rFonts w:ascii="方正小标宋_GBK" w:eastAsia="方正小标宋_GBK"/>
          <w:sz w:val="44"/>
          <w:szCs w:val="44"/>
        </w:rPr>
      </w:pPr>
      <w:r>
        <w:rPr>
          <w:rFonts w:hint="eastAsia" w:ascii="方正小标宋_GBK" w:eastAsia="方正小标宋_GBK"/>
          <w:sz w:val="44"/>
          <w:szCs w:val="44"/>
        </w:rPr>
        <w:t>固体废物清单</w:t>
      </w:r>
      <w:bookmarkEnd w:id="250"/>
      <w:bookmarkEnd w:id="251"/>
      <w:bookmarkEnd w:id="252"/>
    </w:p>
    <w:p w14:paraId="72FAA737">
      <w:pPr>
        <w:jc w:val="center"/>
        <w:rPr>
          <w:rFonts w:ascii="方正小标宋_GBK" w:eastAsia="方正小标宋_GBK"/>
          <w:b/>
          <w:bCs/>
          <w:sz w:val="44"/>
          <w:szCs w:val="44"/>
        </w:rPr>
      </w:pP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426"/>
        <w:gridCol w:w="882"/>
        <w:gridCol w:w="1374"/>
        <w:gridCol w:w="1335"/>
        <w:gridCol w:w="1654"/>
        <w:gridCol w:w="1448"/>
        <w:gridCol w:w="1585"/>
        <w:gridCol w:w="1445"/>
        <w:gridCol w:w="1139"/>
      </w:tblGrid>
      <w:tr w14:paraId="75A9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trPr>
        <w:tc>
          <w:tcPr>
            <w:tcW w:w="741" w:type="pct"/>
            <w:shd w:val="clear" w:color="auto" w:fill="F1F1F1" w:themeFill="background1" w:themeFillShade="F2"/>
            <w:vAlign w:val="center"/>
          </w:tcPr>
          <w:p w14:paraId="1B8726CA">
            <w:pPr>
              <w:widowControl/>
              <w:snapToGrid w:val="0"/>
              <w:spacing w:line="400" w:lineRule="exact"/>
              <w:jc w:val="center"/>
              <w:rPr>
                <w:rFonts w:cs="Times New Roman"/>
                <w:b/>
                <w:bCs/>
                <w:kern w:val="0"/>
                <w:sz w:val="24"/>
                <w:szCs w:val="24"/>
              </w:rPr>
            </w:pPr>
            <w:r>
              <w:rPr>
                <w:rFonts w:cs="Times New Roman"/>
                <w:b/>
                <w:bCs/>
                <w:kern w:val="0"/>
                <w:sz w:val="24"/>
                <w:szCs w:val="24"/>
              </w:rPr>
              <w:t>固体废物种类</w:t>
            </w:r>
          </w:p>
        </w:tc>
        <w:tc>
          <w:tcPr>
            <w:tcW w:w="494" w:type="pct"/>
            <w:gridSpan w:val="2"/>
            <w:shd w:val="clear" w:color="auto" w:fill="F1F1F1" w:themeFill="background1" w:themeFillShade="F2"/>
            <w:vAlign w:val="center"/>
          </w:tcPr>
          <w:p w14:paraId="732688C5">
            <w:pPr>
              <w:widowControl/>
              <w:snapToGrid w:val="0"/>
              <w:spacing w:line="400" w:lineRule="exact"/>
              <w:jc w:val="center"/>
              <w:rPr>
                <w:rFonts w:cs="Times New Roman"/>
                <w:b/>
                <w:bCs/>
                <w:kern w:val="0"/>
                <w:sz w:val="24"/>
                <w:szCs w:val="24"/>
              </w:rPr>
            </w:pPr>
            <w:r>
              <w:rPr>
                <w:rFonts w:cs="Times New Roman"/>
                <w:b/>
                <w:bCs/>
                <w:kern w:val="0"/>
                <w:sz w:val="24"/>
                <w:szCs w:val="24"/>
              </w:rPr>
              <w:t>种类</w:t>
            </w:r>
          </w:p>
        </w:tc>
        <w:tc>
          <w:tcPr>
            <w:tcW w:w="518" w:type="pct"/>
            <w:shd w:val="clear" w:color="auto" w:fill="F1F1F1" w:themeFill="background1" w:themeFillShade="F2"/>
            <w:vAlign w:val="center"/>
          </w:tcPr>
          <w:p w14:paraId="786EF883">
            <w:pPr>
              <w:widowControl/>
              <w:snapToGrid w:val="0"/>
              <w:spacing w:line="400" w:lineRule="exact"/>
              <w:jc w:val="center"/>
              <w:rPr>
                <w:rFonts w:cs="Times New Roman"/>
                <w:b/>
                <w:bCs/>
                <w:kern w:val="0"/>
                <w:sz w:val="24"/>
                <w:szCs w:val="24"/>
              </w:rPr>
            </w:pPr>
            <w:r>
              <w:rPr>
                <w:rFonts w:cs="Times New Roman"/>
                <w:b/>
                <w:bCs/>
                <w:kern w:val="0"/>
                <w:sz w:val="24"/>
                <w:szCs w:val="24"/>
              </w:rPr>
              <w:t>总产生量</w:t>
            </w:r>
          </w:p>
        </w:tc>
        <w:tc>
          <w:tcPr>
            <w:tcW w:w="503" w:type="pct"/>
            <w:shd w:val="clear" w:color="auto" w:fill="F1F1F1" w:themeFill="background1" w:themeFillShade="F2"/>
            <w:vAlign w:val="center"/>
          </w:tcPr>
          <w:p w14:paraId="1605E26B">
            <w:pPr>
              <w:widowControl/>
              <w:snapToGrid w:val="0"/>
              <w:spacing w:line="400" w:lineRule="exact"/>
              <w:jc w:val="center"/>
              <w:rPr>
                <w:rFonts w:cs="Times New Roman"/>
                <w:b/>
                <w:bCs/>
                <w:kern w:val="0"/>
                <w:sz w:val="24"/>
                <w:szCs w:val="24"/>
              </w:rPr>
            </w:pPr>
            <w:r>
              <w:rPr>
                <w:rFonts w:cs="Times New Roman"/>
                <w:b/>
                <w:bCs/>
                <w:kern w:val="0"/>
                <w:sz w:val="24"/>
                <w:szCs w:val="24"/>
              </w:rPr>
              <w:t>产生量</w:t>
            </w:r>
          </w:p>
        </w:tc>
        <w:tc>
          <w:tcPr>
            <w:tcW w:w="623" w:type="pct"/>
            <w:shd w:val="clear" w:color="auto" w:fill="F1F1F1" w:themeFill="background1" w:themeFillShade="F2"/>
            <w:vAlign w:val="center"/>
          </w:tcPr>
          <w:p w14:paraId="7DD8AB8F">
            <w:pPr>
              <w:widowControl/>
              <w:snapToGrid w:val="0"/>
              <w:spacing w:line="400" w:lineRule="exact"/>
              <w:jc w:val="center"/>
              <w:rPr>
                <w:rFonts w:cs="Times New Roman"/>
                <w:b/>
                <w:bCs/>
                <w:kern w:val="0"/>
                <w:sz w:val="24"/>
                <w:szCs w:val="24"/>
              </w:rPr>
            </w:pPr>
            <w:r>
              <w:rPr>
                <w:rFonts w:cs="Times New Roman"/>
                <w:b/>
                <w:bCs/>
                <w:kern w:val="0"/>
                <w:sz w:val="24"/>
                <w:szCs w:val="24"/>
              </w:rPr>
              <w:t>收运方式</w:t>
            </w:r>
          </w:p>
        </w:tc>
        <w:tc>
          <w:tcPr>
            <w:tcW w:w="545" w:type="pct"/>
            <w:shd w:val="clear" w:color="auto" w:fill="F1F1F1" w:themeFill="background1" w:themeFillShade="F2"/>
            <w:vAlign w:val="center"/>
          </w:tcPr>
          <w:p w14:paraId="7E12CE16">
            <w:pPr>
              <w:widowControl/>
              <w:snapToGrid w:val="0"/>
              <w:spacing w:line="400" w:lineRule="exact"/>
              <w:jc w:val="center"/>
              <w:rPr>
                <w:rFonts w:cs="Times New Roman"/>
                <w:b/>
                <w:bCs/>
                <w:kern w:val="0"/>
                <w:sz w:val="24"/>
                <w:szCs w:val="24"/>
              </w:rPr>
            </w:pPr>
            <w:r>
              <w:rPr>
                <w:rFonts w:cs="Times New Roman"/>
                <w:b/>
                <w:bCs/>
                <w:kern w:val="0"/>
                <w:sz w:val="24"/>
                <w:szCs w:val="24"/>
              </w:rPr>
              <w:t>收运量</w:t>
            </w:r>
          </w:p>
        </w:tc>
        <w:tc>
          <w:tcPr>
            <w:tcW w:w="597" w:type="pct"/>
            <w:shd w:val="clear" w:color="auto" w:fill="F1F1F1" w:themeFill="background1" w:themeFillShade="F2"/>
            <w:vAlign w:val="center"/>
          </w:tcPr>
          <w:p w14:paraId="3A05CC65">
            <w:pPr>
              <w:widowControl/>
              <w:snapToGrid w:val="0"/>
              <w:spacing w:line="400" w:lineRule="exact"/>
              <w:jc w:val="center"/>
              <w:rPr>
                <w:rFonts w:cs="Times New Roman"/>
                <w:b/>
                <w:bCs/>
                <w:kern w:val="0"/>
                <w:sz w:val="24"/>
                <w:szCs w:val="24"/>
              </w:rPr>
            </w:pPr>
            <w:r>
              <w:rPr>
                <w:rFonts w:cs="Times New Roman"/>
                <w:b/>
                <w:bCs/>
                <w:kern w:val="0"/>
                <w:sz w:val="24"/>
                <w:szCs w:val="24"/>
              </w:rPr>
              <w:t>综合利用量</w:t>
            </w:r>
          </w:p>
        </w:tc>
        <w:tc>
          <w:tcPr>
            <w:tcW w:w="544" w:type="pct"/>
            <w:shd w:val="clear" w:color="auto" w:fill="F1F1F1" w:themeFill="background1" w:themeFillShade="F2"/>
            <w:vAlign w:val="center"/>
          </w:tcPr>
          <w:p w14:paraId="64DDBE7A">
            <w:pPr>
              <w:widowControl/>
              <w:snapToGrid w:val="0"/>
              <w:spacing w:line="400" w:lineRule="exact"/>
              <w:jc w:val="center"/>
              <w:rPr>
                <w:rFonts w:cs="Times New Roman"/>
                <w:b/>
                <w:bCs/>
                <w:kern w:val="0"/>
                <w:sz w:val="24"/>
                <w:szCs w:val="24"/>
              </w:rPr>
            </w:pPr>
            <w:r>
              <w:rPr>
                <w:rFonts w:cs="Times New Roman"/>
                <w:b/>
                <w:bCs/>
                <w:kern w:val="0"/>
                <w:sz w:val="24"/>
                <w:szCs w:val="24"/>
              </w:rPr>
              <w:t>处置量</w:t>
            </w:r>
          </w:p>
        </w:tc>
        <w:tc>
          <w:tcPr>
            <w:tcW w:w="430" w:type="pct"/>
            <w:shd w:val="clear" w:color="auto" w:fill="F1F1F1" w:themeFill="background1" w:themeFillShade="F2"/>
            <w:vAlign w:val="center"/>
          </w:tcPr>
          <w:p w14:paraId="743DF533">
            <w:pPr>
              <w:widowControl/>
              <w:snapToGrid w:val="0"/>
              <w:spacing w:line="400" w:lineRule="exact"/>
              <w:jc w:val="center"/>
              <w:rPr>
                <w:rFonts w:cs="Times New Roman"/>
                <w:b/>
                <w:bCs/>
                <w:kern w:val="0"/>
                <w:sz w:val="24"/>
                <w:szCs w:val="24"/>
              </w:rPr>
            </w:pPr>
            <w:r>
              <w:rPr>
                <w:rFonts w:cs="Times New Roman"/>
                <w:b/>
                <w:bCs/>
                <w:kern w:val="0"/>
                <w:sz w:val="24"/>
                <w:szCs w:val="24"/>
              </w:rPr>
              <w:t>贮存量</w:t>
            </w:r>
          </w:p>
        </w:tc>
      </w:tr>
      <w:tr w14:paraId="3485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1" w:type="pct"/>
            <w:shd w:val="clear" w:color="auto" w:fill="auto"/>
            <w:vAlign w:val="center"/>
          </w:tcPr>
          <w:p w14:paraId="153F4999">
            <w:pPr>
              <w:widowControl/>
              <w:snapToGrid w:val="0"/>
              <w:spacing w:line="400" w:lineRule="exact"/>
              <w:jc w:val="center"/>
              <w:rPr>
                <w:rFonts w:cs="Times New Roman"/>
                <w:b/>
                <w:bCs/>
                <w:kern w:val="0"/>
                <w:sz w:val="24"/>
                <w:szCs w:val="24"/>
              </w:rPr>
            </w:pPr>
            <w:r>
              <w:rPr>
                <w:rFonts w:cs="Times New Roman"/>
                <w:b/>
                <w:bCs/>
                <w:kern w:val="0"/>
                <w:sz w:val="24"/>
                <w:szCs w:val="24"/>
              </w:rPr>
              <w:t>一般工业固废</w:t>
            </w:r>
          </w:p>
        </w:tc>
        <w:tc>
          <w:tcPr>
            <w:tcW w:w="494" w:type="pct"/>
            <w:gridSpan w:val="2"/>
            <w:shd w:val="clear" w:color="auto" w:fill="auto"/>
            <w:vAlign w:val="center"/>
          </w:tcPr>
          <w:p w14:paraId="41B3BD3B">
            <w:pPr>
              <w:widowControl/>
              <w:snapToGrid w:val="0"/>
              <w:spacing w:line="400" w:lineRule="exact"/>
              <w:jc w:val="center"/>
              <w:rPr>
                <w:rFonts w:cs="Times New Roman"/>
                <w:sz w:val="24"/>
                <w:szCs w:val="24"/>
              </w:rPr>
            </w:pPr>
            <w:r>
              <w:rPr>
                <w:rFonts w:cs="Times New Roman"/>
                <w:sz w:val="24"/>
                <w:szCs w:val="24"/>
              </w:rPr>
              <w:t>其他废物</w:t>
            </w:r>
          </w:p>
        </w:tc>
        <w:tc>
          <w:tcPr>
            <w:tcW w:w="518" w:type="pct"/>
            <w:shd w:val="clear" w:color="auto" w:fill="auto"/>
            <w:vAlign w:val="center"/>
          </w:tcPr>
          <w:p w14:paraId="1D8C99AF">
            <w:pPr>
              <w:widowControl/>
              <w:snapToGrid w:val="0"/>
              <w:spacing w:line="400" w:lineRule="exact"/>
              <w:jc w:val="center"/>
              <w:rPr>
                <w:rFonts w:cs="Times New Roman"/>
                <w:kern w:val="0"/>
                <w:sz w:val="24"/>
                <w:szCs w:val="24"/>
              </w:rPr>
            </w:pPr>
            <w:r>
              <w:rPr>
                <w:rFonts w:cs="Times New Roman"/>
                <w:sz w:val="24"/>
                <w:szCs w:val="24"/>
              </w:rPr>
              <w:t>119.44吨</w:t>
            </w:r>
          </w:p>
        </w:tc>
        <w:tc>
          <w:tcPr>
            <w:tcW w:w="503" w:type="pct"/>
            <w:shd w:val="clear" w:color="auto" w:fill="auto"/>
            <w:vAlign w:val="center"/>
          </w:tcPr>
          <w:p w14:paraId="5739DF52">
            <w:pPr>
              <w:widowControl/>
              <w:snapToGrid w:val="0"/>
              <w:spacing w:line="400" w:lineRule="exact"/>
              <w:jc w:val="center"/>
              <w:rPr>
                <w:rFonts w:cs="Times New Roman"/>
                <w:sz w:val="24"/>
                <w:szCs w:val="24"/>
              </w:rPr>
            </w:pPr>
            <w:r>
              <w:rPr>
                <w:rFonts w:cs="Times New Roman"/>
                <w:sz w:val="24"/>
                <w:szCs w:val="24"/>
              </w:rPr>
              <w:t>119.44吨</w:t>
            </w:r>
          </w:p>
        </w:tc>
        <w:tc>
          <w:tcPr>
            <w:tcW w:w="623" w:type="pct"/>
            <w:shd w:val="clear" w:color="auto" w:fill="auto"/>
            <w:vAlign w:val="center"/>
          </w:tcPr>
          <w:p w14:paraId="62907DA3">
            <w:pPr>
              <w:widowControl/>
              <w:snapToGrid w:val="0"/>
              <w:spacing w:line="300" w:lineRule="exact"/>
              <w:jc w:val="left"/>
              <w:rPr>
                <w:rFonts w:cs="Times New Roman"/>
                <w:kern w:val="0"/>
                <w:sz w:val="24"/>
                <w:szCs w:val="24"/>
              </w:rPr>
            </w:pPr>
            <w:r>
              <w:rPr>
                <w:rFonts w:cs="Times New Roman"/>
                <w:kern w:val="0"/>
                <w:sz w:val="24"/>
                <w:szCs w:val="24"/>
              </w:rPr>
              <w:t>主要由收集</w:t>
            </w:r>
          </w:p>
          <w:p w14:paraId="243943B2">
            <w:pPr>
              <w:widowControl/>
              <w:snapToGrid w:val="0"/>
              <w:spacing w:line="300" w:lineRule="exact"/>
              <w:jc w:val="left"/>
              <w:rPr>
                <w:rFonts w:cs="Times New Roman"/>
                <w:kern w:val="0"/>
                <w:sz w:val="24"/>
                <w:szCs w:val="24"/>
              </w:rPr>
            </w:pPr>
            <w:r>
              <w:rPr>
                <w:rFonts w:cs="Times New Roman"/>
                <w:kern w:val="0"/>
                <w:sz w:val="24"/>
                <w:szCs w:val="24"/>
              </w:rPr>
              <w:t>企业进行收集</w:t>
            </w:r>
          </w:p>
        </w:tc>
        <w:tc>
          <w:tcPr>
            <w:tcW w:w="545" w:type="pct"/>
            <w:shd w:val="clear" w:color="auto" w:fill="auto"/>
            <w:vAlign w:val="center"/>
          </w:tcPr>
          <w:p w14:paraId="1D1A7E73">
            <w:pPr>
              <w:widowControl/>
              <w:snapToGrid w:val="0"/>
              <w:spacing w:line="400" w:lineRule="exact"/>
              <w:jc w:val="center"/>
              <w:rPr>
                <w:rFonts w:cs="Times New Roman"/>
                <w:sz w:val="24"/>
                <w:szCs w:val="24"/>
              </w:rPr>
            </w:pPr>
            <w:r>
              <w:rPr>
                <w:rFonts w:cs="Times New Roman"/>
                <w:sz w:val="24"/>
                <w:szCs w:val="24"/>
              </w:rPr>
              <w:t>119.44吨</w:t>
            </w:r>
          </w:p>
        </w:tc>
        <w:tc>
          <w:tcPr>
            <w:tcW w:w="597" w:type="pct"/>
            <w:shd w:val="clear" w:color="auto" w:fill="auto"/>
            <w:vAlign w:val="center"/>
          </w:tcPr>
          <w:p w14:paraId="409A21E8">
            <w:pPr>
              <w:widowControl/>
              <w:snapToGrid w:val="0"/>
              <w:spacing w:line="400" w:lineRule="exact"/>
              <w:jc w:val="center"/>
              <w:rPr>
                <w:rFonts w:cs="Times New Roman"/>
                <w:kern w:val="0"/>
                <w:sz w:val="24"/>
                <w:szCs w:val="24"/>
              </w:rPr>
            </w:pPr>
            <w:r>
              <w:rPr>
                <w:rFonts w:cs="Times New Roman"/>
                <w:sz w:val="24"/>
                <w:szCs w:val="24"/>
              </w:rPr>
              <w:t>119.44吨</w:t>
            </w:r>
          </w:p>
        </w:tc>
        <w:tc>
          <w:tcPr>
            <w:tcW w:w="544" w:type="pct"/>
            <w:shd w:val="clear" w:color="auto" w:fill="auto"/>
            <w:vAlign w:val="center"/>
          </w:tcPr>
          <w:p w14:paraId="2F0FDCE9">
            <w:pPr>
              <w:widowControl/>
              <w:snapToGrid w:val="0"/>
              <w:spacing w:line="400" w:lineRule="exact"/>
              <w:jc w:val="center"/>
              <w:rPr>
                <w:rFonts w:cs="Times New Roman"/>
                <w:sz w:val="24"/>
                <w:szCs w:val="24"/>
              </w:rPr>
            </w:pPr>
            <w:r>
              <w:rPr>
                <w:rFonts w:cs="Times New Roman"/>
                <w:sz w:val="24"/>
                <w:szCs w:val="24"/>
              </w:rPr>
              <w:t>/</w:t>
            </w:r>
          </w:p>
        </w:tc>
        <w:tc>
          <w:tcPr>
            <w:tcW w:w="430" w:type="pct"/>
            <w:shd w:val="clear" w:color="auto" w:fill="auto"/>
            <w:vAlign w:val="center"/>
          </w:tcPr>
          <w:p w14:paraId="58BC8B68">
            <w:pPr>
              <w:widowControl/>
              <w:snapToGrid w:val="0"/>
              <w:spacing w:line="400" w:lineRule="exact"/>
              <w:jc w:val="center"/>
              <w:rPr>
                <w:rFonts w:cs="Times New Roman"/>
                <w:kern w:val="0"/>
                <w:sz w:val="24"/>
                <w:szCs w:val="24"/>
              </w:rPr>
            </w:pPr>
            <w:r>
              <w:rPr>
                <w:rFonts w:cs="Times New Roman"/>
                <w:kern w:val="0"/>
                <w:sz w:val="24"/>
                <w:szCs w:val="24"/>
              </w:rPr>
              <w:t>/</w:t>
            </w:r>
          </w:p>
        </w:tc>
      </w:tr>
      <w:tr w14:paraId="2B44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1" w:type="pct"/>
            <w:vMerge w:val="restart"/>
            <w:shd w:val="clear" w:color="auto" w:fill="auto"/>
            <w:vAlign w:val="center"/>
          </w:tcPr>
          <w:p w14:paraId="68DAF435">
            <w:pPr>
              <w:widowControl/>
              <w:snapToGrid w:val="0"/>
              <w:spacing w:line="400" w:lineRule="exact"/>
              <w:jc w:val="center"/>
              <w:rPr>
                <w:rFonts w:cs="Times New Roman"/>
                <w:b/>
                <w:bCs/>
                <w:kern w:val="0"/>
                <w:sz w:val="24"/>
                <w:szCs w:val="24"/>
              </w:rPr>
            </w:pPr>
            <w:r>
              <w:rPr>
                <w:rFonts w:cs="Times New Roman"/>
                <w:b/>
                <w:bCs/>
                <w:kern w:val="0"/>
                <w:sz w:val="24"/>
                <w:szCs w:val="24"/>
              </w:rPr>
              <w:t>生活垃圾</w:t>
            </w:r>
          </w:p>
        </w:tc>
        <w:tc>
          <w:tcPr>
            <w:tcW w:w="494" w:type="pct"/>
            <w:gridSpan w:val="2"/>
            <w:shd w:val="clear" w:color="auto" w:fill="auto"/>
            <w:vAlign w:val="center"/>
          </w:tcPr>
          <w:p w14:paraId="64A80BBF">
            <w:pPr>
              <w:widowControl/>
              <w:snapToGrid w:val="0"/>
              <w:spacing w:line="400" w:lineRule="exact"/>
              <w:jc w:val="center"/>
              <w:rPr>
                <w:rFonts w:cs="Times New Roman"/>
                <w:kern w:val="0"/>
                <w:sz w:val="24"/>
                <w:szCs w:val="24"/>
              </w:rPr>
            </w:pPr>
            <w:r>
              <w:rPr>
                <w:rFonts w:cs="Times New Roman"/>
                <w:sz w:val="24"/>
                <w:szCs w:val="24"/>
              </w:rPr>
              <w:t>其他垃圾</w:t>
            </w:r>
          </w:p>
        </w:tc>
        <w:tc>
          <w:tcPr>
            <w:tcW w:w="518" w:type="pct"/>
            <w:vMerge w:val="restart"/>
            <w:shd w:val="clear" w:color="auto" w:fill="auto"/>
            <w:vAlign w:val="center"/>
          </w:tcPr>
          <w:p w14:paraId="255E12FF">
            <w:pPr>
              <w:widowControl/>
              <w:snapToGrid w:val="0"/>
              <w:spacing w:line="400" w:lineRule="exact"/>
              <w:jc w:val="center"/>
              <w:rPr>
                <w:rFonts w:cs="Times New Roman"/>
                <w:kern w:val="0"/>
                <w:sz w:val="24"/>
                <w:szCs w:val="24"/>
              </w:rPr>
            </w:pPr>
            <w:r>
              <w:rPr>
                <w:rFonts w:cs="Times New Roman"/>
                <w:kern w:val="0"/>
                <w:sz w:val="24"/>
                <w:szCs w:val="24"/>
              </w:rPr>
              <w:t>26.95万吨</w:t>
            </w:r>
          </w:p>
        </w:tc>
        <w:tc>
          <w:tcPr>
            <w:tcW w:w="503" w:type="pct"/>
            <w:shd w:val="clear" w:color="auto" w:fill="auto"/>
            <w:vAlign w:val="center"/>
          </w:tcPr>
          <w:p w14:paraId="23B6ACDB">
            <w:pPr>
              <w:widowControl/>
              <w:snapToGrid w:val="0"/>
              <w:spacing w:line="400" w:lineRule="exact"/>
              <w:jc w:val="center"/>
              <w:rPr>
                <w:rFonts w:cs="Times New Roman"/>
                <w:kern w:val="0"/>
                <w:sz w:val="24"/>
                <w:szCs w:val="24"/>
              </w:rPr>
            </w:pPr>
            <w:r>
              <w:rPr>
                <w:rFonts w:cs="Times New Roman"/>
                <w:sz w:val="24"/>
                <w:szCs w:val="24"/>
              </w:rPr>
              <w:t>17.02万吨</w:t>
            </w:r>
          </w:p>
        </w:tc>
        <w:tc>
          <w:tcPr>
            <w:tcW w:w="623" w:type="pct"/>
            <w:vMerge w:val="restart"/>
            <w:shd w:val="clear" w:color="auto" w:fill="auto"/>
            <w:vAlign w:val="center"/>
          </w:tcPr>
          <w:p w14:paraId="55FF9D9B">
            <w:pPr>
              <w:widowControl/>
              <w:snapToGrid w:val="0"/>
              <w:spacing w:line="300" w:lineRule="exact"/>
              <w:jc w:val="left"/>
              <w:rPr>
                <w:rFonts w:cs="Times New Roman"/>
                <w:kern w:val="0"/>
                <w:sz w:val="24"/>
                <w:szCs w:val="24"/>
              </w:rPr>
            </w:pPr>
            <w:r>
              <w:rPr>
                <w:rFonts w:cs="Times New Roman"/>
                <w:kern w:val="0"/>
                <w:sz w:val="24"/>
                <w:szCs w:val="24"/>
              </w:rPr>
              <w:t>采用集中转运为主，分散转运为辅、直运为补充的收运方式</w:t>
            </w:r>
          </w:p>
        </w:tc>
        <w:tc>
          <w:tcPr>
            <w:tcW w:w="545" w:type="pct"/>
            <w:shd w:val="clear" w:color="auto" w:fill="auto"/>
            <w:vAlign w:val="center"/>
          </w:tcPr>
          <w:p w14:paraId="4FF62AB2">
            <w:pPr>
              <w:widowControl/>
              <w:snapToGrid w:val="0"/>
              <w:spacing w:line="400" w:lineRule="exact"/>
              <w:jc w:val="center"/>
              <w:rPr>
                <w:rFonts w:cs="Times New Roman"/>
                <w:kern w:val="0"/>
                <w:sz w:val="24"/>
                <w:szCs w:val="24"/>
              </w:rPr>
            </w:pPr>
            <w:r>
              <w:rPr>
                <w:rFonts w:cs="Times New Roman"/>
                <w:sz w:val="24"/>
                <w:szCs w:val="24"/>
              </w:rPr>
              <w:t>17.02万吨</w:t>
            </w:r>
          </w:p>
        </w:tc>
        <w:tc>
          <w:tcPr>
            <w:tcW w:w="597" w:type="pct"/>
            <w:shd w:val="clear" w:color="auto" w:fill="auto"/>
            <w:vAlign w:val="center"/>
          </w:tcPr>
          <w:p w14:paraId="3F659579">
            <w:pPr>
              <w:widowControl/>
              <w:snapToGrid w:val="0"/>
              <w:spacing w:line="400" w:lineRule="exact"/>
              <w:jc w:val="center"/>
              <w:rPr>
                <w:rFonts w:cs="Times New Roman"/>
                <w:kern w:val="0"/>
                <w:sz w:val="24"/>
                <w:szCs w:val="24"/>
              </w:rPr>
            </w:pPr>
            <w:r>
              <w:rPr>
                <w:rFonts w:cs="Times New Roman"/>
                <w:kern w:val="0"/>
                <w:sz w:val="24"/>
                <w:szCs w:val="24"/>
              </w:rPr>
              <w:t>/</w:t>
            </w:r>
          </w:p>
        </w:tc>
        <w:tc>
          <w:tcPr>
            <w:tcW w:w="544" w:type="pct"/>
            <w:shd w:val="clear" w:color="auto" w:fill="auto"/>
            <w:vAlign w:val="center"/>
          </w:tcPr>
          <w:p w14:paraId="00E17D71">
            <w:pPr>
              <w:widowControl/>
              <w:snapToGrid w:val="0"/>
              <w:spacing w:line="400" w:lineRule="exact"/>
              <w:jc w:val="center"/>
              <w:rPr>
                <w:rFonts w:cs="Times New Roman"/>
                <w:kern w:val="0"/>
                <w:sz w:val="24"/>
                <w:szCs w:val="24"/>
              </w:rPr>
            </w:pPr>
            <w:r>
              <w:rPr>
                <w:rFonts w:cs="Times New Roman"/>
                <w:sz w:val="24"/>
                <w:szCs w:val="24"/>
              </w:rPr>
              <w:t>17.02万吨</w:t>
            </w:r>
          </w:p>
        </w:tc>
        <w:tc>
          <w:tcPr>
            <w:tcW w:w="430" w:type="pct"/>
            <w:shd w:val="clear" w:color="auto" w:fill="auto"/>
            <w:vAlign w:val="center"/>
          </w:tcPr>
          <w:p w14:paraId="6AC75B26">
            <w:pPr>
              <w:widowControl/>
              <w:snapToGrid w:val="0"/>
              <w:spacing w:line="400" w:lineRule="exact"/>
              <w:jc w:val="center"/>
              <w:rPr>
                <w:rFonts w:cs="Times New Roman"/>
                <w:kern w:val="0"/>
                <w:sz w:val="24"/>
                <w:szCs w:val="24"/>
              </w:rPr>
            </w:pPr>
            <w:r>
              <w:rPr>
                <w:rFonts w:cs="Times New Roman"/>
                <w:kern w:val="0"/>
                <w:sz w:val="24"/>
                <w:szCs w:val="24"/>
              </w:rPr>
              <w:t>/</w:t>
            </w:r>
          </w:p>
        </w:tc>
      </w:tr>
      <w:tr w14:paraId="3BEE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41" w:type="pct"/>
            <w:vMerge w:val="continue"/>
            <w:shd w:val="clear" w:color="auto" w:fill="auto"/>
            <w:vAlign w:val="center"/>
          </w:tcPr>
          <w:p w14:paraId="6ED3B9AB">
            <w:pPr>
              <w:widowControl/>
              <w:snapToGrid w:val="0"/>
              <w:spacing w:line="400" w:lineRule="exact"/>
              <w:jc w:val="center"/>
              <w:rPr>
                <w:rFonts w:cs="Times New Roman"/>
                <w:b/>
                <w:bCs/>
                <w:kern w:val="0"/>
                <w:sz w:val="24"/>
                <w:szCs w:val="24"/>
              </w:rPr>
            </w:pPr>
          </w:p>
        </w:tc>
        <w:tc>
          <w:tcPr>
            <w:tcW w:w="494" w:type="pct"/>
            <w:gridSpan w:val="2"/>
            <w:shd w:val="clear" w:color="auto" w:fill="auto"/>
            <w:vAlign w:val="center"/>
          </w:tcPr>
          <w:p w14:paraId="484A138B">
            <w:pPr>
              <w:widowControl/>
              <w:snapToGrid w:val="0"/>
              <w:spacing w:line="400" w:lineRule="exact"/>
              <w:jc w:val="center"/>
              <w:rPr>
                <w:rFonts w:cs="Times New Roman"/>
                <w:sz w:val="24"/>
                <w:szCs w:val="24"/>
              </w:rPr>
            </w:pPr>
            <w:r>
              <w:rPr>
                <w:rFonts w:cs="Times New Roman"/>
                <w:sz w:val="24"/>
                <w:szCs w:val="24"/>
              </w:rPr>
              <w:t>餐厨垃圾</w:t>
            </w:r>
          </w:p>
        </w:tc>
        <w:tc>
          <w:tcPr>
            <w:tcW w:w="518" w:type="pct"/>
            <w:vMerge w:val="continue"/>
            <w:shd w:val="clear" w:color="auto" w:fill="auto"/>
            <w:vAlign w:val="center"/>
          </w:tcPr>
          <w:p w14:paraId="1DF5FE64">
            <w:pPr>
              <w:widowControl/>
              <w:snapToGrid w:val="0"/>
              <w:spacing w:line="400" w:lineRule="exact"/>
              <w:jc w:val="center"/>
              <w:rPr>
                <w:rFonts w:cs="Times New Roman"/>
                <w:kern w:val="0"/>
                <w:sz w:val="24"/>
                <w:szCs w:val="24"/>
              </w:rPr>
            </w:pPr>
          </w:p>
        </w:tc>
        <w:tc>
          <w:tcPr>
            <w:tcW w:w="503" w:type="pct"/>
            <w:shd w:val="clear" w:color="auto" w:fill="auto"/>
            <w:vAlign w:val="center"/>
          </w:tcPr>
          <w:p w14:paraId="40D61707">
            <w:pPr>
              <w:widowControl/>
              <w:snapToGrid w:val="0"/>
              <w:spacing w:line="400" w:lineRule="exact"/>
              <w:jc w:val="center"/>
              <w:rPr>
                <w:rFonts w:cs="Times New Roman"/>
                <w:sz w:val="24"/>
                <w:szCs w:val="24"/>
              </w:rPr>
            </w:pPr>
            <w:r>
              <w:rPr>
                <w:rFonts w:cs="Times New Roman"/>
                <w:sz w:val="24"/>
                <w:szCs w:val="24"/>
              </w:rPr>
              <w:t>3.74万吨</w:t>
            </w:r>
          </w:p>
        </w:tc>
        <w:tc>
          <w:tcPr>
            <w:tcW w:w="623" w:type="pct"/>
            <w:vMerge w:val="continue"/>
            <w:shd w:val="clear" w:color="auto" w:fill="auto"/>
            <w:vAlign w:val="center"/>
          </w:tcPr>
          <w:p w14:paraId="257157FC">
            <w:pPr>
              <w:widowControl/>
              <w:snapToGrid w:val="0"/>
              <w:spacing w:line="300" w:lineRule="exact"/>
              <w:jc w:val="left"/>
              <w:rPr>
                <w:rFonts w:cs="Times New Roman"/>
                <w:kern w:val="0"/>
                <w:sz w:val="24"/>
                <w:szCs w:val="24"/>
              </w:rPr>
            </w:pPr>
          </w:p>
        </w:tc>
        <w:tc>
          <w:tcPr>
            <w:tcW w:w="545" w:type="pct"/>
            <w:shd w:val="clear" w:color="auto" w:fill="auto"/>
            <w:vAlign w:val="center"/>
          </w:tcPr>
          <w:p w14:paraId="4BF0C717">
            <w:pPr>
              <w:widowControl/>
              <w:snapToGrid w:val="0"/>
              <w:spacing w:line="400" w:lineRule="exact"/>
              <w:jc w:val="center"/>
              <w:rPr>
                <w:rFonts w:cs="Times New Roman"/>
                <w:sz w:val="24"/>
                <w:szCs w:val="24"/>
              </w:rPr>
            </w:pPr>
            <w:r>
              <w:rPr>
                <w:rFonts w:cs="Times New Roman"/>
                <w:sz w:val="24"/>
                <w:szCs w:val="24"/>
              </w:rPr>
              <w:t>3.74万吨</w:t>
            </w:r>
          </w:p>
        </w:tc>
        <w:tc>
          <w:tcPr>
            <w:tcW w:w="597" w:type="pct"/>
            <w:shd w:val="clear" w:color="auto" w:fill="auto"/>
            <w:vAlign w:val="center"/>
          </w:tcPr>
          <w:p w14:paraId="49A8660D">
            <w:pPr>
              <w:widowControl/>
              <w:snapToGrid w:val="0"/>
              <w:spacing w:line="400" w:lineRule="exact"/>
              <w:jc w:val="center"/>
              <w:rPr>
                <w:rFonts w:cs="Times New Roman"/>
                <w:kern w:val="0"/>
                <w:sz w:val="24"/>
                <w:szCs w:val="24"/>
              </w:rPr>
            </w:pPr>
            <w:r>
              <w:rPr>
                <w:rFonts w:cs="Times New Roman"/>
                <w:sz w:val="24"/>
                <w:szCs w:val="24"/>
              </w:rPr>
              <w:t>3.74万吨</w:t>
            </w:r>
          </w:p>
        </w:tc>
        <w:tc>
          <w:tcPr>
            <w:tcW w:w="544" w:type="pct"/>
            <w:shd w:val="clear" w:color="auto" w:fill="auto"/>
            <w:vAlign w:val="center"/>
          </w:tcPr>
          <w:p w14:paraId="285AC33B">
            <w:pPr>
              <w:widowControl/>
              <w:snapToGrid w:val="0"/>
              <w:spacing w:line="400" w:lineRule="exact"/>
              <w:jc w:val="center"/>
              <w:rPr>
                <w:rFonts w:cs="Times New Roman"/>
                <w:sz w:val="24"/>
                <w:szCs w:val="24"/>
              </w:rPr>
            </w:pPr>
            <w:r>
              <w:rPr>
                <w:rFonts w:cs="Times New Roman"/>
                <w:sz w:val="24"/>
                <w:szCs w:val="24"/>
              </w:rPr>
              <w:t>/</w:t>
            </w:r>
          </w:p>
        </w:tc>
        <w:tc>
          <w:tcPr>
            <w:tcW w:w="430" w:type="pct"/>
            <w:shd w:val="clear" w:color="auto" w:fill="auto"/>
            <w:vAlign w:val="center"/>
          </w:tcPr>
          <w:p w14:paraId="3D720511">
            <w:pPr>
              <w:widowControl/>
              <w:snapToGrid w:val="0"/>
              <w:spacing w:line="400" w:lineRule="exact"/>
              <w:jc w:val="center"/>
              <w:rPr>
                <w:rFonts w:cs="Times New Roman"/>
                <w:kern w:val="0"/>
                <w:sz w:val="24"/>
                <w:szCs w:val="24"/>
              </w:rPr>
            </w:pPr>
            <w:r>
              <w:rPr>
                <w:rFonts w:cs="Times New Roman"/>
                <w:kern w:val="0"/>
                <w:sz w:val="24"/>
                <w:szCs w:val="24"/>
              </w:rPr>
              <w:t>/</w:t>
            </w:r>
          </w:p>
        </w:tc>
      </w:tr>
      <w:tr w14:paraId="5B18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41" w:type="pct"/>
            <w:vMerge w:val="continue"/>
            <w:vAlign w:val="center"/>
          </w:tcPr>
          <w:p w14:paraId="6C9E1B25">
            <w:pPr>
              <w:widowControl/>
              <w:snapToGrid w:val="0"/>
              <w:spacing w:line="400" w:lineRule="exact"/>
              <w:jc w:val="center"/>
              <w:rPr>
                <w:rFonts w:cs="Times New Roman"/>
                <w:b/>
                <w:bCs/>
                <w:kern w:val="0"/>
                <w:sz w:val="24"/>
                <w:szCs w:val="24"/>
              </w:rPr>
            </w:pPr>
          </w:p>
        </w:tc>
        <w:tc>
          <w:tcPr>
            <w:tcW w:w="494" w:type="pct"/>
            <w:gridSpan w:val="2"/>
            <w:shd w:val="clear" w:color="auto" w:fill="auto"/>
            <w:vAlign w:val="center"/>
          </w:tcPr>
          <w:p w14:paraId="3B868208">
            <w:pPr>
              <w:widowControl/>
              <w:snapToGrid w:val="0"/>
              <w:spacing w:line="400" w:lineRule="exact"/>
              <w:jc w:val="center"/>
              <w:rPr>
                <w:rFonts w:cs="Times New Roman"/>
                <w:kern w:val="0"/>
                <w:sz w:val="24"/>
                <w:szCs w:val="24"/>
              </w:rPr>
            </w:pPr>
            <w:r>
              <w:rPr>
                <w:rFonts w:cs="Times New Roman"/>
                <w:kern w:val="0"/>
                <w:sz w:val="24"/>
                <w:szCs w:val="24"/>
              </w:rPr>
              <w:t>厨余垃圾</w:t>
            </w:r>
          </w:p>
        </w:tc>
        <w:tc>
          <w:tcPr>
            <w:tcW w:w="518" w:type="pct"/>
            <w:vMerge w:val="continue"/>
            <w:vAlign w:val="center"/>
          </w:tcPr>
          <w:p w14:paraId="3A5E5CE5">
            <w:pPr>
              <w:widowControl/>
              <w:snapToGrid w:val="0"/>
              <w:spacing w:line="400" w:lineRule="exact"/>
              <w:jc w:val="center"/>
              <w:rPr>
                <w:rFonts w:cs="Times New Roman"/>
                <w:kern w:val="0"/>
                <w:sz w:val="24"/>
                <w:szCs w:val="24"/>
              </w:rPr>
            </w:pPr>
          </w:p>
        </w:tc>
        <w:tc>
          <w:tcPr>
            <w:tcW w:w="503" w:type="pct"/>
            <w:shd w:val="clear" w:color="auto" w:fill="auto"/>
            <w:vAlign w:val="center"/>
          </w:tcPr>
          <w:p w14:paraId="73BABB1A">
            <w:pPr>
              <w:widowControl/>
              <w:snapToGrid w:val="0"/>
              <w:spacing w:line="400" w:lineRule="exact"/>
              <w:jc w:val="center"/>
              <w:rPr>
                <w:rFonts w:cs="Times New Roman"/>
                <w:kern w:val="0"/>
                <w:sz w:val="24"/>
                <w:szCs w:val="24"/>
              </w:rPr>
            </w:pPr>
            <w:r>
              <w:rPr>
                <w:rFonts w:cs="Times New Roman"/>
                <w:sz w:val="24"/>
                <w:szCs w:val="24"/>
              </w:rPr>
              <w:t>2.67万吨</w:t>
            </w:r>
          </w:p>
        </w:tc>
        <w:tc>
          <w:tcPr>
            <w:tcW w:w="623" w:type="pct"/>
            <w:vMerge w:val="continue"/>
            <w:vAlign w:val="center"/>
          </w:tcPr>
          <w:p w14:paraId="1F547021">
            <w:pPr>
              <w:widowControl/>
              <w:snapToGrid w:val="0"/>
              <w:spacing w:line="300" w:lineRule="exact"/>
              <w:jc w:val="left"/>
              <w:rPr>
                <w:rFonts w:cs="Times New Roman"/>
                <w:kern w:val="0"/>
                <w:sz w:val="24"/>
                <w:szCs w:val="24"/>
              </w:rPr>
            </w:pPr>
          </w:p>
        </w:tc>
        <w:tc>
          <w:tcPr>
            <w:tcW w:w="545" w:type="pct"/>
            <w:shd w:val="clear" w:color="auto" w:fill="auto"/>
            <w:vAlign w:val="center"/>
          </w:tcPr>
          <w:p w14:paraId="11F5F4D1">
            <w:pPr>
              <w:widowControl/>
              <w:snapToGrid w:val="0"/>
              <w:spacing w:line="400" w:lineRule="exact"/>
              <w:jc w:val="center"/>
              <w:rPr>
                <w:rFonts w:cs="Times New Roman"/>
                <w:kern w:val="0"/>
                <w:sz w:val="24"/>
                <w:szCs w:val="24"/>
              </w:rPr>
            </w:pPr>
            <w:r>
              <w:rPr>
                <w:rFonts w:cs="Times New Roman"/>
                <w:sz w:val="24"/>
                <w:szCs w:val="24"/>
              </w:rPr>
              <w:t>2.67万吨</w:t>
            </w:r>
          </w:p>
        </w:tc>
        <w:tc>
          <w:tcPr>
            <w:tcW w:w="597" w:type="pct"/>
            <w:shd w:val="clear" w:color="auto" w:fill="auto"/>
            <w:vAlign w:val="center"/>
          </w:tcPr>
          <w:p w14:paraId="2D279606">
            <w:pPr>
              <w:widowControl/>
              <w:snapToGrid w:val="0"/>
              <w:spacing w:line="400" w:lineRule="exact"/>
              <w:jc w:val="center"/>
              <w:rPr>
                <w:rFonts w:cs="Times New Roman"/>
                <w:kern w:val="0"/>
                <w:sz w:val="24"/>
                <w:szCs w:val="24"/>
              </w:rPr>
            </w:pPr>
            <w:r>
              <w:rPr>
                <w:rFonts w:cs="Times New Roman"/>
                <w:sz w:val="24"/>
                <w:szCs w:val="24"/>
              </w:rPr>
              <w:t>2.67万吨</w:t>
            </w:r>
          </w:p>
        </w:tc>
        <w:tc>
          <w:tcPr>
            <w:tcW w:w="544" w:type="pct"/>
            <w:shd w:val="clear" w:color="auto" w:fill="auto"/>
            <w:vAlign w:val="center"/>
          </w:tcPr>
          <w:p w14:paraId="78BEC50B">
            <w:pPr>
              <w:widowControl/>
              <w:snapToGrid w:val="0"/>
              <w:spacing w:line="400" w:lineRule="exact"/>
              <w:jc w:val="center"/>
              <w:rPr>
                <w:rFonts w:cs="Times New Roman"/>
                <w:kern w:val="0"/>
                <w:sz w:val="24"/>
                <w:szCs w:val="24"/>
              </w:rPr>
            </w:pPr>
            <w:r>
              <w:rPr>
                <w:rFonts w:cs="Times New Roman"/>
                <w:sz w:val="24"/>
                <w:szCs w:val="24"/>
              </w:rPr>
              <w:t>/</w:t>
            </w:r>
          </w:p>
        </w:tc>
        <w:tc>
          <w:tcPr>
            <w:tcW w:w="430" w:type="pct"/>
            <w:shd w:val="clear" w:color="auto" w:fill="auto"/>
            <w:vAlign w:val="center"/>
          </w:tcPr>
          <w:p w14:paraId="79485402">
            <w:pPr>
              <w:widowControl/>
              <w:snapToGrid w:val="0"/>
              <w:spacing w:line="400" w:lineRule="exact"/>
              <w:jc w:val="center"/>
              <w:rPr>
                <w:rFonts w:cs="Times New Roman"/>
                <w:kern w:val="0"/>
                <w:sz w:val="24"/>
                <w:szCs w:val="24"/>
              </w:rPr>
            </w:pPr>
            <w:r>
              <w:rPr>
                <w:rFonts w:cs="Times New Roman"/>
                <w:kern w:val="0"/>
                <w:sz w:val="24"/>
                <w:szCs w:val="24"/>
              </w:rPr>
              <w:t>/</w:t>
            </w:r>
          </w:p>
        </w:tc>
      </w:tr>
      <w:tr w14:paraId="4B50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41" w:type="pct"/>
            <w:vMerge w:val="continue"/>
            <w:vAlign w:val="center"/>
          </w:tcPr>
          <w:p w14:paraId="711B5288">
            <w:pPr>
              <w:widowControl/>
              <w:snapToGrid w:val="0"/>
              <w:spacing w:line="400" w:lineRule="exact"/>
              <w:jc w:val="center"/>
              <w:rPr>
                <w:rFonts w:cs="Times New Roman"/>
                <w:b/>
                <w:bCs/>
                <w:kern w:val="0"/>
                <w:sz w:val="24"/>
                <w:szCs w:val="24"/>
              </w:rPr>
            </w:pPr>
          </w:p>
        </w:tc>
        <w:tc>
          <w:tcPr>
            <w:tcW w:w="494" w:type="pct"/>
            <w:gridSpan w:val="2"/>
            <w:shd w:val="clear" w:color="auto" w:fill="auto"/>
            <w:vAlign w:val="center"/>
          </w:tcPr>
          <w:p w14:paraId="4572AF2C">
            <w:pPr>
              <w:widowControl/>
              <w:snapToGrid w:val="0"/>
              <w:spacing w:line="400" w:lineRule="exact"/>
              <w:jc w:val="center"/>
              <w:rPr>
                <w:rFonts w:cs="Times New Roman"/>
                <w:kern w:val="0"/>
                <w:sz w:val="24"/>
                <w:szCs w:val="24"/>
              </w:rPr>
            </w:pPr>
            <w:r>
              <w:rPr>
                <w:rFonts w:cs="Times New Roman"/>
                <w:sz w:val="24"/>
                <w:szCs w:val="24"/>
              </w:rPr>
              <w:t>可回收物</w:t>
            </w:r>
          </w:p>
        </w:tc>
        <w:tc>
          <w:tcPr>
            <w:tcW w:w="518" w:type="pct"/>
            <w:vMerge w:val="continue"/>
            <w:vAlign w:val="center"/>
          </w:tcPr>
          <w:p w14:paraId="098CCAF1">
            <w:pPr>
              <w:widowControl/>
              <w:snapToGrid w:val="0"/>
              <w:spacing w:line="400" w:lineRule="exact"/>
              <w:jc w:val="center"/>
              <w:rPr>
                <w:rFonts w:cs="Times New Roman"/>
                <w:kern w:val="0"/>
                <w:sz w:val="24"/>
                <w:szCs w:val="24"/>
              </w:rPr>
            </w:pPr>
          </w:p>
        </w:tc>
        <w:tc>
          <w:tcPr>
            <w:tcW w:w="503" w:type="pct"/>
            <w:shd w:val="clear" w:color="auto" w:fill="auto"/>
            <w:vAlign w:val="center"/>
          </w:tcPr>
          <w:p w14:paraId="47345299">
            <w:pPr>
              <w:widowControl/>
              <w:snapToGrid w:val="0"/>
              <w:spacing w:line="400" w:lineRule="exact"/>
              <w:jc w:val="center"/>
              <w:rPr>
                <w:rFonts w:cs="Times New Roman"/>
                <w:kern w:val="0"/>
                <w:sz w:val="24"/>
                <w:szCs w:val="24"/>
              </w:rPr>
            </w:pPr>
            <w:r>
              <w:rPr>
                <w:rFonts w:cs="Times New Roman"/>
                <w:sz w:val="24"/>
                <w:szCs w:val="24"/>
              </w:rPr>
              <w:t>3.52万吨</w:t>
            </w:r>
          </w:p>
        </w:tc>
        <w:tc>
          <w:tcPr>
            <w:tcW w:w="623" w:type="pct"/>
            <w:vMerge w:val="continue"/>
            <w:vAlign w:val="center"/>
          </w:tcPr>
          <w:p w14:paraId="70397D4D">
            <w:pPr>
              <w:widowControl/>
              <w:snapToGrid w:val="0"/>
              <w:spacing w:line="300" w:lineRule="exact"/>
              <w:jc w:val="left"/>
              <w:rPr>
                <w:rFonts w:cs="Times New Roman"/>
                <w:kern w:val="0"/>
                <w:sz w:val="24"/>
                <w:szCs w:val="24"/>
              </w:rPr>
            </w:pPr>
          </w:p>
        </w:tc>
        <w:tc>
          <w:tcPr>
            <w:tcW w:w="545" w:type="pct"/>
            <w:shd w:val="clear" w:color="auto" w:fill="auto"/>
            <w:vAlign w:val="center"/>
          </w:tcPr>
          <w:p w14:paraId="09316B2A">
            <w:pPr>
              <w:widowControl/>
              <w:snapToGrid w:val="0"/>
              <w:spacing w:line="400" w:lineRule="exact"/>
              <w:jc w:val="center"/>
              <w:rPr>
                <w:rFonts w:cs="Times New Roman"/>
                <w:kern w:val="0"/>
                <w:sz w:val="24"/>
                <w:szCs w:val="24"/>
              </w:rPr>
            </w:pPr>
            <w:r>
              <w:rPr>
                <w:rFonts w:cs="Times New Roman"/>
                <w:sz w:val="24"/>
                <w:szCs w:val="24"/>
              </w:rPr>
              <w:t>3.52万吨</w:t>
            </w:r>
          </w:p>
        </w:tc>
        <w:tc>
          <w:tcPr>
            <w:tcW w:w="597" w:type="pct"/>
            <w:shd w:val="clear" w:color="auto" w:fill="auto"/>
            <w:vAlign w:val="center"/>
          </w:tcPr>
          <w:p w14:paraId="31B4A61E">
            <w:pPr>
              <w:widowControl/>
              <w:snapToGrid w:val="0"/>
              <w:spacing w:line="400" w:lineRule="exact"/>
              <w:jc w:val="center"/>
              <w:rPr>
                <w:rFonts w:cs="Times New Roman"/>
                <w:kern w:val="0"/>
                <w:sz w:val="24"/>
                <w:szCs w:val="24"/>
              </w:rPr>
            </w:pPr>
            <w:r>
              <w:rPr>
                <w:rFonts w:cs="Times New Roman"/>
                <w:sz w:val="24"/>
                <w:szCs w:val="24"/>
              </w:rPr>
              <w:t>3.52万吨</w:t>
            </w:r>
          </w:p>
        </w:tc>
        <w:tc>
          <w:tcPr>
            <w:tcW w:w="544" w:type="pct"/>
            <w:shd w:val="clear" w:color="auto" w:fill="auto"/>
            <w:vAlign w:val="center"/>
          </w:tcPr>
          <w:p w14:paraId="3895E748">
            <w:pPr>
              <w:widowControl/>
              <w:snapToGrid w:val="0"/>
              <w:spacing w:line="400" w:lineRule="exact"/>
              <w:jc w:val="center"/>
              <w:rPr>
                <w:rFonts w:cs="Times New Roman"/>
                <w:kern w:val="0"/>
                <w:sz w:val="24"/>
                <w:szCs w:val="24"/>
              </w:rPr>
            </w:pPr>
            <w:r>
              <w:rPr>
                <w:rFonts w:cs="Times New Roman"/>
                <w:kern w:val="0"/>
                <w:sz w:val="24"/>
                <w:szCs w:val="24"/>
              </w:rPr>
              <w:t>/</w:t>
            </w:r>
          </w:p>
        </w:tc>
        <w:tc>
          <w:tcPr>
            <w:tcW w:w="430" w:type="pct"/>
            <w:shd w:val="clear" w:color="auto" w:fill="auto"/>
            <w:vAlign w:val="center"/>
          </w:tcPr>
          <w:p w14:paraId="6F5A3145">
            <w:pPr>
              <w:widowControl/>
              <w:snapToGrid w:val="0"/>
              <w:spacing w:line="400" w:lineRule="exact"/>
              <w:jc w:val="center"/>
              <w:rPr>
                <w:rFonts w:cs="Times New Roman"/>
                <w:kern w:val="0"/>
                <w:sz w:val="24"/>
                <w:szCs w:val="24"/>
              </w:rPr>
            </w:pPr>
            <w:r>
              <w:rPr>
                <w:rFonts w:cs="Times New Roman"/>
                <w:kern w:val="0"/>
                <w:sz w:val="24"/>
                <w:szCs w:val="24"/>
              </w:rPr>
              <w:t>/</w:t>
            </w:r>
          </w:p>
        </w:tc>
      </w:tr>
      <w:tr w14:paraId="23E8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41" w:type="pct"/>
            <w:vMerge w:val="continue"/>
            <w:vAlign w:val="center"/>
          </w:tcPr>
          <w:p w14:paraId="3A47D7C7">
            <w:pPr>
              <w:widowControl/>
              <w:snapToGrid w:val="0"/>
              <w:spacing w:line="400" w:lineRule="exact"/>
              <w:jc w:val="center"/>
              <w:rPr>
                <w:rFonts w:cs="Times New Roman"/>
                <w:b/>
                <w:bCs/>
                <w:kern w:val="0"/>
                <w:sz w:val="24"/>
                <w:szCs w:val="24"/>
              </w:rPr>
            </w:pPr>
          </w:p>
        </w:tc>
        <w:tc>
          <w:tcPr>
            <w:tcW w:w="494" w:type="pct"/>
            <w:gridSpan w:val="2"/>
            <w:shd w:val="clear" w:color="auto" w:fill="auto"/>
            <w:vAlign w:val="center"/>
          </w:tcPr>
          <w:p w14:paraId="01DBDCD3">
            <w:pPr>
              <w:widowControl/>
              <w:snapToGrid w:val="0"/>
              <w:spacing w:line="400" w:lineRule="exact"/>
              <w:jc w:val="center"/>
              <w:rPr>
                <w:rFonts w:cs="Times New Roman"/>
                <w:kern w:val="0"/>
                <w:sz w:val="24"/>
                <w:szCs w:val="24"/>
              </w:rPr>
            </w:pPr>
            <w:r>
              <w:rPr>
                <w:rFonts w:cs="Times New Roman"/>
                <w:sz w:val="24"/>
                <w:szCs w:val="24"/>
              </w:rPr>
              <w:t>有害垃圾</w:t>
            </w:r>
          </w:p>
        </w:tc>
        <w:tc>
          <w:tcPr>
            <w:tcW w:w="518" w:type="pct"/>
            <w:vMerge w:val="continue"/>
            <w:vAlign w:val="center"/>
          </w:tcPr>
          <w:p w14:paraId="2972E7CC">
            <w:pPr>
              <w:widowControl/>
              <w:snapToGrid w:val="0"/>
              <w:spacing w:line="400" w:lineRule="exact"/>
              <w:jc w:val="center"/>
              <w:rPr>
                <w:rFonts w:cs="Times New Roman"/>
                <w:kern w:val="0"/>
                <w:sz w:val="24"/>
                <w:szCs w:val="24"/>
              </w:rPr>
            </w:pPr>
          </w:p>
        </w:tc>
        <w:tc>
          <w:tcPr>
            <w:tcW w:w="503" w:type="pct"/>
            <w:shd w:val="clear" w:color="auto" w:fill="auto"/>
            <w:vAlign w:val="center"/>
          </w:tcPr>
          <w:p w14:paraId="0890D13B">
            <w:pPr>
              <w:widowControl/>
              <w:snapToGrid w:val="0"/>
              <w:spacing w:line="400" w:lineRule="exact"/>
              <w:jc w:val="center"/>
              <w:rPr>
                <w:rFonts w:cs="Times New Roman"/>
                <w:kern w:val="0"/>
                <w:sz w:val="24"/>
                <w:szCs w:val="24"/>
              </w:rPr>
            </w:pPr>
            <w:r>
              <w:rPr>
                <w:rFonts w:cs="Times New Roman"/>
                <w:sz w:val="24"/>
                <w:szCs w:val="24"/>
              </w:rPr>
              <w:t>2.24吨</w:t>
            </w:r>
          </w:p>
        </w:tc>
        <w:tc>
          <w:tcPr>
            <w:tcW w:w="623" w:type="pct"/>
            <w:vMerge w:val="continue"/>
            <w:vAlign w:val="center"/>
          </w:tcPr>
          <w:p w14:paraId="35B1B6B6">
            <w:pPr>
              <w:widowControl/>
              <w:snapToGrid w:val="0"/>
              <w:spacing w:line="300" w:lineRule="exact"/>
              <w:jc w:val="left"/>
              <w:rPr>
                <w:rFonts w:cs="Times New Roman"/>
                <w:kern w:val="0"/>
                <w:sz w:val="24"/>
                <w:szCs w:val="24"/>
              </w:rPr>
            </w:pPr>
          </w:p>
        </w:tc>
        <w:tc>
          <w:tcPr>
            <w:tcW w:w="545" w:type="pct"/>
            <w:shd w:val="clear" w:color="auto" w:fill="auto"/>
            <w:vAlign w:val="center"/>
          </w:tcPr>
          <w:p w14:paraId="4535A236">
            <w:pPr>
              <w:widowControl/>
              <w:snapToGrid w:val="0"/>
              <w:spacing w:line="400" w:lineRule="exact"/>
              <w:jc w:val="center"/>
              <w:rPr>
                <w:rFonts w:cs="Times New Roman"/>
                <w:kern w:val="0"/>
                <w:sz w:val="24"/>
                <w:szCs w:val="24"/>
              </w:rPr>
            </w:pPr>
            <w:r>
              <w:rPr>
                <w:rFonts w:cs="Times New Roman"/>
                <w:sz w:val="24"/>
                <w:szCs w:val="24"/>
              </w:rPr>
              <w:t>2.24吨</w:t>
            </w:r>
          </w:p>
        </w:tc>
        <w:tc>
          <w:tcPr>
            <w:tcW w:w="597" w:type="pct"/>
            <w:shd w:val="clear" w:color="auto" w:fill="auto"/>
            <w:vAlign w:val="center"/>
          </w:tcPr>
          <w:p w14:paraId="17973538">
            <w:pPr>
              <w:widowControl/>
              <w:snapToGrid w:val="0"/>
              <w:spacing w:line="400" w:lineRule="exact"/>
              <w:jc w:val="center"/>
              <w:rPr>
                <w:rFonts w:cs="Times New Roman"/>
                <w:kern w:val="0"/>
                <w:sz w:val="24"/>
                <w:szCs w:val="24"/>
              </w:rPr>
            </w:pPr>
            <w:r>
              <w:rPr>
                <w:rFonts w:cs="Times New Roman"/>
                <w:kern w:val="0"/>
                <w:sz w:val="24"/>
                <w:szCs w:val="24"/>
              </w:rPr>
              <w:t>/</w:t>
            </w:r>
          </w:p>
        </w:tc>
        <w:tc>
          <w:tcPr>
            <w:tcW w:w="544" w:type="pct"/>
            <w:shd w:val="clear" w:color="auto" w:fill="auto"/>
            <w:vAlign w:val="center"/>
          </w:tcPr>
          <w:p w14:paraId="7FCD121B">
            <w:pPr>
              <w:widowControl/>
              <w:snapToGrid w:val="0"/>
              <w:spacing w:line="400" w:lineRule="exact"/>
              <w:jc w:val="center"/>
              <w:rPr>
                <w:rFonts w:cs="Times New Roman"/>
                <w:kern w:val="0"/>
                <w:sz w:val="24"/>
                <w:szCs w:val="24"/>
              </w:rPr>
            </w:pPr>
            <w:r>
              <w:rPr>
                <w:rFonts w:cs="Times New Roman"/>
                <w:sz w:val="24"/>
                <w:szCs w:val="24"/>
              </w:rPr>
              <w:t>2.24吨</w:t>
            </w:r>
          </w:p>
        </w:tc>
        <w:tc>
          <w:tcPr>
            <w:tcW w:w="430" w:type="pct"/>
            <w:shd w:val="clear" w:color="auto" w:fill="auto"/>
            <w:vAlign w:val="center"/>
          </w:tcPr>
          <w:p w14:paraId="669AEAD8">
            <w:pPr>
              <w:widowControl/>
              <w:snapToGrid w:val="0"/>
              <w:spacing w:line="400" w:lineRule="exact"/>
              <w:jc w:val="center"/>
              <w:rPr>
                <w:rFonts w:cs="Times New Roman"/>
                <w:kern w:val="0"/>
                <w:sz w:val="24"/>
                <w:szCs w:val="24"/>
              </w:rPr>
            </w:pPr>
            <w:r>
              <w:rPr>
                <w:rFonts w:cs="Times New Roman"/>
                <w:kern w:val="0"/>
                <w:sz w:val="24"/>
                <w:szCs w:val="24"/>
              </w:rPr>
              <w:t>/</w:t>
            </w:r>
          </w:p>
        </w:tc>
      </w:tr>
      <w:tr w14:paraId="108E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1" w:type="pct"/>
            <w:vMerge w:val="restart"/>
            <w:shd w:val="clear" w:color="auto" w:fill="auto"/>
            <w:vAlign w:val="center"/>
          </w:tcPr>
          <w:p w14:paraId="01C235BD">
            <w:pPr>
              <w:widowControl/>
              <w:snapToGrid w:val="0"/>
              <w:spacing w:line="400" w:lineRule="exact"/>
              <w:jc w:val="center"/>
              <w:rPr>
                <w:rFonts w:cs="Times New Roman"/>
                <w:b/>
                <w:bCs/>
                <w:kern w:val="0"/>
                <w:sz w:val="24"/>
                <w:szCs w:val="24"/>
              </w:rPr>
            </w:pPr>
            <w:r>
              <w:rPr>
                <w:rFonts w:cs="Times New Roman"/>
                <w:b/>
                <w:bCs/>
                <w:kern w:val="0"/>
                <w:sz w:val="24"/>
                <w:szCs w:val="24"/>
              </w:rPr>
              <w:t>建筑垃圾</w:t>
            </w:r>
          </w:p>
        </w:tc>
        <w:tc>
          <w:tcPr>
            <w:tcW w:w="494" w:type="pct"/>
            <w:gridSpan w:val="2"/>
            <w:shd w:val="clear" w:color="auto" w:fill="auto"/>
            <w:vAlign w:val="center"/>
          </w:tcPr>
          <w:p w14:paraId="32C27E7F">
            <w:pPr>
              <w:widowControl/>
              <w:snapToGrid w:val="0"/>
              <w:spacing w:line="400" w:lineRule="exact"/>
              <w:jc w:val="center"/>
              <w:rPr>
                <w:rFonts w:cs="Times New Roman"/>
                <w:kern w:val="0"/>
                <w:sz w:val="24"/>
                <w:szCs w:val="24"/>
              </w:rPr>
            </w:pPr>
            <w:r>
              <w:rPr>
                <w:rFonts w:cs="Times New Roman"/>
                <w:kern w:val="0"/>
                <w:sz w:val="24"/>
                <w:szCs w:val="24"/>
              </w:rPr>
              <w:t>拆除垃圾</w:t>
            </w:r>
          </w:p>
        </w:tc>
        <w:tc>
          <w:tcPr>
            <w:tcW w:w="518" w:type="pct"/>
            <w:vMerge w:val="restart"/>
            <w:shd w:val="clear" w:color="auto" w:fill="auto"/>
            <w:vAlign w:val="center"/>
          </w:tcPr>
          <w:p w14:paraId="4087356B">
            <w:pPr>
              <w:widowControl/>
              <w:snapToGrid w:val="0"/>
              <w:spacing w:line="400" w:lineRule="exact"/>
              <w:jc w:val="center"/>
              <w:rPr>
                <w:rFonts w:cs="Times New Roman"/>
                <w:kern w:val="0"/>
                <w:sz w:val="24"/>
                <w:szCs w:val="24"/>
              </w:rPr>
            </w:pPr>
            <w:r>
              <w:rPr>
                <w:rFonts w:cs="Times New Roman"/>
                <w:kern w:val="0"/>
                <w:sz w:val="24"/>
                <w:szCs w:val="24"/>
              </w:rPr>
              <w:t>1.59</w:t>
            </w:r>
          </w:p>
          <w:p w14:paraId="6106B2A2">
            <w:pPr>
              <w:widowControl/>
              <w:snapToGrid w:val="0"/>
              <w:spacing w:line="400" w:lineRule="exact"/>
              <w:jc w:val="center"/>
              <w:rPr>
                <w:rFonts w:cs="Times New Roman"/>
                <w:kern w:val="0"/>
                <w:sz w:val="24"/>
                <w:szCs w:val="24"/>
              </w:rPr>
            </w:pPr>
            <w:r>
              <w:rPr>
                <w:rFonts w:cs="Times New Roman"/>
                <w:kern w:val="0"/>
                <w:sz w:val="24"/>
                <w:szCs w:val="24"/>
              </w:rPr>
              <w:t>万吨</w:t>
            </w:r>
          </w:p>
          <w:p w14:paraId="0F331C3E">
            <w:pPr>
              <w:widowControl/>
              <w:snapToGrid w:val="0"/>
              <w:spacing w:line="400" w:lineRule="exact"/>
              <w:jc w:val="center"/>
              <w:rPr>
                <w:rFonts w:cs="Times New Roman"/>
                <w:kern w:val="0"/>
                <w:sz w:val="24"/>
                <w:szCs w:val="24"/>
              </w:rPr>
            </w:pPr>
            <w:r>
              <w:rPr>
                <w:rFonts w:cs="Times New Roman"/>
                <w:kern w:val="0"/>
                <w:sz w:val="24"/>
                <w:szCs w:val="24"/>
              </w:rPr>
              <w:t>（拆除）</w:t>
            </w:r>
          </w:p>
        </w:tc>
        <w:tc>
          <w:tcPr>
            <w:tcW w:w="503" w:type="pct"/>
            <w:shd w:val="clear" w:color="auto" w:fill="auto"/>
            <w:vAlign w:val="center"/>
          </w:tcPr>
          <w:p w14:paraId="37B9B26E">
            <w:pPr>
              <w:widowControl/>
              <w:snapToGrid w:val="0"/>
              <w:spacing w:line="400" w:lineRule="exact"/>
              <w:jc w:val="center"/>
              <w:rPr>
                <w:rFonts w:cs="Times New Roman"/>
                <w:kern w:val="0"/>
                <w:sz w:val="24"/>
                <w:szCs w:val="24"/>
              </w:rPr>
            </w:pPr>
            <w:r>
              <w:rPr>
                <w:rFonts w:cs="Times New Roman"/>
                <w:kern w:val="0"/>
                <w:sz w:val="24"/>
                <w:szCs w:val="24"/>
              </w:rPr>
              <w:t>1.59万吨</w:t>
            </w:r>
          </w:p>
        </w:tc>
        <w:tc>
          <w:tcPr>
            <w:tcW w:w="623" w:type="pct"/>
            <w:shd w:val="clear" w:color="auto" w:fill="auto"/>
            <w:vAlign w:val="center"/>
          </w:tcPr>
          <w:p w14:paraId="70A3DE01">
            <w:pPr>
              <w:widowControl/>
              <w:snapToGrid w:val="0"/>
              <w:spacing w:line="300" w:lineRule="exact"/>
              <w:jc w:val="left"/>
              <w:rPr>
                <w:rFonts w:cs="Times New Roman"/>
                <w:kern w:val="0"/>
                <w:sz w:val="24"/>
                <w:szCs w:val="24"/>
              </w:rPr>
            </w:pPr>
            <w:r>
              <w:rPr>
                <w:rFonts w:cs="Times New Roman"/>
                <w:kern w:val="0"/>
                <w:sz w:val="24"/>
                <w:szCs w:val="24"/>
              </w:rPr>
              <w:t>专业运输单位运送至建筑垃圾资源化利用企业</w:t>
            </w:r>
          </w:p>
        </w:tc>
        <w:tc>
          <w:tcPr>
            <w:tcW w:w="545" w:type="pct"/>
            <w:shd w:val="clear" w:color="auto" w:fill="auto"/>
            <w:vAlign w:val="center"/>
          </w:tcPr>
          <w:p w14:paraId="7072AEF7">
            <w:pPr>
              <w:widowControl/>
              <w:snapToGrid w:val="0"/>
              <w:spacing w:line="400" w:lineRule="exact"/>
              <w:jc w:val="center"/>
              <w:rPr>
                <w:rFonts w:cs="Times New Roman"/>
                <w:kern w:val="0"/>
                <w:sz w:val="24"/>
                <w:szCs w:val="24"/>
              </w:rPr>
            </w:pPr>
            <w:r>
              <w:rPr>
                <w:rFonts w:cs="Times New Roman"/>
                <w:kern w:val="0"/>
                <w:sz w:val="24"/>
                <w:szCs w:val="24"/>
              </w:rPr>
              <w:t>1.59万吨</w:t>
            </w:r>
          </w:p>
        </w:tc>
        <w:tc>
          <w:tcPr>
            <w:tcW w:w="597" w:type="pct"/>
            <w:shd w:val="clear" w:color="auto" w:fill="auto"/>
            <w:vAlign w:val="center"/>
          </w:tcPr>
          <w:p w14:paraId="23372CDD">
            <w:pPr>
              <w:widowControl/>
              <w:snapToGrid w:val="0"/>
              <w:spacing w:line="400" w:lineRule="exact"/>
              <w:jc w:val="center"/>
              <w:rPr>
                <w:rFonts w:cs="Times New Roman"/>
                <w:kern w:val="0"/>
                <w:sz w:val="24"/>
                <w:szCs w:val="24"/>
              </w:rPr>
            </w:pPr>
            <w:r>
              <w:rPr>
                <w:rFonts w:cs="Times New Roman"/>
                <w:kern w:val="0"/>
                <w:sz w:val="24"/>
                <w:szCs w:val="24"/>
              </w:rPr>
              <w:t>/</w:t>
            </w:r>
          </w:p>
        </w:tc>
        <w:tc>
          <w:tcPr>
            <w:tcW w:w="544" w:type="pct"/>
            <w:shd w:val="clear" w:color="auto" w:fill="auto"/>
            <w:vAlign w:val="center"/>
          </w:tcPr>
          <w:p w14:paraId="010F143C">
            <w:pPr>
              <w:widowControl/>
              <w:snapToGrid w:val="0"/>
              <w:spacing w:line="400" w:lineRule="exact"/>
              <w:jc w:val="center"/>
              <w:rPr>
                <w:rFonts w:cs="Times New Roman"/>
                <w:kern w:val="0"/>
                <w:sz w:val="24"/>
                <w:szCs w:val="24"/>
              </w:rPr>
            </w:pPr>
            <w:r>
              <w:rPr>
                <w:rFonts w:cs="Times New Roman"/>
                <w:kern w:val="0"/>
                <w:sz w:val="24"/>
                <w:szCs w:val="24"/>
              </w:rPr>
              <w:t>/</w:t>
            </w:r>
          </w:p>
        </w:tc>
        <w:tc>
          <w:tcPr>
            <w:tcW w:w="430" w:type="pct"/>
            <w:shd w:val="clear" w:color="auto" w:fill="auto"/>
            <w:vAlign w:val="center"/>
          </w:tcPr>
          <w:p w14:paraId="0D989805">
            <w:pPr>
              <w:widowControl/>
              <w:snapToGrid w:val="0"/>
              <w:spacing w:line="400" w:lineRule="exact"/>
              <w:jc w:val="center"/>
              <w:rPr>
                <w:rFonts w:cs="Times New Roman"/>
                <w:kern w:val="0"/>
                <w:sz w:val="24"/>
                <w:szCs w:val="24"/>
              </w:rPr>
            </w:pPr>
            <w:r>
              <w:rPr>
                <w:rFonts w:cs="Times New Roman"/>
                <w:kern w:val="0"/>
                <w:sz w:val="24"/>
                <w:szCs w:val="24"/>
              </w:rPr>
              <w:t>/</w:t>
            </w:r>
          </w:p>
        </w:tc>
      </w:tr>
      <w:tr w14:paraId="25EF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1" w:type="pct"/>
            <w:vMerge w:val="continue"/>
            <w:vAlign w:val="center"/>
          </w:tcPr>
          <w:p w14:paraId="6B6C8BE5">
            <w:pPr>
              <w:widowControl/>
              <w:snapToGrid w:val="0"/>
              <w:spacing w:line="400" w:lineRule="exact"/>
              <w:jc w:val="center"/>
              <w:rPr>
                <w:rFonts w:cs="Times New Roman"/>
                <w:b/>
                <w:bCs/>
                <w:kern w:val="0"/>
                <w:sz w:val="24"/>
                <w:szCs w:val="24"/>
              </w:rPr>
            </w:pPr>
          </w:p>
        </w:tc>
        <w:tc>
          <w:tcPr>
            <w:tcW w:w="494" w:type="pct"/>
            <w:gridSpan w:val="2"/>
            <w:shd w:val="clear" w:color="auto" w:fill="auto"/>
            <w:vAlign w:val="center"/>
          </w:tcPr>
          <w:p w14:paraId="57B7CA79">
            <w:pPr>
              <w:widowControl/>
              <w:snapToGrid w:val="0"/>
              <w:spacing w:line="400" w:lineRule="exact"/>
              <w:jc w:val="center"/>
              <w:rPr>
                <w:rFonts w:cs="Times New Roman"/>
                <w:kern w:val="0"/>
                <w:sz w:val="24"/>
                <w:szCs w:val="24"/>
              </w:rPr>
            </w:pPr>
            <w:r>
              <w:rPr>
                <w:rFonts w:cs="Times New Roman"/>
                <w:kern w:val="0"/>
                <w:sz w:val="24"/>
                <w:szCs w:val="24"/>
              </w:rPr>
              <w:t>装修垃圾</w:t>
            </w:r>
          </w:p>
        </w:tc>
        <w:tc>
          <w:tcPr>
            <w:tcW w:w="518" w:type="pct"/>
            <w:vMerge w:val="continue"/>
            <w:vAlign w:val="center"/>
          </w:tcPr>
          <w:p w14:paraId="385D0D6A">
            <w:pPr>
              <w:widowControl/>
              <w:snapToGrid w:val="0"/>
              <w:spacing w:line="400" w:lineRule="exact"/>
              <w:jc w:val="center"/>
              <w:rPr>
                <w:rFonts w:cs="Times New Roman"/>
                <w:kern w:val="0"/>
                <w:sz w:val="24"/>
                <w:szCs w:val="24"/>
              </w:rPr>
            </w:pPr>
          </w:p>
        </w:tc>
        <w:tc>
          <w:tcPr>
            <w:tcW w:w="503" w:type="pct"/>
            <w:shd w:val="clear" w:color="auto" w:fill="auto"/>
            <w:vAlign w:val="center"/>
          </w:tcPr>
          <w:p w14:paraId="2E96C45F">
            <w:pPr>
              <w:widowControl/>
              <w:snapToGrid w:val="0"/>
              <w:spacing w:line="400" w:lineRule="exact"/>
              <w:jc w:val="center"/>
              <w:rPr>
                <w:rFonts w:cs="Times New Roman"/>
                <w:kern w:val="0"/>
                <w:sz w:val="24"/>
                <w:szCs w:val="24"/>
              </w:rPr>
            </w:pPr>
            <w:r>
              <w:rPr>
                <w:rFonts w:cs="Times New Roman"/>
                <w:kern w:val="0"/>
                <w:sz w:val="24"/>
                <w:szCs w:val="24"/>
              </w:rPr>
              <w:t>/</w:t>
            </w:r>
          </w:p>
        </w:tc>
        <w:tc>
          <w:tcPr>
            <w:tcW w:w="623" w:type="pct"/>
            <w:shd w:val="clear" w:color="auto" w:fill="auto"/>
            <w:vAlign w:val="center"/>
          </w:tcPr>
          <w:p w14:paraId="5C8311C2">
            <w:pPr>
              <w:widowControl/>
              <w:snapToGrid w:val="0"/>
              <w:spacing w:line="280" w:lineRule="exact"/>
              <w:jc w:val="left"/>
              <w:rPr>
                <w:rFonts w:cs="Times New Roman"/>
                <w:kern w:val="0"/>
                <w:sz w:val="24"/>
                <w:szCs w:val="24"/>
              </w:rPr>
            </w:pPr>
            <w:r>
              <w:rPr>
                <w:rFonts w:cs="Times New Roman"/>
                <w:kern w:val="0"/>
                <w:sz w:val="24"/>
                <w:szCs w:val="24"/>
              </w:rPr>
              <w:t>居民电话预约，收运至属地街道的建装垃圾暂存点，分类后专车送到大件分拣中心</w:t>
            </w:r>
          </w:p>
        </w:tc>
        <w:tc>
          <w:tcPr>
            <w:tcW w:w="545" w:type="pct"/>
            <w:shd w:val="clear" w:color="auto" w:fill="auto"/>
            <w:vAlign w:val="center"/>
          </w:tcPr>
          <w:p w14:paraId="4A77B032">
            <w:pPr>
              <w:widowControl/>
              <w:snapToGrid w:val="0"/>
              <w:spacing w:line="400" w:lineRule="exact"/>
              <w:jc w:val="center"/>
              <w:rPr>
                <w:rFonts w:cs="Times New Roman"/>
                <w:kern w:val="0"/>
                <w:sz w:val="24"/>
                <w:szCs w:val="24"/>
              </w:rPr>
            </w:pPr>
            <w:r>
              <w:rPr>
                <w:rFonts w:cs="Times New Roman"/>
                <w:kern w:val="0"/>
                <w:sz w:val="24"/>
                <w:szCs w:val="24"/>
              </w:rPr>
              <w:t>/</w:t>
            </w:r>
          </w:p>
        </w:tc>
        <w:tc>
          <w:tcPr>
            <w:tcW w:w="597" w:type="pct"/>
            <w:shd w:val="clear" w:color="auto" w:fill="auto"/>
            <w:vAlign w:val="center"/>
          </w:tcPr>
          <w:p w14:paraId="4AFB0D56">
            <w:pPr>
              <w:widowControl/>
              <w:snapToGrid w:val="0"/>
              <w:spacing w:line="400" w:lineRule="exact"/>
              <w:jc w:val="center"/>
              <w:rPr>
                <w:rFonts w:cs="Times New Roman"/>
                <w:kern w:val="0"/>
                <w:sz w:val="24"/>
                <w:szCs w:val="24"/>
              </w:rPr>
            </w:pPr>
            <w:r>
              <w:rPr>
                <w:rFonts w:cs="Times New Roman"/>
                <w:kern w:val="0"/>
                <w:sz w:val="24"/>
                <w:szCs w:val="24"/>
              </w:rPr>
              <w:t>/</w:t>
            </w:r>
          </w:p>
        </w:tc>
        <w:tc>
          <w:tcPr>
            <w:tcW w:w="544" w:type="pct"/>
            <w:shd w:val="clear" w:color="auto" w:fill="auto"/>
            <w:vAlign w:val="center"/>
          </w:tcPr>
          <w:p w14:paraId="0C1D1569">
            <w:pPr>
              <w:widowControl/>
              <w:snapToGrid w:val="0"/>
              <w:spacing w:line="400" w:lineRule="exact"/>
              <w:jc w:val="center"/>
              <w:rPr>
                <w:rFonts w:cs="Times New Roman"/>
                <w:kern w:val="0"/>
                <w:sz w:val="24"/>
                <w:szCs w:val="24"/>
              </w:rPr>
            </w:pPr>
            <w:r>
              <w:rPr>
                <w:rFonts w:cs="Times New Roman"/>
                <w:kern w:val="0"/>
                <w:sz w:val="24"/>
                <w:szCs w:val="24"/>
              </w:rPr>
              <w:t>/</w:t>
            </w:r>
          </w:p>
        </w:tc>
        <w:tc>
          <w:tcPr>
            <w:tcW w:w="430" w:type="pct"/>
            <w:shd w:val="clear" w:color="auto" w:fill="auto"/>
            <w:vAlign w:val="center"/>
          </w:tcPr>
          <w:p w14:paraId="79C59603">
            <w:pPr>
              <w:widowControl/>
              <w:snapToGrid w:val="0"/>
              <w:spacing w:line="400" w:lineRule="exact"/>
              <w:jc w:val="center"/>
              <w:rPr>
                <w:rFonts w:cs="Times New Roman"/>
                <w:kern w:val="0"/>
                <w:sz w:val="24"/>
                <w:szCs w:val="24"/>
              </w:rPr>
            </w:pPr>
            <w:r>
              <w:rPr>
                <w:rFonts w:cs="Times New Roman"/>
                <w:kern w:val="0"/>
                <w:sz w:val="24"/>
                <w:szCs w:val="24"/>
              </w:rPr>
              <w:t>/</w:t>
            </w:r>
          </w:p>
        </w:tc>
      </w:tr>
      <w:tr w14:paraId="32F9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1" w:type="pct"/>
            <w:vMerge w:val="continue"/>
            <w:vAlign w:val="center"/>
          </w:tcPr>
          <w:p w14:paraId="18E8E9BF">
            <w:pPr>
              <w:widowControl/>
              <w:snapToGrid w:val="0"/>
              <w:spacing w:line="400" w:lineRule="exact"/>
              <w:jc w:val="center"/>
              <w:rPr>
                <w:rFonts w:cs="Times New Roman"/>
                <w:b/>
                <w:bCs/>
                <w:kern w:val="0"/>
                <w:sz w:val="24"/>
                <w:szCs w:val="24"/>
              </w:rPr>
            </w:pPr>
          </w:p>
        </w:tc>
        <w:tc>
          <w:tcPr>
            <w:tcW w:w="494" w:type="pct"/>
            <w:gridSpan w:val="2"/>
            <w:shd w:val="clear" w:color="auto" w:fill="auto"/>
            <w:vAlign w:val="center"/>
          </w:tcPr>
          <w:p w14:paraId="75E373AA">
            <w:pPr>
              <w:widowControl/>
              <w:snapToGrid w:val="0"/>
              <w:spacing w:line="400" w:lineRule="exact"/>
              <w:jc w:val="center"/>
              <w:rPr>
                <w:rFonts w:cs="Times New Roman"/>
                <w:kern w:val="0"/>
                <w:sz w:val="24"/>
                <w:szCs w:val="24"/>
              </w:rPr>
            </w:pPr>
            <w:r>
              <w:rPr>
                <w:rFonts w:cs="Times New Roman"/>
                <w:kern w:val="0"/>
                <w:sz w:val="24"/>
                <w:szCs w:val="24"/>
              </w:rPr>
              <w:t>工程渣土</w:t>
            </w:r>
          </w:p>
        </w:tc>
        <w:tc>
          <w:tcPr>
            <w:tcW w:w="518" w:type="pct"/>
            <w:vMerge w:val="continue"/>
            <w:vAlign w:val="center"/>
          </w:tcPr>
          <w:p w14:paraId="24FF4AB8">
            <w:pPr>
              <w:widowControl/>
              <w:snapToGrid w:val="0"/>
              <w:spacing w:line="400" w:lineRule="exact"/>
              <w:jc w:val="center"/>
              <w:rPr>
                <w:rFonts w:cs="Times New Roman"/>
                <w:kern w:val="0"/>
                <w:sz w:val="24"/>
                <w:szCs w:val="24"/>
              </w:rPr>
            </w:pPr>
          </w:p>
        </w:tc>
        <w:tc>
          <w:tcPr>
            <w:tcW w:w="503" w:type="pct"/>
            <w:shd w:val="clear" w:color="auto" w:fill="auto"/>
            <w:vAlign w:val="center"/>
          </w:tcPr>
          <w:p w14:paraId="471F61B6">
            <w:pPr>
              <w:widowControl/>
              <w:snapToGrid w:val="0"/>
              <w:spacing w:line="400" w:lineRule="exact"/>
              <w:jc w:val="center"/>
              <w:rPr>
                <w:rFonts w:cs="Times New Roman"/>
                <w:kern w:val="0"/>
                <w:sz w:val="24"/>
                <w:szCs w:val="24"/>
              </w:rPr>
            </w:pPr>
            <w:r>
              <w:rPr>
                <w:rFonts w:cs="Times New Roman"/>
                <w:kern w:val="0"/>
                <w:sz w:val="24"/>
                <w:szCs w:val="24"/>
              </w:rPr>
              <w:t>/</w:t>
            </w:r>
          </w:p>
        </w:tc>
        <w:tc>
          <w:tcPr>
            <w:tcW w:w="623" w:type="pct"/>
            <w:shd w:val="clear" w:color="auto" w:fill="auto"/>
            <w:vAlign w:val="center"/>
          </w:tcPr>
          <w:p w14:paraId="00004749">
            <w:pPr>
              <w:widowControl/>
              <w:snapToGrid w:val="0"/>
              <w:spacing w:line="300" w:lineRule="exact"/>
              <w:jc w:val="left"/>
              <w:rPr>
                <w:rFonts w:cs="Times New Roman"/>
                <w:kern w:val="0"/>
                <w:sz w:val="24"/>
                <w:szCs w:val="24"/>
              </w:rPr>
            </w:pPr>
            <w:r>
              <w:rPr>
                <w:rFonts w:cs="Times New Roman"/>
                <w:kern w:val="0"/>
                <w:sz w:val="24"/>
                <w:szCs w:val="24"/>
              </w:rPr>
              <w:t>通过临时转运和调配，主要在本地消纳</w:t>
            </w:r>
          </w:p>
        </w:tc>
        <w:tc>
          <w:tcPr>
            <w:tcW w:w="545" w:type="pct"/>
            <w:shd w:val="clear" w:color="auto" w:fill="auto"/>
            <w:vAlign w:val="center"/>
          </w:tcPr>
          <w:p w14:paraId="60B91FC7">
            <w:pPr>
              <w:widowControl/>
              <w:snapToGrid w:val="0"/>
              <w:spacing w:line="400" w:lineRule="exact"/>
              <w:jc w:val="center"/>
              <w:rPr>
                <w:rFonts w:cs="Times New Roman"/>
                <w:kern w:val="0"/>
                <w:sz w:val="24"/>
                <w:szCs w:val="24"/>
              </w:rPr>
            </w:pPr>
            <w:r>
              <w:rPr>
                <w:rFonts w:cs="Times New Roman"/>
                <w:kern w:val="0"/>
                <w:sz w:val="24"/>
                <w:szCs w:val="24"/>
              </w:rPr>
              <w:t>/</w:t>
            </w:r>
          </w:p>
        </w:tc>
        <w:tc>
          <w:tcPr>
            <w:tcW w:w="597" w:type="pct"/>
            <w:shd w:val="clear" w:color="auto" w:fill="auto"/>
            <w:vAlign w:val="center"/>
          </w:tcPr>
          <w:p w14:paraId="6AC0A8B9">
            <w:pPr>
              <w:widowControl/>
              <w:snapToGrid w:val="0"/>
              <w:spacing w:line="400" w:lineRule="exact"/>
              <w:jc w:val="center"/>
              <w:rPr>
                <w:rFonts w:cs="Times New Roman"/>
                <w:kern w:val="0"/>
                <w:sz w:val="24"/>
                <w:szCs w:val="24"/>
              </w:rPr>
            </w:pPr>
            <w:r>
              <w:rPr>
                <w:rFonts w:cs="Times New Roman"/>
                <w:kern w:val="0"/>
                <w:sz w:val="24"/>
                <w:szCs w:val="24"/>
              </w:rPr>
              <w:t>/</w:t>
            </w:r>
          </w:p>
        </w:tc>
        <w:tc>
          <w:tcPr>
            <w:tcW w:w="544" w:type="pct"/>
            <w:shd w:val="clear" w:color="auto" w:fill="auto"/>
            <w:vAlign w:val="center"/>
          </w:tcPr>
          <w:p w14:paraId="0730C82B">
            <w:pPr>
              <w:widowControl/>
              <w:snapToGrid w:val="0"/>
              <w:spacing w:line="400" w:lineRule="exact"/>
              <w:jc w:val="center"/>
              <w:rPr>
                <w:rFonts w:cs="Times New Roman"/>
                <w:kern w:val="0"/>
                <w:sz w:val="24"/>
                <w:szCs w:val="24"/>
              </w:rPr>
            </w:pPr>
            <w:r>
              <w:rPr>
                <w:rFonts w:cs="Times New Roman"/>
                <w:kern w:val="0"/>
                <w:sz w:val="24"/>
                <w:szCs w:val="24"/>
              </w:rPr>
              <w:t>/</w:t>
            </w:r>
          </w:p>
        </w:tc>
        <w:tc>
          <w:tcPr>
            <w:tcW w:w="430" w:type="pct"/>
            <w:shd w:val="clear" w:color="auto" w:fill="auto"/>
            <w:vAlign w:val="center"/>
          </w:tcPr>
          <w:p w14:paraId="79E0D63F">
            <w:pPr>
              <w:widowControl/>
              <w:snapToGrid w:val="0"/>
              <w:spacing w:line="400" w:lineRule="exact"/>
              <w:jc w:val="center"/>
              <w:rPr>
                <w:rFonts w:cs="Times New Roman"/>
                <w:kern w:val="0"/>
                <w:sz w:val="24"/>
                <w:szCs w:val="24"/>
              </w:rPr>
            </w:pPr>
            <w:r>
              <w:rPr>
                <w:rFonts w:cs="Times New Roman"/>
                <w:kern w:val="0"/>
                <w:sz w:val="24"/>
                <w:szCs w:val="24"/>
              </w:rPr>
              <w:t>/</w:t>
            </w:r>
          </w:p>
        </w:tc>
      </w:tr>
      <w:tr w14:paraId="22E2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1" w:type="pct"/>
            <w:vMerge w:val="continue"/>
            <w:vAlign w:val="center"/>
          </w:tcPr>
          <w:p w14:paraId="3E3BACDD">
            <w:pPr>
              <w:widowControl/>
              <w:snapToGrid w:val="0"/>
              <w:spacing w:line="400" w:lineRule="exact"/>
              <w:jc w:val="center"/>
              <w:rPr>
                <w:rFonts w:cs="Times New Roman"/>
                <w:b/>
                <w:bCs/>
                <w:kern w:val="0"/>
                <w:sz w:val="24"/>
                <w:szCs w:val="24"/>
              </w:rPr>
            </w:pPr>
          </w:p>
        </w:tc>
        <w:tc>
          <w:tcPr>
            <w:tcW w:w="494" w:type="pct"/>
            <w:gridSpan w:val="2"/>
            <w:shd w:val="clear" w:color="auto" w:fill="auto"/>
            <w:vAlign w:val="center"/>
          </w:tcPr>
          <w:p w14:paraId="749452A2">
            <w:pPr>
              <w:widowControl/>
              <w:snapToGrid w:val="0"/>
              <w:spacing w:line="400" w:lineRule="exact"/>
              <w:jc w:val="center"/>
              <w:rPr>
                <w:rFonts w:cs="Times New Roman"/>
                <w:kern w:val="0"/>
                <w:sz w:val="24"/>
                <w:szCs w:val="24"/>
              </w:rPr>
            </w:pPr>
            <w:r>
              <w:rPr>
                <w:rFonts w:cs="Times New Roman"/>
                <w:kern w:val="0"/>
                <w:sz w:val="24"/>
                <w:szCs w:val="24"/>
              </w:rPr>
              <w:t>工程泥浆</w:t>
            </w:r>
          </w:p>
        </w:tc>
        <w:tc>
          <w:tcPr>
            <w:tcW w:w="518" w:type="pct"/>
            <w:vMerge w:val="continue"/>
            <w:vAlign w:val="center"/>
          </w:tcPr>
          <w:p w14:paraId="4F32F61D">
            <w:pPr>
              <w:widowControl/>
              <w:snapToGrid w:val="0"/>
              <w:spacing w:line="400" w:lineRule="exact"/>
              <w:jc w:val="center"/>
              <w:rPr>
                <w:rFonts w:cs="Times New Roman"/>
                <w:kern w:val="0"/>
                <w:sz w:val="24"/>
                <w:szCs w:val="24"/>
              </w:rPr>
            </w:pPr>
          </w:p>
        </w:tc>
        <w:tc>
          <w:tcPr>
            <w:tcW w:w="503" w:type="pct"/>
            <w:shd w:val="clear" w:color="auto" w:fill="auto"/>
            <w:vAlign w:val="center"/>
          </w:tcPr>
          <w:p w14:paraId="19B8CC41">
            <w:pPr>
              <w:widowControl/>
              <w:snapToGrid w:val="0"/>
              <w:spacing w:line="400" w:lineRule="exact"/>
              <w:jc w:val="center"/>
              <w:rPr>
                <w:rFonts w:cs="Times New Roman"/>
                <w:kern w:val="0"/>
                <w:sz w:val="24"/>
                <w:szCs w:val="24"/>
              </w:rPr>
            </w:pPr>
            <w:r>
              <w:rPr>
                <w:rFonts w:cs="Times New Roman"/>
                <w:kern w:val="0"/>
                <w:sz w:val="24"/>
                <w:szCs w:val="24"/>
              </w:rPr>
              <w:t>/</w:t>
            </w:r>
          </w:p>
        </w:tc>
        <w:tc>
          <w:tcPr>
            <w:tcW w:w="623" w:type="pct"/>
            <w:shd w:val="clear" w:color="auto" w:fill="auto"/>
            <w:vAlign w:val="center"/>
          </w:tcPr>
          <w:p w14:paraId="6988DD91">
            <w:pPr>
              <w:widowControl/>
              <w:snapToGrid w:val="0"/>
              <w:spacing w:line="300" w:lineRule="exact"/>
              <w:jc w:val="left"/>
              <w:rPr>
                <w:rFonts w:cs="Times New Roman"/>
                <w:kern w:val="0"/>
                <w:sz w:val="24"/>
                <w:szCs w:val="24"/>
              </w:rPr>
            </w:pPr>
            <w:r>
              <w:rPr>
                <w:rFonts w:cs="Times New Roman"/>
                <w:kern w:val="0"/>
                <w:sz w:val="24"/>
                <w:szCs w:val="24"/>
              </w:rPr>
              <w:t>施工单位现场干化脱水后进行现场回填或外运</w:t>
            </w:r>
          </w:p>
        </w:tc>
        <w:tc>
          <w:tcPr>
            <w:tcW w:w="545" w:type="pct"/>
            <w:shd w:val="clear" w:color="auto" w:fill="auto"/>
            <w:vAlign w:val="center"/>
          </w:tcPr>
          <w:p w14:paraId="4563FF4C">
            <w:pPr>
              <w:widowControl/>
              <w:snapToGrid w:val="0"/>
              <w:spacing w:line="400" w:lineRule="exact"/>
              <w:jc w:val="center"/>
              <w:rPr>
                <w:rFonts w:cs="Times New Roman"/>
                <w:kern w:val="0"/>
                <w:sz w:val="24"/>
                <w:szCs w:val="24"/>
              </w:rPr>
            </w:pPr>
            <w:r>
              <w:rPr>
                <w:rFonts w:cs="Times New Roman"/>
                <w:kern w:val="0"/>
                <w:sz w:val="24"/>
                <w:szCs w:val="24"/>
              </w:rPr>
              <w:t>/</w:t>
            </w:r>
          </w:p>
        </w:tc>
        <w:tc>
          <w:tcPr>
            <w:tcW w:w="597" w:type="pct"/>
            <w:shd w:val="clear" w:color="auto" w:fill="auto"/>
            <w:vAlign w:val="center"/>
          </w:tcPr>
          <w:p w14:paraId="5CDA5133">
            <w:pPr>
              <w:widowControl/>
              <w:snapToGrid w:val="0"/>
              <w:spacing w:line="400" w:lineRule="exact"/>
              <w:jc w:val="center"/>
              <w:rPr>
                <w:rFonts w:cs="Times New Roman"/>
                <w:kern w:val="0"/>
                <w:sz w:val="24"/>
                <w:szCs w:val="24"/>
              </w:rPr>
            </w:pPr>
            <w:r>
              <w:rPr>
                <w:rFonts w:cs="Times New Roman"/>
                <w:kern w:val="0"/>
                <w:sz w:val="24"/>
                <w:szCs w:val="24"/>
              </w:rPr>
              <w:t>/</w:t>
            </w:r>
          </w:p>
        </w:tc>
        <w:tc>
          <w:tcPr>
            <w:tcW w:w="544" w:type="pct"/>
            <w:shd w:val="clear" w:color="auto" w:fill="auto"/>
            <w:vAlign w:val="center"/>
          </w:tcPr>
          <w:p w14:paraId="31E69176">
            <w:pPr>
              <w:widowControl/>
              <w:snapToGrid w:val="0"/>
              <w:spacing w:line="400" w:lineRule="exact"/>
              <w:jc w:val="center"/>
              <w:rPr>
                <w:rFonts w:cs="Times New Roman"/>
                <w:kern w:val="0"/>
                <w:sz w:val="24"/>
                <w:szCs w:val="24"/>
              </w:rPr>
            </w:pPr>
            <w:r>
              <w:rPr>
                <w:rFonts w:cs="Times New Roman"/>
                <w:kern w:val="0"/>
                <w:sz w:val="24"/>
                <w:szCs w:val="24"/>
              </w:rPr>
              <w:t>/</w:t>
            </w:r>
          </w:p>
        </w:tc>
        <w:tc>
          <w:tcPr>
            <w:tcW w:w="430" w:type="pct"/>
            <w:shd w:val="clear" w:color="auto" w:fill="auto"/>
            <w:vAlign w:val="center"/>
          </w:tcPr>
          <w:p w14:paraId="57610D99">
            <w:pPr>
              <w:widowControl/>
              <w:snapToGrid w:val="0"/>
              <w:spacing w:line="400" w:lineRule="exact"/>
              <w:jc w:val="center"/>
              <w:rPr>
                <w:rFonts w:cs="Times New Roman"/>
                <w:kern w:val="0"/>
                <w:sz w:val="24"/>
                <w:szCs w:val="24"/>
              </w:rPr>
            </w:pPr>
            <w:r>
              <w:rPr>
                <w:rFonts w:cs="Times New Roman"/>
                <w:kern w:val="0"/>
                <w:sz w:val="24"/>
                <w:szCs w:val="24"/>
              </w:rPr>
              <w:t>/</w:t>
            </w:r>
          </w:p>
        </w:tc>
      </w:tr>
      <w:tr w14:paraId="3EA9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1" w:type="pct"/>
            <w:vMerge w:val="restart"/>
            <w:shd w:val="clear" w:color="auto" w:fill="auto"/>
            <w:vAlign w:val="center"/>
          </w:tcPr>
          <w:p w14:paraId="7F3FE38E">
            <w:pPr>
              <w:widowControl/>
              <w:snapToGrid w:val="0"/>
              <w:spacing w:line="400" w:lineRule="exact"/>
              <w:jc w:val="center"/>
              <w:rPr>
                <w:rFonts w:cs="Times New Roman"/>
                <w:b/>
                <w:bCs/>
                <w:kern w:val="0"/>
                <w:sz w:val="24"/>
                <w:szCs w:val="24"/>
              </w:rPr>
            </w:pPr>
            <w:r>
              <w:rPr>
                <w:rFonts w:cs="Times New Roman"/>
                <w:b/>
                <w:bCs/>
                <w:kern w:val="0"/>
                <w:sz w:val="24"/>
                <w:szCs w:val="24"/>
              </w:rPr>
              <w:t>危险废物</w:t>
            </w:r>
          </w:p>
        </w:tc>
        <w:tc>
          <w:tcPr>
            <w:tcW w:w="161" w:type="pct"/>
            <w:vMerge w:val="restart"/>
            <w:shd w:val="clear" w:color="auto" w:fill="auto"/>
            <w:vAlign w:val="center"/>
          </w:tcPr>
          <w:p w14:paraId="1CEA9A59">
            <w:pPr>
              <w:widowControl/>
              <w:snapToGrid w:val="0"/>
              <w:spacing w:line="400" w:lineRule="exact"/>
              <w:jc w:val="center"/>
              <w:rPr>
                <w:rFonts w:cs="Times New Roman"/>
                <w:kern w:val="0"/>
                <w:sz w:val="24"/>
                <w:szCs w:val="24"/>
              </w:rPr>
            </w:pPr>
            <w:r>
              <w:rPr>
                <w:rFonts w:cs="Times New Roman"/>
                <w:kern w:val="0"/>
                <w:sz w:val="24"/>
                <w:szCs w:val="24"/>
              </w:rPr>
              <w:t>工业危险废物</w:t>
            </w:r>
          </w:p>
        </w:tc>
        <w:tc>
          <w:tcPr>
            <w:tcW w:w="333" w:type="pct"/>
            <w:shd w:val="clear" w:color="auto" w:fill="auto"/>
            <w:vAlign w:val="center"/>
          </w:tcPr>
          <w:p w14:paraId="05BE5995">
            <w:pPr>
              <w:widowControl/>
              <w:snapToGrid w:val="0"/>
              <w:spacing w:line="400" w:lineRule="exact"/>
              <w:jc w:val="center"/>
              <w:rPr>
                <w:rFonts w:cs="Times New Roman"/>
                <w:kern w:val="0"/>
                <w:sz w:val="24"/>
                <w:szCs w:val="24"/>
              </w:rPr>
            </w:pPr>
            <w:r>
              <w:rPr>
                <w:rFonts w:cs="Times New Roman"/>
                <w:kern w:val="0"/>
                <w:sz w:val="24"/>
                <w:szCs w:val="24"/>
              </w:rPr>
              <w:t>HW49</w:t>
            </w:r>
          </w:p>
        </w:tc>
        <w:tc>
          <w:tcPr>
            <w:tcW w:w="518" w:type="pct"/>
            <w:vMerge w:val="restart"/>
            <w:shd w:val="clear" w:color="auto" w:fill="auto"/>
            <w:vAlign w:val="center"/>
          </w:tcPr>
          <w:p w14:paraId="51ECF020">
            <w:pPr>
              <w:widowControl/>
              <w:snapToGrid w:val="0"/>
              <w:spacing w:line="400" w:lineRule="exact"/>
              <w:jc w:val="center"/>
              <w:rPr>
                <w:rFonts w:cs="Times New Roman"/>
                <w:kern w:val="0"/>
                <w:sz w:val="24"/>
                <w:szCs w:val="24"/>
              </w:rPr>
            </w:pPr>
            <w:r>
              <w:rPr>
                <w:rFonts w:cs="Times New Roman"/>
                <w:kern w:val="0"/>
                <w:sz w:val="24"/>
                <w:szCs w:val="24"/>
              </w:rPr>
              <w:t>27.23吨</w:t>
            </w:r>
          </w:p>
        </w:tc>
        <w:tc>
          <w:tcPr>
            <w:tcW w:w="503" w:type="pct"/>
            <w:shd w:val="clear" w:color="auto" w:fill="auto"/>
            <w:vAlign w:val="center"/>
          </w:tcPr>
          <w:p w14:paraId="0CA6EC23">
            <w:pPr>
              <w:widowControl/>
              <w:snapToGrid w:val="0"/>
              <w:spacing w:line="400" w:lineRule="exact"/>
              <w:jc w:val="center"/>
              <w:rPr>
                <w:rFonts w:cs="Times New Roman"/>
                <w:kern w:val="0"/>
                <w:sz w:val="24"/>
                <w:szCs w:val="24"/>
              </w:rPr>
            </w:pPr>
            <w:r>
              <w:rPr>
                <w:rFonts w:cs="Times New Roman"/>
                <w:kern w:val="0"/>
                <w:sz w:val="24"/>
                <w:szCs w:val="24"/>
              </w:rPr>
              <w:t>19.44吨</w:t>
            </w:r>
          </w:p>
        </w:tc>
        <w:tc>
          <w:tcPr>
            <w:tcW w:w="623" w:type="pct"/>
            <w:vMerge w:val="restart"/>
            <w:shd w:val="clear" w:color="auto" w:fill="auto"/>
            <w:vAlign w:val="center"/>
          </w:tcPr>
          <w:p w14:paraId="3A8E5E28">
            <w:pPr>
              <w:widowControl/>
              <w:snapToGrid w:val="0"/>
              <w:spacing w:line="300" w:lineRule="exact"/>
              <w:jc w:val="left"/>
              <w:rPr>
                <w:rFonts w:cs="Times New Roman"/>
                <w:kern w:val="0"/>
                <w:sz w:val="24"/>
                <w:szCs w:val="24"/>
              </w:rPr>
            </w:pPr>
            <w:r>
              <w:rPr>
                <w:rFonts w:cs="Times New Roman"/>
                <w:kern w:val="0"/>
                <w:sz w:val="24"/>
                <w:szCs w:val="24"/>
              </w:rPr>
              <w:t>专车收运至利用处置企业</w:t>
            </w:r>
          </w:p>
        </w:tc>
        <w:tc>
          <w:tcPr>
            <w:tcW w:w="545" w:type="pct"/>
            <w:shd w:val="clear" w:color="auto" w:fill="auto"/>
            <w:vAlign w:val="center"/>
          </w:tcPr>
          <w:p w14:paraId="7B9EEEAD">
            <w:pPr>
              <w:widowControl/>
              <w:snapToGrid w:val="0"/>
              <w:spacing w:line="400" w:lineRule="exact"/>
              <w:jc w:val="center"/>
              <w:rPr>
                <w:rFonts w:cs="Times New Roman"/>
                <w:kern w:val="0"/>
                <w:sz w:val="24"/>
                <w:szCs w:val="24"/>
              </w:rPr>
            </w:pPr>
            <w:r>
              <w:rPr>
                <w:rFonts w:cs="Times New Roman"/>
                <w:kern w:val="0"/>
                <w:sz w:val="24"/>
                <w:szCs w:val="24"/>
              </w:rPr>
              <w:t>19.44吨</w:t>
            </w:r>
          </w:p>
        </w:tc>
        <w:tc>
          <w:tcPr>
            <w:tcW w:w="597" w:type="pct"/>
            <w:shd w:val="clear" w:color="auto" w:fill="auto"/>
            <w:vAlign w:val="center"/>
          </w:tcPr>
          <w:p w14:paraId="4C894146">
            <w:pPr>
              <w:widowControl/>
              <w:snapToGrid w:val="0"/>
              <w:spacing w:line="400" w:lineRule="exact"/>
              <w:jc w:val="center"/>
              <w:rPr>
                <w:rFonts w:cs="Times New Roman"/>
                <w:kern w:val="0"/>
                <w:sz w:val="24"/>
                <w:szCs w:val="24"/>
                <w:shd w:val="pct10" w:color="auto" w:fill="FFFFFF"/>
              </w:rPr>
            </w:pPr>
            <w:r>
              <w:rPr>
                <w:rFonts w:cs="Times New Roman"/>
                <w:kern w:val="0"/>
                <w:sz w:val="24"/>
                <w:szCs w:val="24"/>
              </w:rPr>
              <w:t>5.02吨</w:t>
            </w:r>
          </w:p>
        </w:tc>
        <w:tc>
          <w:tcPr>
            <w:tcW w:w="544" w:type="pct"/>
            <w:shd w:val="clear" w:color="auto" w:fill="auto"/>
            <w:vAlign w:val="center"/>
          </w:tcPr>
          <w:p w14:paraId="47327CB7">
            <w:pPr>
              <w:widowControl/>
              <w:snapToGrid w:val="0"/>
              <w:spacing w:line="400" w:lineRule="exact"/>
              <w:jc w:val="center"/>
              <w:rPr>
                <w:rFonts w:cs="Times New Roman"/>
                <w:kern w:val="0"/>
                <w:sz w:val="24"/>
                <w:szCs w:val="24"/>
              </w:rPr>
            </w:pPr>
            <w:r>
              <w:rPr>
                <w:rFonts w:cs="Times New Roman"/>
                <w:kern w:val="0"/>
                <w:sz w:val="24"/>
                <w:szCs w:val="24"/>
              </w:rPr>
              <w:t>4.05吨</w:t>
            </w:r>
          </w:p>
        </w:tc>
        <w:tc>
          <w:tcPr>
            <w:tcW w:w="430" w:type="pct"/>
            <w:shd w:val="clear" w:color="auto" w:fill="auto"/>
            <w:vAlign w:val="center"/>
          </w:tcPr>
          <w:p w14:paraId="771D2980">
            <w:pPr>
              <w:widowControl/>
              <w:snapToGrid w:val="0"/>
              <w:spacing w:line="400" w:lineRule="exact"/>
              <w:jc w:val="center"/>
              <w:rPr>
                <w:rFonts w:cs="Times New Roman"/>
                <w:kern w:val="0"/>
                <w:sz w:val="24"/>
                <w:szCs w:val="24"/>
              </w:rPr>
            </w:pPr>
            <w:r>
              <w:rPr>
                <w:rFonts w:cs="Times New Roman"/>
                <w:sz w:val="24"/>
                <w:szCs w:val="24"/>
              </w:rPr>
              <w:t>9.81吨</w:t>
            </w:r>
          </w:p>
        </w:tc>
      </w:tr>
      <w:tr w14:paraId="09B4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1" w:type="pct"/>
            <w:vMerge w:val="continue"/>
            <w:vAlign w:val="center"/>
          </w:tcPr>
          <w:p w14:paraId="52869C7D">
            <w:pPr>
              <w:widowControl/>
              <w:snapToGrid w:val="0"/>
              <w:spacing w:line="400" w:lineRule="exact"/>
              <w:jc w:val="center"/>
              <w:rPr>
                <w:rFonts w:cs="Times New Roman"/>
                <w:b/>
                <w:bCs/>
                <w:kern w:val="0"/>
                <w:sz w:val="24"/>
                <w:szCs w:val="24"/>
              </w:rPr>
            </w:pPr>
          </w:p>
        </w:tc>
        <w:tc>
          <w:tcPr>
            <w:tcW w:w="161" w:type="pct"/>
            <w:vMerge w:val="continue"/>
            <w:shd w:val="clear" w:color="auto" w:fill="auto"/>
            <w:vAlign w:val="center"/>
          </w:tcPr>
          <w:p w14:paraId="2690420E">
            <w:pPr>
              <w:widowControl/>
              <w:snapToGrid w:val="0"/>
              <w:spacing w:line="400" w:lineRule="exact"/>
              <w:jc w:val="center"/>
              <w:rPr>
                <w:rFonts w:cs="Times New Roman"/>
                <w:kern w:val="0"/>
                <w:sz w:val="24"/>
                <w:szCs w:val="24"/>
              </w:rPr>
            </w:pPr>
          </w:p>
        </w:tc>
        <w:tc>
          <w:tcPr>
            <w:tcW w:w="333" w:type="pct"/>
            <w:shd w:val="clear" w:color="auto" w:fill="auto"/>
            <w:vAlign w:val="center"/>
          </w:tcPr>
          <w:p w14:paraId="58707F5F">
            <w:pPr>
              <w:widowControl/>
              <w:snapToGrid w:val="0"/>
              <w:spacing w:line="400" w:lineRule="exact"/>
              <w:jc w:val="center"/>
              <w:rPr>
                <w:rFonts w:cs="Times New Roman"/>
                <w:sz w:val="24"/>
                <w:szCs w:val="24"/>
              </w:rPr>
            </w:pPr>
            <w:r>
              <w:rPr>
                <w:rFonts w:cs="Times New Roman"/>
                <w:sz w:val="24"/>
                <w:szCs w:val="24"/>
              </w:rPr>
              <w:t>HW08</w:t>
            </w:r>
          </w:p>
        </w:tc>
        <w:tc>
          <w:tcPr>
            <w:tcW w:w="518" w:type="pct"/>
            <w:vMerge w:val="continue"/>
            <w:shd w:val="clear" w:color="auto" w:fill="auto"/>
            <w:vAlign w:val="center"/>
          </w:tcPr>
          <w:p w14:paraId="7AF2FA86">
            <w:pPr>
              <w:widowControl/>
              <w:snapToGrid w:val="0"/>
              <w:spacing w:line="400" w:lineRule="exact"/>
              <w:jc w:val="center"/>
              <w:rPr>
                <w:rFonts w:cs="Times New Roman"/>
                <w:kern w:val="0"/>
                <w:sz w:val="24"/>
                <w:szCs w:val="24"/>
              </w:rPr>
            </w:pPr>
          </w:p>
        </w:tc>
        <w:tc>
          <w:tcPr>
            <w:tcW w:w="503" w:type="pct"/>
            <w:shd w:val="clear" w:color="auto" w:fill="auto"/>
            <w:vAlign w:val="center"/>
          </w:tcPr>
          <w:p w14:paraId="3C101733">
            <w:pPr>
              <w:widowControl/>
              <w:snapToGrid w:val="0"/>
              <w:spacing w:line="400" w:lineRule="exact"/>
              <w:jc w:val="center"/>
              <w:rPr>
                <w:rFonts w:cs="Times New Roman"/>
                <w:sz w:val="24"/>
                <w:szCs w:val="24"/>
              </w:rPr>
            </w:pPr>
            <w:r>
              <w:rPr>
                <w:rFonts w:cs="Times New Roman"/>
                <w:sz w:val="24"/>
                <w:szCs w:val="24"/>
              </w:rPr>
              <w:t>5.68吨</w:t>
            </w:r>
          </w:p>
        </w:tc>
        <w:tc>
          <w:tcPr>
            <w:tcW w:w="623" w:type="pct"/>
            <w:vMerge w:val="continue"/>
            <w:vAlign w:val="center"/>
          </w:tcPr>
          <w:p w14:paraId="5A3A4EE1">
            <w:pPr>
              <w:widowControl/>
              <w:snapToGrid w:val="0"/>
              <w:spacing w:line="400" w:lineRule="exact"/>
              <w:jc w:val="left"/>
              <w:rPr>
                <w:rFonts w:cs="Times New Roman"/>
                <w:kern w:val="0"/>
                <w:sz w:val="24"/>
                <w:szCs w:val="24"/>
              </w:rPr>
            </w:pPr>
          </w:p>
        </w:tc>
        <w:tc>
          <w:tcPr>
            <w:tcW w:w="545" w:type="pct"/>
            <w:shd w:val="clear" w:color="auto" w:fill="auto"/>
            <w:vAlign w:val="center"/>
          </w:tcPr>
          <w:p w14:paraId="1D4B68F7">
            <w:pPr>
              <w:widowControl/>
              <w:snapToGrid w:val="0"/>
              <w:spacing w:line="400" w:lineRule="exact"/>
              <w:jc w:val="center"/>
              <w:rPr>
                <w:rFonts w:cs="Times New Roman"/>
                <w:sz w:val="24"/>
                <w:szCs w:val="24"/>
              </w:rPr>
            </w:pPr>
            <w:r>
              <w:rPr>
                <w:rFonts w:cs="Times New Roman"/>
                <w:sz w:val="24"/>
                <w:szCs w:val="24"/>
              </w:rPr>
              <w:t>5.68吨</w:t>
            </w:r>
          </w:p>
        </w:tc>
        <w:tc>
          <w:tcPr>
            <w:tcW w:w="597" w:type="pct"/>
            <w:shd w:val="clear" w:color="auto" w:fill="auto"/>
            <w:vAlign w:val="center"/>
          </w:tcPr>
          <w:p w14:paraId="25E4E5D4">
            <w:pPr>
              <w:widowControl/>
              <w:snapToGrid w:val="0"/>
              <w:spacing w:line="400" w:lineRule="exact"/>
              <w:jc w:val="center"/>
              <w:rPr>
                <w:rFonts w:cs="Times New Roman"/>
                <w:sz w:val="24"/>
                <w:szCs w:val="24"/>
              </w:rPr>
            </w:pPr>
            <w:r>
              <w:rPr>
                <w:rFonts w:cs="Times New Roman"/>
                <w:sz w:val="24"/>
                <w:szCs w:val="24"/>
              </w:rPr>
              <w:t>5.42吨</w:t>
            </w:r>
          </w:p>
        </w:tc>
        <w:tc>
          <w:tcPr>
            <w:tcW w:w="544" w:type="pct"/>
            <w:shd w:val="clear" w:color="auto" w:fill="auto"/>
            <w:vAlign w:val="center"/>
          </w:tcPr>
          <w:p w14:paraId="116AB4BC">
            <w:pPr>
              <w:widowControl/>
              <w:snapToGrid w:val="0"/>
              <w:spacing w:line="400" w:lineRule="exact"/>
              <w:jc w:val="center"/>
              <w:rPr>
                <w:rFonts w:cs="Times New Roman"/>
                <w:sz w:val="24"/>
                <w:szCs w:val="24"/>
              </w:rPr>
            </w:pPr>
            <w:r>
              <w:rPr>
                <w:rFonts w:cs="Times New Roman"/>
                <w:sz w:val="24"/>
                <w:szCs w:val="24"/>
              </w:rPr>
              <w:t>/</w:t>
            </w:r>
          </w:p>
        </w:tc>
        <w:tc>
          <w:tcPr>
            <w:tcW w:w="430" w:type="pct"/>
            <w:shd w:val="clear" w:color="auto" w:fill="auto"/>
            <w:vAlign w:val="center"/>
          </w:tcPr>
          <w:p w14:paraId="174A3710">
            <w:pPr>
              <w:widowControl/>
              <w:snapToGrid w:val="0"/>
              <w:spacing w:line="400" w:lineRule="exact"/>
              <w:jc w:val="center"/>
              <w:rPr>
                <w:rFonts w:cs="Times New Roman"/>
                <w:sz w:val="24"/>
                <w:szCs w:val="24"/>
              </w:rPr>
            </w:pPr>
            <w:r>
              <w:rPr>
                <w:rFonts w:cs="Times New Roman"/>
                <w:sz w:val="24"/>
                <w:szCs w:val="24"/>
              </w:rPr>
              <w:t>0.22吨</w:t>
            </w:r>
          </w:p>
        </w:tc>
      </w:tr>
      <w:tr w14:paraId="21C6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1" w:type="pct"/>
            <w:vMerge w:val="continue"/>
            <w:vAlign w:val="center"/>
          </w:tcPr>
          <w:p w14:paraId="0CF21AAB">
            <w:pPr>
              <w:widowControl/>
              <w:snapToGrid w:val="0"/>
              <w:spacing w:line="400" w:lineRule="exact"/>
              <w:jc w:val="center"/>
              <w:rPr>
                <w:rFonts w:cs="Times New Roman"/>
                <w:b/>
                <w:bCs/>
                <w:kern w:val="0"/>
                <w:sz w:val="24"/>
                <w:szCs w:val="24"/>
              </w:rPr>
            </w:pPr>
          </w:p>
        </w:tc>
        <w:tc>
          <w:tcPr>
            <w:tcW w:w="161" w:type="pct"/>
            <w:vMerge w:val="continue"/>
            <w:shd w:val="clear" w:color="auto" w:fill="auto"/>
            <w:vAlign w:val="center"/>
          </w:tcPr>
          <w:p w14:paraId="5DDE94A7">
            <w:pPr>
              <w:widowControl/>
              <w:snapToGrid w:val="0"/>
              <w:spacing w:line="400" w:lineRule="exact"/>
              <w:jc w:val="center"/>
              <w:rPr>
                <w:rFonts w:cs="Times New Roman"/>
                <w:kern w:val="0"/>
                <w:sz w:val="24"/>
                <w:szCs w:val="24"/>
              </w:rPr>
            </w:pPr>
          </w:p>
        </w:tc>
        <w:tc>
          <w:tcPr>
            <w:tcW w:w="333" w:type="pct"/>
            <w:shd w:val="clear" w:color="auto" w:fill="auto"/>
            <w:vAlign w:val="center"/>
          </w:tcPr>
          <w:p w14:paraId="5E18E21C">
            <w:pPr>
              <w:widowControl/>
              <w:snapToGrid w:val="0"/>
              <w:spacing w:line="400" w:lineRule="exact"/>
              <w:jc w:val="center"/>
              <w:rPr>
                <w:rFonts w:cs="Times New Roman"/>
                <w:sz w:val="24"/>
                <w:szCs w:val="24"/>
              </w:rPr>
            </w:pPr>
            <w:r>
              <w:rPr>
                <w:rFonts w:cs="Times New Roman"/>
                <w:sz w:val="24"/>
                <w:szCs w:val="24"/>
              </w:rPr>
              <w:t>HW16</w:t>
            </w:r>
          </w:p>
        </w:tc>
        <w:tc>
          <w:tcPr>
            <w:tcW w:w="518" w:type="pct"/>
            <w:vMerge w:val="continue"/>
            <w:shd w:val="clear" w:color="auto" w:fill="auto"/>
            <w:vAlign w:val="center"/>
          </w:tcPr>
          <w:p w14:paraId="3154FCA9">
            <w:pPr>
              <w:widowControl/>
              <w:snapToGrid w:val="0"/>
              <w:spacing w:line="400" w:lineRule="exact"/>
              <w:jc w:val="center"/>
              <w:rPr>
                <w:rFonts w:cs="Times New Roman"/>
                <w:kern w:val="0"/>
                <w:sz w:val="24"/>
                <w:szCs w:val="24"/>
              </w:rPr>
            </w:pPr>
          </w:p>
        </w:tc>
        <w:tc>
          <w:tcPr>
            <w:tcW w:w="503" w:type="pct"/>
            <w:shd w:val="clear" w:color="auto" w:fill="auto"/>
            <w:vAlign w:val="center"/>
          </w:tcPr>
          <w:p w14:paraId="256D487E">
            <w:pPr>
              <w:widowControl/>
              <w:snapToGrid w:val="0"/>
              <w:spacing w:line="400" w:lineRule="exact"/>
              <w:jc w:val="center"/>
              <w:rPr>
                <w:rFonts w:cs="Times New Roman"/>
                <w:sz w:val="24"/>
                <w:szCs w:val="24"/>
              </w:rPr>
            </w:pPr>
            <w:r>
              <w:rPr>
                <w:rFonts w:cs="Times New Roman"/>
                <w:sz w:val="24"/>
                <w:szCs w:val="24"/>
              </w:rPr>
              <w:t>1.32吨</w:t>
            </w:r>
          </w:p>
        </w:tc>
        <w:tc>
          <w:tcPr>
            <w:tcW w:w="623" w:type="pct"/>
            <w:vMerge w:val="continue"/>
            <w:vAlign w:val="center"/>
          </w:tcPr>
          <w:p w14:paraId="610B9096">
            <w:pPr>
              <w:widowControl/>
              <w:snapToGrid w:val="0"/>
              <w:spacing w:line="400" w:lineRule="exact"/>
              <w:jc w:val="left"/>
              <w:rPr>
                <w:rFonts w:cs="Times New Roman"/>
                <w:kern w:val="0"/>
                <w:sz w:val="24"/>
                <w:szCs w:val="24"/>
              </w:rPr>
            </w:pPr>
          </w:p>
        </w:tc>
        <w:tc>
          <w:tcPr>
            <w:tcW w:w="545" w:type="pct"/>
            <w:shd w:val="clear" w:color="auto" w:fill="auto"/>
            <w:vAlign w:val="center"/>
          </w:tcPr>
          <w:p w14:paraId="4DB51E60">
            <w:pPr>
              <w:widowControl/>
              <w:snapToGrid w:val="0"/>
              <w:spacing w:line="400" w:lineRule="exact"/>
              <w:jc w:val="center"/>
              <w:rPr>
                <w:rFonts w:cs="Times New Roman"/>
                <w:sz w:val="24"/>
                <w:szCs w:val="24"/>
              </w:rPr>
            </w:pPr>
            <w:r>
              <w:rPr>
                <w:rFonts w:cs="Times New Roman"/>
                <w:sz w:val="24"/>
                <w:szCs w:val="24"/>
              </w:rPr>
              <w:t>1.32吨</w:t>
            </w:r>
          </w:p>
        </w:tc>
        <w:tc>
          <w:tcPr>
            <w:tcW w:w="597" w:type="pct"/>
            <w:shd w:val="clear" w:color="auto" w:fill="auto"/>
            <w:vAlign w:val="center"/>
          </w:tcPr>
          <w:p w14:paraId="3A2D4B4F">
            <w:pPr>
              <w:widowControl/>
              <w:snapToGrid w:val="0"/>
              <w:spacing w:line="400" w:lineRule="exact"/>
              <w:jc w:val="center"/>
              <w:rPr>
                <w:rFonts w:cs="Times New Roman"/>
                <w:sz w:val="24"/>
                <w:szCs w:val="24"/>
              </w:rPr>
            </w:pPr>
            <w:r>
              <w:rPr>
                <w:rFonts w:cs="Times New Roman"/>
                <w:sz w:val="24"/>
                <w:szCs w:val="24"/>
              </w:rPr>
              <w:t>/</w:t>
            </w:r>
          </w:p>
        </w:tc>
        <w:tc>
          <w:tcPr>
            <w:tcW w:w="544" w:type="pct"/>
            <w:shd w:val="clear" w:color="auto" w:fill="auto"/>
            <w:vAlign w:val="center"/>
          </w:tcPr>
          <w:p w14:paraId="1ADFE668">
            <w:pPr>
              <w:widowControl/>
              <w:snapToGrid w:val="0"/>
              <w:spacing w:line="400" w:lineRule="exact"/>
              <w:jc w:val="center"/>
              <w:rPr>
                <w:rFonts w:cs="Times New Roman"/>
                <w:sz w:val="24"/>
                <w:szCs w:val="24"/>
              </w:rPr>
            </w:pPr>
            <w:r>
              <w:rPr>
                <w:rFonts w:cs="Times New Roman"/>
                <w:sz w:val="24"/>
                <w:szCs w:val="24"/>
              </w:rPr>
              <w:t>1.1吨</w:t>
            </w:r>
          </w:p>
        </w:tc>
        <w:tc>
          <w:tcPr>
            <w:tcW w:w="430" w:type="pct"/>
            <w:shd w:val="clear" w:color="auto" w:fill="auto"/>
            <w:vAlign w:val="center"/>
          </w:tcPr>
          <w:p w14:paraId="16349D1A">
            <w:pPr>
              <w:widowControl/>
              <w:snapToGrid w:val="0"/>
              <w:spacing w:line="400" w:lineRule="exact"/>
              <w:jc w:val="center"/>
              <w:rPr>
                <w:rFonts w:cs="Times New Roman"/>
                <w:sz w:val="24"/>
                <w:szCs w:val="24"/>
              </w:rPr>
            </w:pPr>
            <w:r>
              <w:rPr>
                <w:rFonts w:cs="Times New Roman"/>
                <w:sz w:val="24"/>
                <w:szCs w:val="24"/>
              </w:rPr>
              <w:t>0.26吨</w:t>
            </w:r>
          </w:p>
        </w:tc>
      </w:tr>
      <w:tr w14:paraId="7572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1" w:type="pct"/>
            <w:vMerge w:val="continue"/>
            <w:vAlign w:val="center"/>
          </w:tcPr>
          <w:p w14:paraId="65B52FEC">
            <w:pPr>
              <w:widowControl/>
              <w:snapToGrid w:val="0"/>
              <w:spacing w:line="400" w:lineRule="exact"/>
              <w:jc w:val="center"/>
              <w:rPr>
                <w:rFonts w:cs="Times New Roman"/>
                <w:b/>
                <w:bCs/>
                <w:kern w:val="0"/>
                <w:sz w:val="24"/>
                <w:szCs w:val="24"/>
              </w:rPr>
            </w:pPr>
          </w:p>
        </w:tc>
        <w:tc>
          <w:tcPr>
            <w:tcW w:w="161" w:type="pct"/>
            <w:vMerge w:val="continue"/>
            <w:shd w:val="clear" w:color="auto" w:fill="auto"/>
            <w:vAlign w:val="center"/>
          </w:tcPr>
          <w:p w14:paraId="7D18F5B6">
            <w:pPr>
              <w:widowControl/>
              <w:snapToGrid w:val="0"/>
              <w:spacing w:line="400" w:lineRule="exact"/>
              <w:jc w:val="center"/>
              <w:rPr>
                <w:rFonts w:cs="Times New Roman"/>
                <w:kern w:val="0"/>
                <w:sz w:val="24"/>
                <w:szCs w:val="24"/>
              </w:rPr>
            </w:pPr>
          </w:p>
        </w:tc>
        <w:tc>
          <w:tcPr>
            <w:tcW w:w="333" w:type="pct"/>
            <w:shd w:val="clear" w:color="auto" w:fill="auto"/>
            <w:vAlign w:val="center"/>
          </w:tcPr>
          <w:p w14:paraId="02C43474">
            <w:pPr>
              <w:widowControl/>
              <w:snapToGrid w:val="0"/>
              <w:spacing w:line="400" w:lineRule="exact"/>
              <w:jc w:val="center"/>
              <w:rPr>
                <w:rFonts w:cs="Times New Roman"/>
                <w:sz w:val="24"/>
                <w:szCs w:val="24"/>
              </w:rPr>
            </w:pPr>
            <w:r>
              <w:rPr>
                <w:rFonts w:cs="Times New Roman"/>
                <w:sz w:val="24"/>
                <w:szCs w:val="24"/>
              </w:rPr>
              <w:t>HW12</w:t>
            </w:r>
          </w:p>
        </w:tc>
        <w:tc>
          <w:tcPr>
            <w:tcW w:w="518" w:type="pct"/>
            <w:vMerge w:val="continue"/>
            <w:shd w:val="clear" w:color="auto" w:fill="auto"/>
            <w:vAlign w:val="center"/>
          </w:tcPr>
          <w:p w14:paraId="0E517AEA">
            <w:pPr>
              <w:widowControl/>
              <w:snapToGrid w:val="0"/>
              <w:spacing w:line="400" w:lineRule="exact"/>
              <w:jc w:val="center"/>
              <w:rPr>
                <w:rFonts w:cs="Times New Roman"/>
                <w:kern w:val="0"/>
                <w:sz w:val="24"/>
                <w:szCs w:val="24"/>
              </w:rPr>
            </w:pPr>
          </w:p>
        </w:tc>
        <w:tc>
          <w:tcPr>
            <w:tcW w:w="503" w:type="pct"/>
            <w:shd w:val="clear" w:color="auto" w:fill="auto"/>
            <w:vAlign w:val="center"/>
          </w:tcPr>
          <w:p w14:paraId="062DC063">
            <w:pPr>
              <w:widowControl/>
              <w:snapToGrid w:val="0"/>
              <w:spacing w:line="400" w:lineRule="exact"/>
              <w:jc w:val="center"/>
              <w:rPr>
                <w:rFonts w:cs="Times New Roman"/>
                <w:sz w:val="24"/>
                <w:szCs w:val="24"/>
              </w:rPr>
            </w:pPr>
            <w:r>
              <w:rPr>
                <w:rFonts w:cs="Times New Roman"/>
                <w:sz w:val="24"/>
                <w:szCs w:val="24"/>
              </w:rPr>
              <w:t>0.79吨</w:t>
            </w:r>
          </w:p>
        </w:tc>
        <w:tc>
          <w:tcPr>
            <w:tcW w:w="623" w:type="pct"/>
            <w:vMerge w:val="continue"/>
            <w:vAlign w:val="center"/>
          </w:tcPr>
          <w:p w14:paraId="72EE5DA7">
            <w:pPr>
              <w:widowControl/>
              <w:snapToGrid w:val="0"/>
              <w:spacing w:line="400" w:lineRule="exact"/>
              <w:jc w:val="left"/>
              <w:rPr>
                <w:rFonts w:cs="Times New Roman"/>
                <w:kern w:val="0"/>
                <w:sz w:val="24"/>
                <w:szCs w:val="24"/>
              </w:rPr>
            </w:pPr>
          </w:p>
        </w:tc>
        <w:tc>
          <w:tcPr>
            <w:tcW w:w="545" w:type="pct"/>
            <w:shd w:val="clear" w:color="auto" w:fill="auto"/>
            <w:vAlign w:val="center"/>
          </w:tcPr>
          <w:p w14:paraId="51CF81B8">
            <w:pPr>
              <w:widowControl/>
              <w:snapToGrid w:val="0"/>
              <w:spacing w:line="400" w:lineRule="exact"/>
              <w:jc w:val="center"/>
              <w:rPr>
                <w:rFonts w:cs="Times New Roman"/>
                <w:sz w:val="24"/>
                <w:szCs w:val="24"/>
              </w:rPr>
            </w:pPr>
            <w:r>
              <w:rPr>
                <w:rFonts w:cs="Times New Roman"/>
                <w:sz w:val="24"/>
                <w:szCs w:val="24"/>
              </w:rPr>
              <w:t>0.79吨</w:t>
            </w:r>
          </w:p>
        </w:tc>
        <w:tc>
          <w:tcPr>
            <w:tcW w:w="597" w:type="pct"/>
            <w:shd w:val="clear" w:color="auto" w:fill="auto"/>
            <w:vAlign w:val="center"/>
          </w:tcPr>
          <w:p w14:paraId="1D1D616E">
            <w:pPr>
              <w:widowControl/>
              <w:snapToGrid w:val="0"/>
              <w:spacing w:line="400" w:lineRule="exact"/>
              <w:jc w:val="center"/>
              <w:rPr>
                <w:rFonts w:cs="Times New Roman"/>
                <w:sz w:val="24"/>
                <w:szCs w:val="24"/>
              </w:rPr>
            </w:pPr>
            <w:r>
              <w:rPr>
                <w:rFonts w:cs="Times New Roman"/>
                <w:sz w:val="24"/>
                <w:szCs w:val="24"/>
              </w:rPr>
              <w:t>/</w:t>
            </w:r>
          </w:p>
        </w:tc>
        <w:tc>
          <w:tcPr>
            <w:tcW w:w="544" w:type="pct"/>
            <w:shd w:val="clear" w:color="auto" w:fill="auto"/>
            <w:vAlign w:val="center"/>
          </w:tcPr>
          <w:p w14:paraId="30A870F5">
            <w:pPr>
              <w:widowControl/>
              <w:snapToGrid w:val="0"/>
              <w:spacing w:line="400" w:lineRule="exact"/>
              <w:jc w:val="center"/>
              <w:rPr>
                <w:rFonts w:cs="Times New Roman"/>
                <w:sz w:val="24"/>
                <w:szCs w:val="24"/>
              </w:rPr>
            </w:pPr>
            <w:r>
              <w:rPr>
                <w:rFonts w:cs="Times New Roman"/>
                <w:sz w:val="24"/>
                <w:szCs w:val="24"/>
              </w:rPr>
              <w:t>/</w:t>
            </w:r>
          </w:p>
        </w:tc>
        <w:tc>
          <w:tcPr>
            <w:tcW w:w="430" w:type="pct"/>
            <w:shd w:val="clear" w:color="auto" w:fill="auto"/>
            <w:vAlign w:val="center"/>
          </w:tcPr>
          <w:p w14:paraId="0A362CA3">
            <w:pPr>
              <w:widowControl/>
              <w:snapToGrid w:val="0"/>
              <w:spacing w:line="400" w:lineRule="exact"/>
              <w:jc w:val="center"/>
              <w:rPr>
                <w:rFonts w:cs="Times New Roman"/>
                <w:sz w:val="24"/>
                <w:szCs w:val="24"/>
              </w:rPr>
            </w:pPr>
            <w:r>
              <w:rPr>
                <w:rFonts w:cs="Times New Roman"/>
                <w:sz w:val="24"/>
                <w:szCs w:val="24"/>
              </w:rPr>
              <w:t>0.79吨</w:t>
            </w:r>
          </w:p>
        </w:tc>
      </w:tr>
      <w:tr w14:paraId="5E15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1" w:type="pct"/>
            <w:vMerge w:val="continue"/>
            <w:vAlign w:val="center"/>
          </w:tcPr>
          <w:p w14:paraId="5F3EDCFE">
            <w:pPr>
              <w:widowControl/>
              <w:snapToGrid w:val="0"/>
              <w:spacing w:line="400" w:lineRule="exact"/>
              <w:jc w:val="center"/>
              <w:rPr>
                <w:rFonts w:cs="Times New Roman"/>
                <w:b/>
                <w:bCs/>
                <w:kern w:val="0"/>
                <w:sz w:val="24"/>
                <w:szCs w:val="24"/>
              </w:rPr>
            </w:pPr>
          </w:p>
        </w:tc>
        <w:tc>
          <w:tcPr>
            <w:tcW w:w="161" w:type="pct"/>
            <w:vMerge w:val="restart"/>
            <w:shd w:val="clear" w:color="auto" w:fill="auto"/>
            <w:vAlign w:val="center"/>
          </w:tcPr>
          <w:p w14:paraId="5DB7B0FE">
            <w:pPr>
              <w:widowControl/>
              <w:snapToGrid w:val="0"/>
              <w:spacing w:line="400" w:lineRule="exact"/>
              <w:jc w:val="center"/>
              <w:rPr>
                <w:rFonts w:cs="Times New Roman"/>
                <w:kern w:val="0"/>
                <w:sz w:val="24"/>
                <w:szCs w:val="24"/>
              </w:rPr>
            </w:pPr>
            <w:r>
              <w:rPr>
                <w:rFonts w:cs="Times New Roman"/>
                <w:kern w:val="0"/>
                <w:sz w:val="24"/>
                <w:szCs w:val="24"/>
              </w:rPr>
              <w:t>社会源危险废物</w:t>
            </w:r>
          </w:p>
        </w:tc>
        <w:tc>
          <w:tcPr>
            <w:tcW w:w="333" w:type="pct"/>
            <w:shd w:val="clear" w:color="auto" w:fill="auto"/>
            <w:vAlign w:val="center"/>
          </w:tcPr>
          <w:p w14:paraId="5AA0694F">
            <w:pPr>
              <w:widowControl/>
              <w:snapToGrid w:val="0"/>
              <w:spacing w:line="400" w:lineRule="exact"/>
              <w:jc w:val="center"/>
              <w:rPr>
                <w:rFonts w:cs="Times New Roman"/>
                <w:sz w:val="24"/>
                <w:szCs w:val="24"/>
              </w:rPr>
            </w:pPr>
            <w:r>
              <w:rPr>
                <w:rFonts w:cs="Times New Roman"/>
                <w:sz w:val="24"/>
                <w:szCs w:val="24"/>
              </w:rPr>
              <w:t>HW49</w:t>
            </w:r>
          </w:p>
        </w:tc>
        <w:tc>
          <w:tcPr>
            <w:tcW w:w="518" w:type="pct"/>
            <w:vMerge w:val="restart"/>
            <w:shd w:val="clear" w:color="auto" w:fill="auto"/>
            <w:vAlign w:val="center"/>
          </w:tcPr>
          <w:p w14:paraId="3143016C">
            <w:pPr>
              <w:widowControl/>
              <w:snapToGrid w:val="0"/>
              <w:spacing w:line="400" w:lineRule="exact"/>
              <w:jc w:val="center"/>
              <w:rPr>
                <w:rFonts w:cs="Times New Roman"/>
                <w:kern w:val="0"/>
                <w:sz w:val="24"/>
                <w:szCs w:val="24"/>
              </w:rPr>
            </w:pPr>
            <w:r>
              <w:rPr>
                <w:rFonts w:cs="Times New Roman"/>
                <w:kern w:val="0"/>
                <w:sz w:val="24"/>
                <w:szCs w:val="24"/>
              </w:rPr>
              <w:t>1455.37吨</w:t>
            </w:r>
          </w:p>
        </w:tc>
        <w:tc>
          <w:tcPr>
            <w:tcW w:w="503" w:type="pct"/>
            <w:shd w:val="clear" w:color="auto" w:fill="auto"/>
            <w:vAlign w:val="center"/>
          </w:tcPr>
          <w:p w14:paraId="36400A65">
            <w:pPr>
              <w:widowControl/>
              <w:snapToGrid w:val="0"/>
              <w:spacing w:line="400" w:lineRule="exact"/>
              <w:jc w:val="center"/>
              <w:rPr>
                <w:rFonts w:cs="Times New Roman"/>
                <w:sz w:val="24"/>
                <w:szCs w:val="24"/>
              </w:rPr>
            </w:pPr>
            <w:r>
              <w:rPr>
                <w:rFonts w:cs="Times New Roman"/>
                <w:sz w:val="24"/>
                <w:szCs w:val="24"/>
              </w:rPr>
              <w:t>972.35吨</w:t>
            </w:r>
          </w:p>
        </w:tc>
        <w:tc>
          <w:tcPr>
            <w:tcW w:w="623" w:type="pct"/>
            <w:vMerge w:val="continue"/>
            <w:vAlign w:val="center"/>
          </w:tcPr>
          <w:p w14:paraId="0B4DCA8E">
            <w:pPr>
              <w:widowControl/>
              <w:snapToGrid w:val="0"/>
              <w:spacing w:line="400" w:lineRule="exact"/>
              <w:jc w:val="left"/>
              <w:rPr>
                <w:rFonts w:cs="Times New Roman"/>
                <w:kern w:val="0"/>
                <w:sz w:val="24"/>
                <w:szCs w:val="24"/>
              </w:rPr>
            </w:pPr>
          </w:p>
        </w:tc>
        <w:tc>
          <w:tcPr>
            <w:tcW w:w="545" w:type="pct"/>
            <w:shd w:val="clear" w:color="auto" w:fill="auto"/>
            <w:vAlign w:val="center"/>
          </w:tcPr>
          <w:p w14:paraId="11B7DA51">
            <w:pPr>
              <w:widowControl/>
              <w:snapToGrid w:val="0"/>
              <w:spacing w:line="400" w:lineRule="exact"/>
              <w:jc w:val="center"/>
              <w:rPr>
                <w:rFonts w:cs="Times New Roman"/>
                <w:sz w:val="24"/>
                <w:szCs w:val="24"/>
              </w:rPr>
            </w:pPr>
            <w:r>
              <w:rPr>
                <w:rFonts w:cs="Times New Roman"/>
                <w:sz w:val="24"/>
                <w:szCs w:val="24"/>
              </w:rPr>
              <w:t>972.35吨</w:t>
            </w:r>
          </w:p>
        </w:tc>
        <w:tc>
          <w:tcPr>
            <w:tcW w:w="597" w:type="pct"/>
            <w:shd w:val="clear" w:color="auto" w:fill="auto"/>
            <w:vAlign w:val="center"/>
          </w:tcPr>
          <w:p w14:paraId="102E7F6E">
            <w:pPr>
              <w:widowControl/>
              <w:snapToGrid w:val="0"/>
              <w:spacing w:line="400" w:lineRule="exact"/>
              <w:jc w:val="center"/>
              <w:rPr>
                <w:rFonts w:cs="Times New Roman"/>
                <w:sz w:val="24"/>
                <w:szCs w:val="24"/>
              </w:rPr>
            </w:pPr>
            <w:r>
              <w:rPr>
                <w:rFonts w:cs="Times New Roman"/>
                <w:sz w:val="24"/>
                <w:szCs w:val="24"/>
              </w:rPr>
              <w:t>7.02吨</w:t>
            </w:r>
          </w:p>
        </w:tc>
        <w:tc>
          <w:tcPr>
            <w:tcW w:w="544" w:type="pct"/>
            <w:shd w:val="clear" w:color="auto" w:fill="auto"/>
            <w:vAlign w:val="center"/>
          </w:tcPr>
          <w:p w14:paraId="5642CCC2">
            <w:pPr>
              <w:widowControl/>
              <w:snapToGrid w:val="0"/>
              <w:spacing w:line="400" w:lineRule="exact"/>
              <w:jc w:val="center"/>
              <w:rPr>
                <w:rFonts w:cs="Times New Roman"/>
                <w:sz w:val="24"/>
                <w:szCs w:val="24"/>
              </w:rPr>
            </w:pPr>
            <w:r>
              <w:rPr>
                <w:rFonts w:cs="Times New Roman"/>
                <w:sz w:val="24"/>
                <w:szCs w:val="24"/>
              </w:rPr>
              <w:t>362.39吨</w:t>
            </w:r>
          </w:p>
        </w:tc>
        <w:tc>
          <w:tcPr>
            <w:tcW w:w="430" w:type="pct"/>
            <w:shd w:val="clear" w:color="auto" w:fill="auto"/>
            <w:vAlign w:val="center"/>
          </w:tcPr>
          <w:p w14:paraId="646EE941">
            <w:pPr>
              <w:widowControl/>
              <w:snapToGrid w:val="0"/>
              <w:spacing w:line="400" w:lineRule="exact"/>
              <w:rPr>
                <w:rFonts w:cs="Times New Roman"/>
                <w:sz w:val="24"/>
                <w:szCs w:val="24"/>
              </w:rPr>
            </w:pPr>
            <w:r>
              <w:rPr>
                <w:rFonts w:cs="Times New Roman"/>
                <w:spacing w:val="0"/>
                <w:kern w:val="0"/>
                <w:sz w:val="24"/>
                <w:szCs w:val="24"/>
                <w:fitText w:val="960" w:id="1677938373"/>
              </w:rPr>
              <w:t>195.17吨</w:t>
            </w:r>
          </w:p>
        </w:tc>
      </w:tr>
      <w:tr w14:paraId="40C1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1" w:type="pct"/>
            <w:vMerge w:val="continue"/>
            <w:vAlign w:val="center"/>
          </w:tcPr>
          <w:p w14:paraId="68F2DAB4">
            <w:pPr>
              <w:widowControl/>
              <w:snapToGrid w:val="0"/>
              <w:spacing w:line="400" w:lineRule="exact"/>
              <w:jc w:val="center"/>
              <w:rPr>
                <w:rFonts w:cs="Times New Roman"/>
                <w:b/>
                <w:bCs/>
                <w:kern w:val="0"/>
                <w:sz w:val="24"/>
                <w:szCs w:val="24"/>
              </w:rPr>
            </w:pPr>
          </w:p>
        </w:tc>
        <w:tc>
          <w:tcPr>
            <w:tcW w:w="161" w:type="pct"/>
            <w:vMerge w:val="continue"/>
            <w:shd w:val="clear" w:color="auto" w:fill="auto"/>
            <w:vAlign w:val="center"/>
          </w:tcPr>
          <w:p w14:paraId="1B3F3ACB">
            <w:pPr>
              <w:widowControl/>
              <w:snapToGrid w:val="0"/>
              <w:spacing w:line="400" w:lineRule="exact"/>
              <w:jc w:val="center"/>
              <w:rPr>
                <w:rFonts w:cs="Times New Roman"/>
                <w:kern w:val="0"/>
                <w:sz w:val="24"/>
                <w:szCs w:val="24"/>
              </w:rPr>
            </w:pPr>
          </w:p>
        </w:tc>
        <w:tc>
          <w:tcPr>
            <w:tcW w:w="333" w:type="pct"/>
            <w:shd w:val="clear" w:color="auto" w:fill="auto"/>
            <w:vAlign w:val="center"/>
          </w:tcPr>
          <w:p w14:paraId="282874D3">
            <w:pPr>
              <w:widowControl/>
              <w:snapToGrid w:val="0"/>
              <w:spacing w:line="400" w:lineRule="exact"/>
              <w:jc w:val="center"/>
              <w:rPr>
                <w:rFonts w:cs="Times New Roman"/>
                <w:kern w:val="0"/>
                <w:sz w:val="24"/>
                <w:szCs w:val="24"/>
              </w:rPr>
            </w:pPr>
            <w:r>
              <w:rPr>
                <w:rFonts w:cs="Times New Roman"/>
                <w:sz w:val="24"/>
                <w:szCs w:val="24"/>
              </w:rPr>
              <w:t>HW08</w:t>
            </w:r>
          </w:p>
        </w:tc>
        <w:tc>
          <w:tcPr>
            <w:tcW w:w="518" w:type="pct"/>
            <w:vMerge w:val="continue"/>
            <w:shd w:val="clear" w:color="auto" w:fill="auto"/>
            <w:vAlign w:val="center"/>
          </w:tcPr>
          <w:p w14:paraId="5CE5F9C1">
            <w:pPr>
              <w:widowControl/>
              <w:snapToGrid w:val="0"/>
              <w:spacing w:line="400" w:lineRule="exact"/>
              <w:jc w:val="center"/>
              <w:rPr>
                <w:rFonts w:cs="Times New Roman"/>
                <w:kern w:val="0"/>
                <w:sz w:val="24"/>
                <w:szCs w:val="24"/>
              </w:rPr>
            </w:pPr>
          </w:p>
        </w:tc>
        <w:tc>
          <w:tcPr>
            <w:tcW w:w="503" w:type="pct"/>
            <w:shd w:val="clear" w:color="auto" w:fill="auto"/>
            <w:vAlign w:val="center"/>
          </w:tcPr>
          <w:p w14:paraId="64352292">
            <w:pPr>
              <w:widowControl/>
              <w:snapToGrid w:val="0"/>
              <w:spacing w:line="400" w:lineRule="exact"/>
              <w:jc w:val="center"/>
              <w:rPr>
                <w:rFonts w:cs="Times New Roman"/>
                <w:kern w:val="0"/>
                <w:sz w:val="24"/>
                <w:szCs w:val="24"/>
              </w:rPr>
            </w:pPr>
            <w:r>
              <w:rPr>
                <w:rFonts w:cs="Times New Roman"/>
                <w:sz w:val="24"/>
                <w:szCs w:val="24"/>
              </w:rPr>
              <w:t>239.17吨</w:t>
            </w:r>
          </w:p>
        </w:tc>
        <w:tc>
          <w:tcPr>
            <w:tcW w:w="623" w:type="pct"/>
            <w:vMerge w:val="continue"/>
            <w:vAlign w:val="center"/>
          </w:tcPr>
          <w:p w14:paraId="424A38EC">
            <w:pPr>
              <w:widowControl/>
              <w:snapToGrid w:val="0"/>
              <w:spacing w:line="400" w:lineRule="exact"/>
              <w:jc w:val="left"/>
              <w:rPr>
                <w:rFonts w:cs="Times New Roman"/>
                <w:kern w:val="0"/>
                <w:sz w:val="24"/>
                <w:szCs w:val="24"/>
              </w:rPr>
            </w:pPr>
          </w:p>
        </w:tc>
        <w:tc>
          <w:tcPr>
            <w:tcW w:w="545" w:type="pct"/>
            <w:shd w:val="clear" w:color="auto" w:fill="auto"/>
            <w:vAlign w:val="center"/>
          </w:tcPr>
          <w:p w14:paraId="5BBD5E9A">
            <w:pPr>
              <w:widowControl/>
              <w:snapToGrid w:val="0"/>
              <w:spacing w:line="400" w:lineRule="exact"/>
              <w:jc w:val="center"/>
              <w:rPr>
                <w:rFonts w:cs="Times New Roman"/>
                <w:kern w:val="0"/>
                <w:sz w:val="24"/>
                <w:szCs w:val="24"/>
              </w:rPr>
            </w:pPr>
            <w:r>
              <w:rPr>
                <w:rFonts w:cs="Times New Roman"/>
                <w:sz w:val="24"/>
                <w:szCs w:val="24"/>
              </w:rPr>
              <w:t>239.17吨</w:t>
            </w:r>
          </w:p>
        </w:tc>
        <w:tc>
          <w:tcPr>
            <w:tcW w:w="597" w:type="pct"/>
            <w:shd w:val="clear" w:color="auto" w:fill="auto"/>
            <w:vAlign w:val="center"/>
          </w:tcPr>
          <w:p w14:paraId="68E7568D">
            <w:pPr>
              <w:widowControl/>
              <w:snapToGrid w:val="0"/>
              <w:spacing w:line="400" w:lineRule="exact"/>
              <w:jc w:val="center"/>
              <w:rPr>
                <w:rFonts w:cs="Times New Roman"/>
                <w:kern w:val="0"/>
                <w:sz w:val="24"/>
                <w:szCs w:val="24"/>
                <w:shd w:val="pct10" w:color="auto" w:fill="FFFFFF"/>
              </w:rPr>
            </w:pPr>
            <w:r>
              <w:rPr>
                <w:rFonts w:cs="Times New Roman"/>
                <w:sz w:val="24"/>
                <w:szCs w:val="24"/>
              </w:rPr>
              <w:t>5.42吨</w:t>
            </w:r>
          </w:p>
        </w:tc>
        <w:tc>
          <w:tcPr>
            <w:tcW w:w="544" w:type="pct"/>
            <w:shd w:val="clear" w:color="auto" w:fill="auto"/>
            <w:vAlign w:val="center"/>
          </w:tcPr>
          <w:p w14:paraId="2E95F533">
            <w:pPr>
              <w:widowControl/>
              <w:snapToGrid w:val="0"/>
              <w:spacing w:line="400" w:lineRule="exact"/>
              <w:jc w:val="center"/>
              <w:rPr>
                <w:rFonts w:cs="Times New Roman"/>
                <w:kern w:val="0"/>
                <w:sz w:val="24"/>
                <w:szCs w:val="24"/>
                <w:shd w:val="pct10" w:color="auto" w:fill="FFFFFF"/>
              </w:rPr>
            </w:pPr>
            <w:r>
              <w:rPr>
                <w:rFonts w:cs="Times New Roman"/>
                <w:sz w:val="24"/>
                <w:szCs w:val="24"/>
              </w:rPr>
              <w:t>2.32吨</w:t>
            </w:r>
          </w:p>
        </w:tc>
        <w:tc>
          <w:tcPr>
            <w:tcW w:w="430" w:type="pct"/>
            <w:shd w:val="clear" w:color="auto" w:fill="auto"/>
            <w:vAlign w:val="center"/>
          </w:tcPr>
          <w:p w14:paraId="37B72E6E">
            <w:pPr>
              <w:widowControl/>
              <w:snapToGrid w:val="0"/>
              <w:spacing w:line="400" w:lineRule="exact"/>
              <w:jc w:val="center"/>
              <w:rPr>
                <w:rFonts w:cs="Times New Roman"/>
                <w:kern w:val="0"/>
                <w:sz w:val="24"/>
                <w:szCs w:val="24"/>
                <w:shd w:val="pct10" w:color="auto" w:fill="FFFFFF"/>
              </w:rPr>
            </w:pPr>
            <w:r>
              <w:rPr>
                <w:rFonts w:cs="Times New Roman"/>
                <w:sz w:val="24"/>
                <w:szCs w:val="24"/>
              </w:rPr>
              <w:t>25.32吨</w:t>
            </w:r>
          </w:p>
        </w:tc>
      </w:tr>
      <w:tr w14:paraId="4214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1" w:type="pct"/>
            <w:vMerge w:val="continue"/>
            <w:vAlign w:val="center"/>
          </w:tcPr>
          <w:p w14:paraId="4754A411">
            <w:pPr>
              <w:widowControl/>
              <w:snapToGrid w:val="0"/>
              <w:spacing w:line="400" w:lineRule="exact"/>
              <w:jc w:val="center"/>
              <w:rPr>
                <w:rFonts w:cs="Times New Roman"/>
                <w:b/>
                <w:bCs/>
                <w:kern w:val="0"/>
                <w:sz w:val="24"/>
                <w:szCs w:val="24"/>
              </w:rPr>
            </w:pPr>
          </w:p>
        </w:tc>
        <w:tc>
          <w:tcPr>
            <w:tcW w:w="161" w:type="pct"/>
            <w:vMerge w:val="continue"/>
            <w:shd w:val="clear" w:color="auto" w:fill="auto"/>
            <w:vAlign w:val="center"/>
          </w:tcPr>
          <w:p w14:paraId="7E74D995">
            <w:pPr>
              <w:widowControl/>
              <w:snapToGrid w:val="0"/>
              <w:spacing w:line="400" w:lineRule="exact"/>
              <w:jc w:val="center"/>
              <w:rPr>
                <w:rFonts w:cs="Times New Roman"/>
                <w:kern w:val="0"/>
                <w:sz w:val="24"/>
                <w:szCs w:val="24"/>
              </w:rPr>
            </w:pPr>
          </w:p>
        </w:tc>
        <w:tc>
          <w:tcPr>
            <w:tcW w:w="333" w:type="pct"/>
            <w:shd w:val="clear" w:color="auto" w:fill="auto"/>
            <w:vAlign w:val="center"/>
          </w:tcPr>
          <w:p w14:paraId="006AF92B">
            <w:pPr>
              <w:widowControl/>
              <w:snapToGrid w:val="0"/>
              <w:spacing w:line="400" w:lineRule="exact"/>
              <w:jc w:val="center"/>
              <w:rPr>
                <w:rFonts w:cs="Times New Roman"/>
                <w:kern w:val="0"/>
                <w:sz w:val="24"/>
                <w:szCs w:val="24"/>
              </w:rPr>
            </w:pPr>
            <w:r>
              <w:rPr>
                <w:rFonts w:cs="Times New Roman"/>
                <w:sz w:val="24"/>
                <w:szCs w:val="24"/>
              </w:rPr>
              <w:t>HW03</w:t>
            </w:r>
          </w:p>
        </w:tc>
        <w:tc>
          <w:tcPr>
            <w:tcW w:w="518" w:type="pct"/>
            <w:vMerge w:val="continue"/>
            <w:shd w:val="clear" w:color="auto" w:fill="auto"/>
            <w:vAlign w:val="center"/>
          </w:tcPr>
          <w:p w14:paraId="7EA1FAB9">
            <w:pPr>
              <w:widowControl/>
              <w:snapToGrid w:val="0"/>
              <w:spacing w:line="400" w:lineRule="exact"/>
              <w:jc w:val="center"/>
              <w:rPr>
                <w:rFonts w:cs="Times New Roman"/>
                <w:kern w:val="0"/>
                <w:sz w:val="24"/>
                <w:szCs w:val="24"/>
              </w:rPr>
            </w:pPr>
          </w:p>
        </w:tc>
        <w:tc>
          <w:tcPr>
            <w:tcW w:w="503" w:type="pct"/>
            <w:shd w:val="clear" w:color="auto" w:fill="auto"/>
            <w:vAlign w:val="center"/>
          </w:tcPr>
          <w:p w14:paraId="37A507E3">
            <w:pPr>
              <w:widowControl/>
              <w:snapToGrid w:val="0"/>
              <w:spacing w:line="400" w:lineRule="exact"/>
              <w:jc w:val="center"/>
              <w:rPr>
                <w:rFonts w:cs="Times New Roman"/>
                <w:kern w:val="0"/>
                <w:sz w:val="24"/>
                <w:szCs w:val="24"/>
              </w:rPr>
            </w:pPr>
            <w:r>
              <w:rPr>
                <w:rFonts w:cs="Times New Roman"/>
                <w:sz w:val="24"/>
                <w:szCs w:val="24"/>
              </w:rPr>
              <w:t>101.19吨</w:t>
            </w:r>
          </w:p>
        </w:tc>
        <w:tc>
          <w:tcPr>
            <w:tcW w:w="623" w:type="pct"/>
            <w:vMerge w:val="continue"/>
            <w:vAlign w:val="center"/>
          </w:tcPr>
          <w:p w14:paraId="49055A05">
            <w:pPr>
              <w:widowControl/>
              <w:snapToGrid w:val="0"/>
              <w:spacing w:line="400" w:lineRule="exact"/>
              <w:jc w:val="left"/>
              <w:rPr>
                <w:rFonts w:cs="Times New Roman"/>
                <w:kern w:val="0"/>
                <w:sz w:val="24"/>
                <w:szCs w:val="24"/>
              </w:rPr>
            </w:pPr>
          </w:p>
        </w:tc>
        <w:tc>
          <w:tcPr>
            <w:tcW w:w="545" w:type="pct"/>
            <w:shd w:val="clear" w:color="auto" w:fill="auto"/>
            <w:vAlign w:val="center"/>
          </w:tcPr>
          <w:p w14:paraId="0E65A5E4">
            <w:pPr>
              <w:widowControl/>
              <w:snapToGrid w:val="0"/>
              <w:spacing w:line="400" w:lineRule="exact"/>
              <w:jc w:val="center"/>
              <w:rPr>
                <w:rFonts w:cs="Times New Roman"/>
                <w:kern w:val="0"/>
                <w:sz w:val="24"/>
                <w:szCs w:val="24"/>
              </w:rPr>
            </w:pPr>
            <w:r>
              <w:rPr>
                <w:rFonts w:cs="Times New Roman"/>
                <w:sz w:val="24"/>
                <w:szCs w:val="24"/>
              </w:rPr>
              <w:t>101.19吨</w:t>
            </w:r>
          </w:p>
        </w:tc>
        <w:tc>
          <w:tcPr>
            <w:tcW w:w="597" w:type="pct"/>
            <w:shd w:val="clear" w:color="auto" w:fill="auto"/>
            <w:vAlign w:val="center"/>
          </w:tcPr>
          <w:p w14:paraId="054996E9">
            <w:pPr>
              <w:widowControl/>
              <w:snapToGrid w:val="0"/>
              <w:spacing w:line="400" w:lineRule="exact"/>
              <w:jc w:val="center"/>
              <w:rPr>
                <w:rFonts w:cs="Times New Roman"/>
                <w:kern w:val="0"/>
                <w:sz w:val="24"/>
                <w:szCs w:val="24"/>
                <w:shd w:val="pct10" w:color="auto" w:fill="FFFFFF"/>
              </w:rPr>
            </w:pPr>
            <w:r>
              <w:rPr>
                <w:rFonts w:cs="Times New Roman"/>
                <w:sz w:val="24"/>
                <w:szCs w:val="24"/>
              </w:rPr>
              <w:t>/</w:t>
            </w:r>
          </w:p>
        </w:tc>
        <w:tc>
          <w:tcPr>
            <w:tcW w:w="544" w:type="pct"/>
            <w:shd w:val="clear" w:color="auto" w:fill="auto"/>
            <w:vAlign w:val="center"/>
          </w:tcPr>
          <w:p w14:paraId="3691B417">
            <w:pPr>
              <w:widowControl/>
              <w:snapToGrid w:val="0"/>
              <w:spacing w:line="400" w:lineRule="exact"/>
              <w:jc w:val="center"/>
              <w:rPr>
                <w:rFonts w:cs="Times New Roman"/>
                <w:kern w:val="0"/>
                <w:sz w:val="24"/>
                <w:szCs w:val="24"/>
                <w:shd w:val="pct10" w:color="auto" w:fill="FFFFFF"/>
              </w:rPr>
            </w:pPr>
            <w:r>
              <w:rPr>
                <w:rFonts w:cs="Times New Roman"/>
                <w:sz w:val="24"/>
                <w:szCs w:val="24"/>
              </w:rPr>
              <w:t>101.06吨</w:t>
            </w:r>
          </w:p>
        </w:tc>
        <w:tc>
          <w:tcPr>
            <w:tcW w:w="430" w:type="pct"/>
            <w:shd w:val="clear" w:color="auto" w:fill="auto"/>
            <w:vAlign w:val="center"/>
          </w:tcPr>
          <w:p w14:paraId="5BBBA4B5">
            <w:pPr>
              <w:widowControl/>
              <w:snapToGrid w:val="0"/>
              <w:spacing w:line="400" w:lineRule="exact"/>
              <w:jc w:val="center"/>
              <w:rPr>
                <w:rFonts w:cs="Times New Roman"/>
                <w:kern w:val="0"/>
                <w:sz w:val="24"/>
                <w:szCs w:val="24"/>
                <w:shd w:val="pct10" w:color="auto" w:fill="FFFFFF"/>
              </w:rPr>
            </w:pPr>
            <w:r>
              <w:rPr>
                <w:rFonts w:cs="Times New Roman"/>
                <w:sz w:val="24"/>
                <w:szCs w:val="24"/>
              </w:rPr>
              <w:t>0.13吨</w:t>
            </w:r>
          </w:p>
        </w:tc>
      </w:tr>
      <w:tr w14:paraId="6895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1" w:type="pct"/>
            <w:vMerge w:val="continue"/>
            <w:vAlign w:val="center"/>
          </w:tcPr>
          <w:p w14:paraId="68780E41">
            <w:pPr>
              <w:widowControl/>
              <w:snapToGrid w:val="0"/>
              <w:spacing w:line="400" w:lineRule="exact"/>
              <w:jc w:val="center"/>
              <w:rPr>
                <w:rFonts w:cs="Times New Roman"/>
                <w:b/>
                <w:bCs/>
                <w:kern w:val="0"/>
                <w:sz w:val="24"/>
                <w:szCs w:val="24"/>
              </w:rPr>
            </w:pPr>
          </w:p>
        </w:tc>
        <w:tc>
          <w:tcPr>
            <w:tcW w:w="161" w:type="pct"/>
            <w:vMerge w:val="continue"/>
            <w:shd w:val="clear" w:color="auto" w:fill="auto"/>
            <w:vAlign w:val="center"/>
          </w:tcPr>
          <w:p w14:paraId="5EDD2637">
            <w:pPr>
              <w:widowControl/>
              <w:snapToGrid w:val="0"/>
              <w:spacing w:line="400" w:lineRule="exact"/>
              <w:jc w:val="center"/>
              <w:rPr>
                <w:rFonts w:cs="Times New Roman"/>
                <w:kern w:val="0"/>
                <w:sz w:val="24"/>
                <w:szCs w:val="24"/>
              </w:rPr>
            </w:pPr>
          </w:p>
        </w:tc>
        <w:tc>
          <w:tcPr>
            <w:tcW w:w="333" w:type="pct"/>
            <w:shd w:val="clear" w:color="auto" w:fill="auto"/>
            <w:vAlign w:val="center"/>
          </w:tcPr>
          <w:p w14:paraId="79D84C47">
            <w:pPr>
              <w:widowControl/>
              <w:snapToGrid w:val="0"/>
              <w:spacing w:line="400" w:lineRule="exact"/>
              <w:jc w:val="center"/>
              <w:rPr>
                <w:rFonts w:cs="Times New Roman"/>
                <w:kern w:val="0"/>
                <w:sz w:val="24"/>
                <w:szCs w:val="24"/>
              </w:rPr>
            </w:pPr>
            <w:r>
              <w:rPr>
                <w:rFonts w:cs="Times New Roman"/>
                <w:kern w:val="0"/>
                <w:sz w:val="24"/>
                <w:szCs w:val="24"/>
              </w:rPr>
              <w:t>其他</w:t>
            </w:r>
          </w:p>
        </w:tc>
        <w:tc>
          <w:tcPr>
            <w:tcW w:w="518" w:type="pct"/>
            <w:vMerge w:val="continue"/>
            <w:shd w:val="clear" w:color="auto" w:fill="auto"/>
            <w:vAlign w:val="center"/>
          </w:tcPr>
          <w:p w14:paraId="5712A304">
            <w:pPr>
              <w:widowControl/>
              <w:snapToGrid w:val="0"/>
              <w:spacing w:line="400" w:lineRule="exact"/>
              <w:jc w:val="center"/>
              <w:rPr>
                <w:rFonts w:cs="Times New Roman"/>
                <w:kern w:val="0"/>
                <w:sz w:val="24"/>
                <w:szCs w:val="24"/>
              </w:rPr>
            </w:pPr>
          </w:p>
        </w:tc>
        <w:tc>
          <w:tcPr>
            <w:tcW w:w="503" w:type="pct"/>
            <w:shd w:val="clear" w:color="auto" w:fill="auto"/>
            <w:vAlign w:val="center"/>
          </w:tcPr>
          <w:p w14:paraId="5F7ABAB0">
            <w:pPr>
              <w:widowControl/>
              <w:snapToGrid w:val="0"/>
              <w:spacing w:line="400" w:lineRule="exact"/>
              <w:jc w:val="center"/>
              <w:rPr>
                <w:rFonts w:cs="Times New Roman"/>
                <w:kern w:val="0"/>
                <w:sz w:val="24"/>
                <w:szCs w:val="24"/>
              </w:rPr>
            </w:pPr>
            <w:r>
              <w:rPr>
                <w:rFonts w:cs="Times New Roman"/>
                <w:kern w:val="0"/>
                <w:sz w:val="24"/>
                <w:szCs w:val="24"/>
              </w:rPr>
              <w:t>142.66吨</w:t>
            </w:r>
          </w:p>
        </w:tc>
        <w:tc>
          <w:tcPr>
            <w:tcW w:w="623" w:type="pct"/>
            <w:vMerge w:val="continue"/>
            <w:vAlign w:val="center"/>
          </w:tcPr>
          <w:p w14:paraId="53EFC770">
            <w:pPr>
              <w:widowControl/>
              <w:snapToGrid w:val="0"/>
              <w:spacing w:line="400" w:lineRule="exact"/>
              <w:jc w:val="left"/>
              <w:rPr>
                <w:rFonts w:cs="Times New Roman"/>
                <w:kern w:val="0"/>
                <w:sz w:val="24"/>
                <w:szCs w:val="24"/>
              </w:rPr>
            </w:pPr>
          </w:p>
        </w:tc>
        <w:tc>
          <w:tcPr>
            <w:tcW w:w="545" w:type="pct"/>
            <w:shd w:val="clear" w:color="auto" w:fill="auto"/>
            <w:vAlign w:val="center"/>
          </w:tcPr>
          <w:p w14:paraId="051DCA2D">
            <w:pPr>
              <w:widowControl/>
              <w:snapToGrid w:val="0"/>
              <w:spacing w:line="400" w:lineRule="exact"/>
              <w:jc w:val="center"/>
              <w:rPr>
                <w:rFonts w:cs="Times New Roman"/>
                <w:kern w:val="0"/>
                <w:sz w:val="24"/>
                <w:szCs w:val="24"/>
              </w:rPr>
            </w:pPr>
            <w:r>
              <w:rPr>
                <w:rFonts w:cs="Times New Roman"/>
                <w:kern w:val="0"/>
                <w:sz w:val="24"/>
                <w:szCs w:val="24"/>
              </w:rPr>
              <w:t>142.66吨</w:t>
            </w:r>
          </w:p>
        </w:tc>
        <w:tc>
          <w:tcPr>
            <w:tcW w:w="597" w:type="pct"/>
            <w:shd w:val="clear" w:color="auto" w:fill="auto"/>
            <w:vAlign w:val="center"/>
          </w:tcPr>
          <w:p w14:paraId="3E2B727E">
            <w:pPr>
              <w:widowControl/>
              <w:snapToGrid w:val="0"/>
              <w:spacing w:line="400" w:lineRule="exact"/>
              <w:jc w:val="center"/>
              <w:rPr>
                <w:rFonts w:cs="Times New Roman"/>
                <w:kern w:val="0"/>
                <w:sz w:val="24"/>
                <w:szCs w:val="24"/>
              </w:rPr>
            </w:pPr>
            <w:r>
              <w:rPr>
                <w:rFonts w:cs="Times New Roman"/>
                <w:sz w:val="24"/>
                <w:szCs w:val="24"/>
              </w:rPr>
              <w:t>54.15吨</w:t>
            </w:r>
          </w:p>
        </w:tc>
        <w:tc>
          <w:tcPr>
            <w:tcW w:w="544" w:type="pct"/>
            <w:shd w:val="clear" w:color="auto" w:fill="auto"/>
            <w:vAlign w:val="center"/>
          </w:tcPr>
          <w:p w14:paraId="7D9F29F0">
            <w:pPr>
              <w:widowControl/>
              <w:snapToGrid w:val="0"/>
              <w:spacing w:line="400" w:lineRule="exact"/>
              <w:jc w:val="center"/>
              <w:rPr>
                <w:rFonts w:cs="Times New Roman"/>
                <w:kern w:val="0"/>
                <w:sz w:val="24"/>
                <w:szCs w:val="24"/>
              </w:rPr>
            </w:pPr>
            <w:r>
              <w:rPr>
                <w:rFonts w:cs="Times New Roman"/>
                <w:sz w:val="24"/>
                <w:szCs w:val="24"/>
              </w:rPr>
              <w:t>20.72吨</w:t>
            </w:r>
          </w:p>
        </w:tc>
        <w:tc>
          <w:tcPr>
            <w:tcW w:w="430" w:type="pct"/>
            <w:shd w:val="clear" w:color="auto" w:fill="auto"/>
            <w:vAlign w:val="center"/>
          </w:tcPr>
          <w:p w14:paraId="34346E6C">
            <w:pPr>
              <w:widowControl/>
              <w:snapToGrid w:val="0"/>
              <w:spacing w:line="400" w:lineRule="exact"/>
              <w:jc w:val="center"/>
              <w:rPr>
                <w:rFonts w:cs="Times New Roman"/>
                <w:kern w:val="0"/>
                <w:sz w:val="24"/>
                <w:szCs w:val="24"/>
              </w:rPr>
            </w:pPr>
            <w:r>
              <w:rPr>
                <w:rFonts w:cs="Times New Roman"/>
                <w:kern w:val="0"/>
                <w:sz w:val="24"/>
                <w:szCs w:val="24"/>
              </w:rPr>
              <w:t>11.65吨</w:t>
            </w:r>
          </w:p>
        </w:tc>
      </w:tr>
      <w:tr w14:paraId="562E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41" w:type="pct"/>
            <w:vMerge w:val="continue"/>
            <w:vAlign w:val="center"/>
          </w:tcPr>
          <w:p w14:paraId="3A44A364">
            <w:pPr>
              <w:widowControl/>
              <w:snapToGrid w:val="0"/>
              <w:spacing w:line="400" w:lineRule="exact"/>
              <w:jc w:val="center"/>
              <w:rPr>
                <w:rFonts w:cs="Times New Roman"/>
                <w:b/>
                <w:bCs/>
                <w:kern w:val="0"/>
                <w:sz w:val="24"/>
                <w:szCs w:val="24"/>
              </w:rPr>
            </w:pPr>
          </w:p>
        </w:tc>
        <w:tc>
          <w:tcPr>
            <w:tcW w:w="161" w:type="pct"/>
            <w:vMerge w:val="restart"/>
            <w:shd w:val="clear" w:color="auto" w:fill="auto"/>
            <w:vAlign w:val="center"/>
          </w:tcPr>
          <w:p w14:paraId="7DD72B1A">
            <w:pPr>
              <w:widowControl/>
              <w:snapToGrid w:val="0"/>
              <w:spacing w:line="400" w:lineRule="exact"/>
              <w:jc w:val="center"/>
              <w:rPr>
                <w:rFonts w:cs="Times New Roman"/>
                <w:kern w:val="0"/>
                <w:sz w:val="24"/>
                <w:szCs w:val="24"/>
              </w:rPr>
            </w:pPr>
            <w:r>
              <w:rPr>
                <w:rFonts w:cs="Times New Roman"/>
                <w:kern w:val="0"/>
                <w:sz w:val="24"/>
                <w:szCs w:val="24"/>
              </w:rPr>
              <w:t>医疗废物</w:t>
            </w:r>
          </w:p>
        </w:tc>
        <w:tc>
          <w:tcPr>
            <w:tcW w:w="333" w:type="pct"/>
            <w:shd w:val="clear" w:color="auto" w:fill="auto"/>
            <w:vAlign w:val="center"/>
          </w:tcPr>
          <w:p w14:paraId="6DE75BE3">
            <w:pPr>
              <w:widowControl/>
              <w:snapToGrid w:val="0"/>
              <w:spacing w:line="400" w:lineRule="exact"/>
              <w:jc w:val="center"/>
              <w:rPr>
                <w:rFonts w:cs="Times New Roman"/>
                <w:kern w:val="0"/>
                <w:sz w:val="24"/>
                <w:szCs w:val="24"/>
              </w:rPr>
            </w:pPr>
            <w:r>
              <w:rPr>
                <w:rFonts w:cs="Times New Roman"/>
                <w:kern w:val="0"/>
                <w:sz w:val="24"/>
                <w:szCs w:val="24"/>
              </w:rPr>
              <w:t>新冠</w:t>
            </w:r>
          </w:p>
        </w:tc>
        <w:tc>
          <w:tcPr>
            <w:tcW w:w="518" w:type="pct"/>
            <w:vMerge w:val="restart"/>
            <w:vAlign w:val="center"/>
          </w:tcPr>
          <w:p w14:paraId="552DF0F0">
            <w:pPr>
              <w:widowControl/>
              <w:snapToGrid w:val="0"/>
              <w:spacing w:line="400" w:lineRule="exact"/>
              <w:jc w:val="center"/>
              <w:rPr>
                <w:rFonts w:cs="Times New Roman"/>
                <w:kern w:val="0"/>
                <w:sz w:val="24"/>
                <w:szCs w:val="24"/>
              </w:rPr>
            </w:pPr>
            <w:r>
              <w:rPr>
                <w:rFonts w:cs="Times New Roman"/>
                <w:sz w:val="24"/>
                <w:szCs w:val="24"/>
              </w:rPr>
              <w:t>2318.63吨</w:t>
            </w:r>
          </w:p>
        </w:tc>
        <w:tc>
          <w:tcPr>
            <w:tcW w:w="503" w:type="pct"/>
            <w:shd w:val="clear" w:color="auto" w:fill="auto"/>
            <w:vAlign w:val="center"/>
          </w:tcPr>
          <w:p w14:paraId="5F9D2EF0">
            <w:pPr>
              <w:widowControl/>
              <w:snapToGrid w:val="0"/>
              <w:spacing w:line="400" w:lineRule="exact"/>
              <w:jc w:val="center"/>
              <w:rPr>
                <w:rFonts w:cs="Times New Roman"/>
                <w:kern w:val="0"/>
                <w:sz w:val="24"/>
                <w:szCs w:val="24"/>
              </w:rPr>
            </w:pPr>
            <w:r>
              <w:rPr>
                <w:rFonts w:cs="Times New Roman"/>
                <w:kern w:val="0"/>
                <w:sz w:val="24"/>
                <w:szCs w:val="24"/>
              </w:rPr>
              <w:t>647.54吨</w:t>
            </w:r>
          </w:p>
        </w:tc>
        <w:tc>
          <w:tcPr>
            <w:tcW w:w="623" w:type="pct"/>
            <w:vMerge w:val="restart"/>
            <w:vAlign w:val="center"/>
          </w:tcPr>
          <w:p w14:paraId="05C9D46A">
            <w:pPr>
              <w:widowControl/>
              <w:snapToGrid w:val="0"/>
              <w:spacing w:line="300" w:lineRule="exact"/>
              <w:jc w:val="left"/>
              <w:rPr>
                <w:rFonts w:cs="Times New Roman"/>
                <w:kern w:val="0"/>
                <w:sz w:val="24"/>
                <w:szCs w:val="24"/>
              </w:rPr>
            </w:pPr>
            <w:r>
              <w:rPr>
                <w:rFonts w:cs="Times New Roman"/>
                <w:kern w:val="0"/>
                <w:sz w:val="24"/>
                <w:szCs w:val="24"/>
              </w:rPr>
              <w:t>48小时内由专业的医疗废物处置公司上门收取</w:t>
            </w:r>
          </w:p>
        </w:tc>
        <w:tc>
          <w:tcPr>
            <w:tcW w:w="545" w:type="pct"/>
            <w:vMerge w:val="restart"/>
            <w:shd w:val="clear" w:color="auto" w:fill="auto"/>
            <w:vAlign w:val="center"/>
          </w:tcPr>
          <w:p w14:paraId="1EE0A6B8">
            <w:pPr>
              <w:widowControl/>
              <w:snapToGrid w:val="0"/>
              <w:spacing w:line="400" w:lineRule="exact"/>
              <w:jc w:val="center"/>
              <w:rPr>
                <w:rFonts w:cs="Times New Roman"/>
                <w:kern w:val="0"/>
                <w:sz w:val="24"/>
                <w:szCs w:val="24"/>
              </w:rPr>
            </w:pPr>
            <w:r>
              <w:rPr>
                <w:rFonts w:cs="Times New Roman"/>
                <w:sz w:val="24"/>
                <w:szCs w:val="24"/>
              </w:rPr>
              <w:t>2318.63吨</w:t>
            </w:r>
          </w:p>
        </w:tc>
        <w:tc>
          <w:tcPr>
            <w:tcW w:w="597" w:type="pct"/>
            <w:vMerge w:val="restart"/>
            <w:shd w:val="clear" w:color="auto" w:fill="auto"/>
            <w:vAlign w:val="center"/>
          </w:tcPr>
          <w:p w14:paraId="4103307C">
            <w:pPr>
              <w:widowControl/>
              <w:snapToGrid w:val="0"/>
              <w:spacing w:line="400" w:lineRule="exact"/>
              <w:jc w:val="center"/>
              <w:rPr>
                <w:rFonts w:cs="Times New Roman"/>
                <w:sz w:val="24"/>
                <w:szCs w:val="24"/>
              </w:rPr>
            </w:pPr>
            <w:r>
              <w:rPr>
                <w:rFonts w:cs="Times New Roman"/>
                <w:kern w:val="0"/>
                <w:sz w:val="24"/>
                <w:szCs w:val="24"/>
              </w:rPr>
              <w:t>/</w:t>
            </w:r>
          </w:p>
        </w:tc>
        <w:tc>
          <w:tcPr>
            <w:tcW w:w="544" w:type="pct"/>
            <w:vMerge w:val="restart"/>
            <w:shd w:val="clear" w:color="auto" w:fill="auto"/>
            <w:vAlign w:val="center"/>
          </w:tcPr>
          <w:p w14:paraId="6F2F2ED8">
            <w:pPr>
              <w:widowControl/>
              <w:snapToGrid w:val="0"/>
              <w:spacing w:line="400" w:lineRule="exact"/>
              <w:jc w:val="center"/>
              <w:rPr>
                <w:rFonts w:cs="Times New Roman"/>
                <w:sz w:val="24"/>
                <w:szCs w:val="24"/>
              </w:rPr>
            </w:pPr>
            <w:r>
              <w:rPr>
                <w:rFonts w:cs="Times New Roman"/>
                <w:kern w:val="0"/>
                <w:sz w:val="24"/>
                <w:szCs w:val="24"/>
              </w:rPr>
              <w:t>焚烧处置</w:t>
            </w:r>
            <w:r>
              <w:rPr>
                <w:rFonts w:cs="Times New Roman"/>
                <w:sz w:val="24"/>
                <w:szCs w:val="24"/>
              </w:rPr>
              <w:t>2318.63吨</w:t>
            </w:r>
          </w:p>
        </w:tc>
        <w:tc>
          <w:tcPr>
            <w:tcW w:w="430" w:type="pct"/>
            <w:vMerge w:val="restart"/>
            <w:shd w:val="clear" w:color="auto" w:fill="auto"/>
            <w:vAlign w:val="center"/>
          </w:tcPr>
          <w:p w14:paraId="41CA7D99">
            <w:pPr>
              <w:widowControl/>
              <w:snapToGrid w:val="0"/>
              <w:spacing w:line="400" w:lineRule="exact"/>
              <w:jc w:val="center"/>
              <w:rPr>
                <w:rFonts w:cs="Times New Roman"/>
                <w:kern w:val="0"/>
                <w:sz w:val="24"/>
                <w:szCs w:val="24"/>
              </w:rPr>
            </w:pPr>
            <w:r>
              <w:rPr>
                <w:rFonts w:cs="Times New Roman"/>
                <w:kern w:val="0"/>
                <w:sz w:val="24"/>
                <w:szCs w:val="24"/>
              </w:rPr>
              <w:t>/</w:t>
            </w:r>
          </w:p>
        </w:tc>
      </w:tr>
      <w:tr w14:paraId="3F95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1" w:type="pct"/>
            <w:vMerge w:val="continue"/>
            <w:vAlign w:val="center"/>
          </w:tcPr>
          <w:p w14:paraId="6D258C78">
            <w:pPr>
              <w:widowControl/>
              <w:snapToGrid w:val="0"/>
              <w:spacing w:line="400" w:lineRule="exact"/>
              <w:jc w:val="center"/>
              <w:rPr>
                <w:rFonts w:cs="Times New Roman"/>
                <w:b/>
                <w:bCs/>
                <w:kern w:val="0"/>
                <w:sz w:val="24"/>
                <w:szCs w:val="24"/>
              </w:rPr>
            </w:pPr>
          </w:p>
        </w:tc>
        <w:tc>
          <w:tcPr>
            <w:tcW w:w="161" w:type="pct"/>
            <w:vMerge w:val="continue"/>
            <w:shd w:val="clear" w:color="auto" w:fill="auto"/>
            <w:vAlign w:val="center"/>
          </w:tcPr>
          <w:p w14:paraId="038ACE34">
            <w:pPr>
              <w:widowControl/>
              <w:snapToGrid w:val="0"/>
              <w:spacing w:line="400" w:lineRule="exact"/>
              <w:jc w:val="center"/>
              <w:rPr>
                <w:rFonts w:cs="Times New Roman"/>
                <w:kern w:val="0"/>
                <w:sz w:val="24"/>
                <w:szCs w:val="24"/>
              </w:rPr>
            </w:pPr>
          </w:p>
        </w:tc>
        <w:tc>
          <w:tcPr>
            <w:tcW w:w="333" w:type="pct"/>
            <w:shd w:val="clear" w:color="auto" w:fill="auto"/>
            <w:vAlign w:val="center"/>
          </w:tcPr>
          <w:p w14:paraId="2985F6ED">
            <w:pPr>
              <w:widowControl/>
              <w:snapToGrid w:val="0"/>
              <w:spacing w:line="400" w:lineRule="exact"/>
              <w:jc w:val="center"/>
              <w:rPr>
                <w:rFonts w:cs="Times New Roman"/>
                <w:kern w:val="0"/>
                <w:sz w:val="24"/>
                <w:szCs w:val="24"/>
              </w:rPr>
            </w:pPr>
            <w:r>
              <w:rPr>
                <w:rFonts w:cs="Times New Roman"/>
                <w:kern w:val="0"/>
                <w:sz w:val="24"/>
                <w:szCs w:val="24"/>
              </w:rPr>
              <w:t>其他</w:t>
            </w:r>
          </w:p>
        </w:tc>
        <w:tc>
          <w:tcPr>
            <w:tcW w:w="518" w:type="pct"/>
            <w:vMerge w:val="continue"/>
            <w:vAlign w:val="center"/>
          </w:tcPr>
          <w:p w14:paraId="1CC3A4AC">
            <w:pPr>
              <w:widowControl/>
              <w:snapToGrid w:val="0"/>
              <w:spacing w:line="400" w:lineRule="exact"/>
              <w:jc w:val="center"/>
              <w:rPr>
                <w:rFonts w:cs="Times New Roman"/>
                <w:kern w:val="0"/>
                <w:sz w:val="24"/>
                <w:szCs w:val="24"/>
              </w:rPr>
            </w:pPr>
          </w:p>
        </w:tc>
        <w:tc>
          <w:tcPr>
            <w:tcW w:w="503" w:type="pct"/>
            <w:shd w:val="clear" w:color="auto" w:fill="auto"/>
            <w:vAlign w:val="center"/>
          </w:tcPr>
          <w:p w14:paraId="26C63D2D">
            <w:pPr>
              <w:widowControl/>
              <w:snapToGrid w:val="0"/>
              <w:spacing w:line="400" w:lineRule="exact"/>
              <w:jc w:val="center"/>
              <w:rPr>
                <w:rFonts w:cs="Times New Roman"/>
                <w:kern w:val="0"/>
                <w:sz w:val="24"/>
                <w:szCs w:val="24"/>
              </w:rPr>
            </w:pPr>
            <w:r>
              <w:rPr>
                <w:rFonts w:cs="Times New Roman"/>
                <w:kern w:val="0"/>
                <w:sz w:val="24"/>
                <w:szCs w:val="24"/>
              </w:rPr>
              <w:t>1671.09吨</w:t>
            </w:r>
          </w:p>
        </w:tc>
        <w:tc>
          <w:tcPr>
            <w:tcW w:w="623" w:type="pct"/>
            <w:vMerge w:val="continue"/>
            <w:vAlign w:val="center"/>
          </w:tcPr>
          <w:p w14:paraId="3945D326">
            <w:pPr>
              <w:widowControl/>
              <w:snapToGrid w:val="0"/>
              <w:spacing w:line="300" w:lineRule="exact"/>
              <w:jc w:val="left"/>
              <w:rPr>
                <w:rFonts w:cs="Times New Roman"/>
                <w:kern w:val="0"/>
                <w:sz w:val="24"/>
                <w:szCs w:val="24"/>
              </w:rPr>
            </w:pPr>
          </w:p>
        </w:tc>
        <w:tc>
          <w:tcPr>
            <w:tcW w:w="545" w:type="pct"/>
            <w:vMerge w:val="continue"/>
            <w:shd w:val="clear" w:color="auto" w:fill="auto"/>
            <w:vAlign w:val="center"/>
          </w:tcPr>
          <w:p w14:paraId="1EBBE744">
            <w:pPr>
              <w:widowControl/>
              <w:snapToGrid w:val="0"/>
              <w:spacing w:line="400" w:lineRule="exact"/>
              <w:jc w:val="center"/>
              <w:rPr>
                <w:rFonts w:cs="Times New Roman"/>
                <w:kern w:val="0"/>
                <w:sz w:val="24"/>
                <w:szCs w:val="24"/>
              </w:rPr>
            </w:pPr>
          </w:p>
        </w:tc>
        <w:tc>
          <w:tcPr>
            <w:tcW w:w="597" w:type="pct"/>
            <w:vMerge w:val="continue"/>
            <w:shd w:val="clear" w:color="auto" w:fill="auto"/>
            <w:vAlign w:val="center"/>
          </w:tcPr>
          <w:p w14:paraId="358CA1E3">
            <w:pPr>
              <w:widowControl/>
              <w:snapToGrid w:val="0"/>
              <w:spacing w:line="400" w:lineRule="exact"/>
              <w:jc w:val="center"/>
              <w:rPr>
                <w:rFonts w:cs="Times New Roman"/>
                <w:sz w:val="24"/>
                <w:szCs w:val="24"/>
              </w:rPr>
            </w:pPr>
          </w:p>
        </w:tc>
        <w:tc>
          <w:tcPr>
            <w:tcW w:w="544" w:type="pct"/>
            <w:vMerge w:val="continue"/>
            <w:shd w:val="clear" w:color="auto" w:fill="auto"/>
            <w:vAlign w:val="center"/>
          </w:tcPr>
          <w:p w14:paraId="554509C2">
            <w:pPr>
              <w:widowControl/>
              <w:snapToGrid w:val="0"/>
              <w:spacing w:line="400" w:lineRule="exact"/>
              <w:jc w:val="center"/>
              <w:rPr>
                <w:rFonts w:cs="Times New Roman"/>
                <w:sz w:val="24"/>
                <w:szCs w:val="24"/>
              </w:rPr>
            </w:pPr>
          </w:p>
        </w:tc>
        <w:tc>
          <w:tcPr>
            <w:tcW w:w="430" w:type="pct"/>
            <w:vMerge w:val="continue"/>
            <w:shd w:val="clear" w:color="auto" w:fill="auto"/>
            <w:vAlign w:val="center"/>
          </w:tcPr>
          <w:p w14:paraId="2B664736">
            <w:pPr>
              <w:widowControl/>
              <w:snapToGrid w:val="0"/>
              <w:spacing w:line="400" w:lineRule="exact"/>
              <w:jc w:val="center"/>
              <w:rPr>
                <w:rFonts w:cs="Times New Roman"/>
                <w:kern w:val="0"/>
                <w:sz w:val="24"/>
                <w:szCs w:val="24"/>
              </w:rPr>
            </w:pPr>
          </w:p>
        </w:tc>
      </w:tr>
      <w:tr w14:paraId="7E85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1" w:type="pct"/>
            <w:shd w:val="clear" w:color="auto" w:fill="auto"/>
            <w:vAlign w:val="center"/>
          </w:tcPr>
          <w:p w14:paraId="5C754CF1">
            <w:pPr>
              <w:widowControl/>
              <w:snapToGrid w:val="0"/>
              <w:spacing w:line="400" w:lineRule="exact"/>
              <w:jc w:val="center"/>
              <w:rPr>
                <w:rFonts w:cs="Times New Roman"/>
                <w:b/>
                <w:bCs/>
                <w:kern w:val="0"/>
                <w:sz w:val="24"/>
                <w:szCs w:val="24"/>
              </w:rPr>
            </w:pPr>
            <w:r>
              <w:rPr>
                <w:rFonts w:cs="Times New Roman"/>
                <w:b/>
                <w:bCs/>
                <w:kern w:val="0"/>
                <w:sz w:val="24"/>
                <w:szCs w:val="24"/>
              </w:rPr>
              <w:t>再生资源</w:t>
            </w:r>
          </w:p>
        </w:tc>
        <w:tc>
          <w:tcPr>
            <w:tcW w:w="494" w:type="pct"/>
            <w:gridSpan w:val="2"/>
            <w:shd w:val="clear" w:color="auto" w:fill="auto"/>
            <w:vAlign w:val="center"/>
          </w:tcPr>
          <w:p w14:paraId="2B31C714">
            <w:pPr>
              <w:widowControl/>
              <w:snapToGrid w:val="0"/>
              <w:spacing w:line="300" w:lineRule="exact"/>
              <w:jc w:val="center"/>
              <w:rPr>
                <w:rFonts w:cs="Times New Roman"/>
                <w:kern w:val="0"/>
                <w:sz w:val="24"/>
                <w:szCs w:val="24"/>
              </w:rPr>
            </w:pPr>
            <w:r>
              <w:rPr>
                <w:rFonts w:cs="Times New Roman"/>
                <w:sz w:val="24"/>
                <w:szCs w:val="24"/>
              </w:rPr>
              <w:t>废纸、废钢铁、废塑料、废有色金属等</w:t>
            </w:r>
          </w:p>
        </w:tc>
        <w:tc>
          <w:tcPr>
            <w:tcW w:w="518" w:type="pct"/>
            <w:shd w:val="clear" w:color="auto" w:fill="auto"/>
            <w:vAlign w:val="center"/>
          </w:tcPr>
          <w:p w14:paraId="760047FB">
            <w:pPr>
              <w:widowControl/>
              <w:snapToGrid w:val="0"/>
              <w:spacing w:line="400" w:lineRule="exact"/>
              <w:jc w:val="center"/>
              <w:rPr>
                <w:rFonts w:cs="Times New Roman"/>
                <w:kern w:val="0"/>
                <w:sz w:val="24"/>
                <w:szCs w:val="24"/>
              </w:rPr>
            </w:pPr>
            <w:r>
              <w:rPr>
                <w:rFonts w:cs="Times New Roman"/>
                <w:kern w:val="0"/>
                <w:sz w:val="24"/>
                <w:szCs w:val="24"/>
              </w:rPr>
              <w:t>-</w:t>
            </w:r>
          </w:p>
        </w:tc>
        <w:tc>
          <w:tcPr>
            <w:tcW w:w="503" w:type="pct"/>
            <w:shd w:val="clear" w:color="auto" w:fill="auto"/>
            <w:vAlign w:val="center"/>
          </w:tcPr>
          <w:p w14:paraId="6AB595C6">
            <w:pPr>
              <w:widowControl/>
              <w:snapToGrid w:val="0"/>
              <w:spacing w:line="400" w:lineRule="exact"/>
              <w:jc w:val="center"/>
              <w:rPr>
                <w:rFonts w:cs="Times New Roman"/>
                <w:kern w:val="0"/>
                <w:sz w:val="24"/>
                <w:szCs w:val="24"/>
              </w:rPr>
            </w:pPr>
            <w:r>
              <w:rPr>
                <w:rFonts w:cs="Times New Roman"/>
                <w:kern w:val="0"/>
                <w:sz w:val="24"/>
                <w:szCs w:val="24"/>
              </w:rPr>
              <w:t>-</w:t>
            </w:r>
          </w:p>
        </w:tc>
        <w:tc>
          <w:tcPr>
            <w:tcW w:w="623" w:type="pct"/>
            <w:shd w:val="clear" w:color="auto" w:fill="auto"/>
            <w:vAlign w:val="center"/>
          </w:tcPr>
          <w:p w14:paraId="5B0F979B">
            <w:pPr>
              <w:widowControl/>
              <w:snapToGrid w:val="0"/>
              <w:spacing w:line="300" w:lineRule="exact"/>
              <w:jc w:val="left"/>
              <w:rPr>
                <w:rFonts w:cs="Times New Roman"/>
                <w:kern w:val="0"/>
                <w:sz w:val="24"/>
                <w:szCs w:val="24"/>
              </w:rPr>
            </w:pPr>
            <w:r>
              <w:rPr>
                <w:rFonts w:cs="Times New Roman"/>
                <w:kern w:val="0"/>
                <w:sz w:val="24"/>
                <w:szCs w:val="24"/>
              </w:rPr>
              <w:t>回收网点或企业定点回收</w:t>
            </w:r>
          </w:p>
        </w:tc>
        <w:tc>
          <w:tcPr>
            <w:tcW w:w="545" w:type="pct"/>
            <w:shd w:val="clear" w:color="auto" w:fill="auto"/>
            <w:vAlign w:val="center"/>
          </w:tcPr>
          <w:p w14:paraId="1EC8669B">
            <w:pPr>
              <w:widowControl/>
              <w:snapToGrid w:val="0"/>
              <w:spacing w:line="400" w:lineRule="exact"/>
              <w:jc w:val="center"/>
              <w:rPr>
                <w:rFonts w:cs="Times New Roman"/>
                <w:kern w:val="0"/>
                <w:sz w:val="24"/>
                <w:szCs w:val="24"/>
              </w:rPr>
            </w:pPr>
            <w:r>
              <w:rPr>
                <w:rFonts w:cs="Times New Roman"/>
                <w:kern w:val="0"/>
                <w:sz w:val="24"/>
                <w:szCs w:val="24"/>
              </w:rPr>
              <w:t>/</w:t>
            </w:r>
          </w:p>
        </w:tc>
        <w:tc>
          <w:tcPr>
            <w:tcW w:w="597" w:type="pct"/>
            <w:shd w:val="clear" w:color="auto" w:fill="auto"/>
            <w:vAlign w:val="center"/>
          </w:tcPr>
          <w:p w14:paraId="57D341FC">
            <w:pPr>
              <w:widowControl/>
              <w:snapToGrid w:val="0"/>
              <w:spacing w:line="400" w:lineRule="exact"/>
              <w:jc w:val="center"/>
              <w:rPr>
                <w:rFonts w:cs="Times New Roman"/>
                <w:kern w:val="0"/>
                <w:sz w:val="24"/>
                <w:szCs w:val="24"/>
              </w:rPr>
            </w:pPr>
            <w:r>
              <w:rPr>
                <w:rFonts w:cs="Times New Roman"/>
                <w:kern w:val="0"/>
                <w:sz w:val="24"/>
                <w:szCs w:val="24"/>
              </w:rPr>
              <w:t>/</w:t>
            </w:r>
          </w:p>
        </w:tc>
        <w:tc>
          <w:tcPr>
            <w:tcW w:w="544" w:type="pct"/>
            <w:shd w:val="clear" w:color="auto" w:fill="auto"/>
            <w:vAlign w:val="center"/>
          </w:tcPr>
          <w:p w14:paraId="56FF8949">
            <w:pPr>
              <w:widowControl/>
              <w:snapToGrid w:val="0"/>
              <w:spacing w:line="400" w:lineRule="exact"/>
              <w:jc w:val="center"/>
              <w:rPr>
                <w:rFonts w:cs="Times New Roman"/>
                <w:kern w:val="0"/>
                <w:sz w:val="24"/>
                <w:szCs w:val="24"/>
              </w:rPr>
            </w:pPr>
            <w:r>
              <w:rPr>
                <w:rFonts w:cs="Times New Roman"/>
                <w:kern w:val="0"/>
                <w:sz w:val="24"/>
                <w:szCs w:val="24"/>
              </w:rPr>
              <w:t>/</w:t>
            </w:r>
          </w:p>
        </w:tc>
        <w:tc>
          <w:tcPr>
            <w:tcW w:w="430" w:type="pct"/>
            <w:shd w:val="clear" w:color="auto" w:fill="auto"/>
            <w:vAlign w:val="center"/>
          </w:tcPr>
          <w:p w14:paraId="6F38DC99">
            <w:pPr>
              <w:widowControl/>
              <w:snapToGrid w:val="0"/>
              <w:spacing w:line="400" w:lineRule="exact"/>
              <w:jc w:val="center"/>
              <w:rPr>
                <w:rFonts w:cs="Times New Roman"/>
                <w:kern w:val="0"/>
                <w:sz w:val="24"/>
                <w:szCs w:val="24"/>
              </w:rPr>
            </w:pPr>
            <w:r>
              <w:rPr>
                <w:rFonts w:cs="Times New Roman"/>
                <w:kern w:val="0"/>
                <w:sz w:val="24"/>
                <w:szCs w:val="24"/>
              </w:rPr>
              <w:t>/</w:t>
            </w:r>
          </w:p>
        </w:tc>
      </w:tr>
      <w:tr w14:paraId="0739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1" w:type="pct"/>
            <w:shd w:val="clear" w:color="auto" w:fill="auto"/>
            <w:vAlign w:val="center"/>
          </w:tcPr>
          <w:p w14:paraId="45FA9B1C">
            <w:pPr>
              <w:widowControl/>
              <w:snapToGrid w:val="0"/>
              <w:spacing w:line="400" w:lineRule="exact"/>
              <w:jc w:val="center"/>
              <w:rPr>
                <w:rFonts w:cs="Times New Roman"/>
                <w:b/>
                <w:bCs/>
                <w:kern w:val="0"/>
                <w:sz w:val="24"/>
                <w:szCs w:val="24"/>
              </w:rPr>
            </w:pPr>
            <w:r>
              <w:rPr>
                <w:rFonts w:cs="Times New Roman"/>
                <w:b/>
                <w:bCs/>
                <w:kern w:val="0"/>
                <w:sz w:val="24"/>
                <w:szCs w:val="24"/>
              </w:rPr>
              <w:t>园林绿化废弃物</w:t>
            </w:r>
          </w:p>
        </w:tc>
        <w:tc>
          <w:tcPr>
            <w:tcW w:w="494" w:type="pct"/>
            <w:gridSpan w:val="2"/>
            <w:shd w:val="clear" w:color="auto" w:fill="auto"/>
            <w:vAlign w:val="center"/>
          </w:tcPr>
          <w:p w14:paraId="7A89056E">
            <w:pPr>
              <w:widowControl/>
              <w:snapToGrid w:val="0"/>
              <w:spacing w:line="300" w:lineRule="exact"/>
              <w:jc w:val="center"/>
              <w:rPr>
                <w:rFonts w:cs="Times New Roman"/>
                <w:sz w:val="24"/>
                <w:szCs w:val="24"/>
              </w:rPr>
            </w:pPr>
            <w:r>
              <w:rPr>
                <w:rFonts w:cs="Times New Roman"/>
                <w:sz w:val="24"/>
                <w:szCs w:val="24"/>
              </w:rPr>
              <w:t>园林绿化废弃物</w:t>
            </w:r>
          </w:p>
        </w:tc>
        <w:tc>
          <w:tcPr>
            <w:tcW w:w="518" w:type="pct"/>
            <w:shd w:val="clear" w:color="auto" w:fill="auto"/>
            <w:vAlign w:val="center"/>
          </w:tcPr>
          <w:p w14:paraId="46027A55">
            <w:pPr>
              <w:widowControl/>
              <w:snapToGrid w:val="0"/>
              <w:spacing w:line="400" w:lineRule="exact"/>
              <w:jc w:val="center"/>
              <w:rPr>
                <w:rFonts w:cs="Times New Roman"/>
                <w:kern w:val="0"/>
                <w:sz w:val="24"/>
                <w:szCs w:val="24"/>
              </w:rPr>
            </w:pPr>
            <w:r>
              <w:rPr>
                <w:rFonts w:cs="Times New Roman"/>
                <w:kern w:val="0"/>
                <w:sz w:val="24"/>
                <w:szCs w:val="24"/>
              </w:rPr>
              <w:t>-</w:t>
            </w:r>
          </w:p>
        </w:tc>
        <w:tc>
          <w:tcPr>
            <w:tcW w:w="503" w:type="pct"/>
            <w:shd w:val="clear" w:color="auto" w:fill="auto"/>
            <w:vAlign w:val="center"/>
          </w:tcPr>
          <w:p w14:paraId="5D74BE4C">
            <w:pPr>
              <w:widowControl/>
              <w:snapToGrid w:val="0"/>
              <w:spacing w:line="400" w:lineRule="exact"/>
              <w:jc w:val="center"/>
              <w:rPr>
                <w:rFonts w:cs="Times New Roman"/>
                <w:kern w:val="0"/>
                <w:sz w:val="24"/>
                <w:szCs w:val="24"/>
              </w:rPr>
            </w:pPr>
            <w:r>
              <w:rPr>
                <w:rFonts w:cs="Times New Roman"/>
                <w:kern w:val="0"/>
                <w:sz w:val="24"/>
                <w:szCs w:val="24"/>
              </w:rPr>
              <w:t>-</w:t>
            </w:r>
          </w:p>
        </w:tc>
        <w:tc>
          <w:tcPr>
            <w:tcW w:w="623" w:type="pct"/>
            <w:shd w:val="clear" w:color="auto" w:fill="auto"/>
            <w:vAlign w:val="center"/>
          </w:tcPr>
          <w:p w14:paraId="1BDA0F0B">
            <w:pPr>
              <w:widowControl/>
              <w:snapToGrid w:val="0"/>
              <w:spacing w:line="300" w:lineRule="exact"/>
              <w:jc w:val="left"/>
              <w:rPr>
                <w:rFonts w:cs="Times New Roman"/>
                <w:kern w:val="0"/>
                <w:sz w:val="24"/>
                <w:szCs w:val="24"/>
              </w:rPr>
            </w:pPr>
            <w:r>
              <w:rPr>
                <w:rFonts w:cs="Times New Roman"/>
                <w:sz w:val="24"/>
                <w:szCs w:val="24"/>
              </w:rPr>
              <w:t>园林绿化部门或其他管养单位送至利用处置企业</w:t>
            </w:r>
          </w:p>
        </w:tc>
        <w:tc>
          <w:tcPr>
            <w:tcW w:w="545" w:type="pct"/>
            <w:shd w:val="clear" w:color="auto" w:fill="auto"/>
            <w:vAlign w:val="center"/>
          </w:tcPr>
          <w:p w14:paraId="5667D4FB">
            <w:pPr>
              <w:widowControl/>
              <w:snapToGrid w:val="0"/>
              <w:spacing w:line="400" w:lineRule="exact"/>
              <w:jc w:val="center"/>
              <w:rPr>
                <w:rFonts w:cs="Times New Roman"/>
                <w:kern w:val="0"/>
                <w:sz w:val="24"/>
                <w:szCs w:val="24"/>
              </w:rPr>
            </w:pPr>
            <w:r>
              <w:rPr>
                <w:rFonts w:cs="Times New Roman"/>
                <w:kern w:val="0"/>
                <w:sz w:val="24"/>
                <w:szCs w:val="24"/>
              </w:rPr>
              <w:t>回收量5496.74吨</w:t>
            </w:r>
          </w:p>
        </w:tc>
        <w:tc>
          <w:tcPr>
            <w:tcW w:w="597" w:type="pct"/>
            <w:shd w:val="clear" w:color="auto" w:fill="auto"/>
            <w:vAlign w:val="center"/>
          </w:tcPr>
          <w:p w14:paraId="2150C940">
            <w:pPr>
              <w:widowControl/>
              <w:snapToGrid w:val="0"/>
              <w:spacing w:line="400" w:lineRule="exact"/>
              <w:jc w:val="center"/>
              <w:rPr>
                <w:rFonts w:cs="Times New Roman"/>
                <w:kern w:val="0"/>
                <w:sz w:val="24"/>
                <w:szCs w:val="24"/>
              </w:rPr>
            </w:pPr>
            <w:r>
              <w:rPr>
                <w:rFonts w:cs="Times New Roman"/>
                <w:sz w:val="24"/>
                <w:szCs w:val="24"/>
              </w:rPr>
              <w:t>1715.18吨</w:t>
            </w:r>
          </w:p>
        </w:tc>
        <w:tc>
          <w:tcPr>
            <w:tcW w:w="544" w:type="pct"/>
            <w:shd w:val="clear" w:color="auto" w:fill="auto"/>
            <w:vAlign w:val="center"/>
          </w:tcPr>
          <w:p w14:paraId="0682F1F7">
            <w:pPr>
              <w:widowControl/>
              <w:snapToGrid w:val="0"/>
              <w:spacing w:line="400" w:lineRule="exact"/>
              <w:jc w:val="center"/>
              <w:rPr>
                <w:rFonts w:cs="Times New Roman"/>
                <w:kern w:val="0"/>
                <w:sz w:val="24"/>
                <w:szCs w:val="24"/>
              </w:rPr>
            </w:pPr>
            <w:r>
              <w:rPr>
                <w:rFonts w:cs="Times New Roman"/>
                <w:sz w:val="24"/>
                <w:szCs w:val="24"/>
              </w:rPr>
              <w:t>3781.56吨</w:t>
            </w:r>
          </w:p>
        </w:tc>
        <w:tc>
          <w:tcPr>
            <w:tcW w:w="430" w:type="pct"/>
            <w:shd w:val="clear" w:color="auto" w:fill="auto"/>
            <w:vAlign w:val="center"/>
          </w:tcPr>
          <w:p w14:paraId="107C242A">
            <w:pPr>
              <w:widowControl/>
              <w:snapToGrid w:val="0"/>
              <w:spacing w:line="400" w:lineRule="exact"/>
              <w:jc w:val="center"/>
              <w:rPr>
                <w:rFonts w:cs="Times New Roman"/>
                <w:kern w:val="0"/>
                <w:sz w:val="24"/>
                <w:szCs w:val="24"/>
              </w:rPr>
            </w:pPr>
            <w:r>
              <w:rPr>
                <w:rFonts w:cs="Times New Roman"/>
                <w:kern w:val="0"/>
                <w:sz w:val="24"/>
                <w:szCs w:val="24"/>
              </w:rPr>
              <w:t>/</w:t>
            </w:r>
          </w:p>
        </w:tc>
      </w:tr>
    </w:tbl>
    <w:p w14:paraId="400B984B">
      <w:pPr>
        <w:spacing w:line="400" w:lineRule="exact"/>
        <w:rPr>
          <w:rFonts w:cs="Times New Roman"/>
          <w:b/>
          <w:bCs/>
        </w:rPr>
      </w:pPr>
      <w:r>
        <w:rPr>
          <w:rFonts w:cs="Times New Roman"/>
          <w:b/>
          <w:bCs/>
          <w:kern w:val="0"/>
          <w:sz w:val="21"/>
          <w:szCs w:val="21"/>
        </w:rPr>
        <w:t>注：统计数据基准年为2021年，资料来源：生活垃圾来自区城管局；建筑垃圾来自区房产局、</w:t>
      </w:r>
      <w:r>
        <w:rPr>
          <w:rFonts w:hint="eastAsia" w:cs="Times New Roman"/>
          <w:b/>
          <w:bCs/>
          <w:kern w:val="0"/>
          <w:sz w:val="21"/>
          <w:szCs w:val="21"/>
        </w:rPr>
        <w:t>区</w:t>
      </w:r>
      <w:r>
        <w:rPr>
          <w:rFonts w:cs="Times New Roman"/>
          <w:b/>
          <w:bCs/>
          <w:kern w:val="0"/>
          <w:sz w:val="21"/>
          <w:szCs w:val="21"/>
        </w:rPr>
        <w:t>建设局和区城管局；危险废物来自江苏省危险废物全生命周期监控系统、区</w:t>
      </w:r>
      <w:r>
        <w:rPr>
          <w:rFonts w:hint="eastAsia" w:cs="Times New Roman"/>
          <w:b/>
          <w:bCs/>
          <w:kern w:val="0"/>
          <w:sz w:val="21"/>
          <w:szCs w:val="21"/>
          <w:lang w:val="en-US" w:eastAsia="zh-CN"/>
        </w:rPr>
        <w:t>卫健</w:t>
      </w:r>
      <w:r>
        <w:rPr>
          <w:rFonts w:cs="Times New Roman"/>
          <w:b/>
          <w:bCs/>
          <w:kern w:val="0"/>
          <w:sz w:val="21"/>
          <w:szCs w:val="21"/>
        </w:rPr>
        <w:t>委和玄武生态环境局；再生资源来自区商务局；园林绿化废弃物来自区建设局。</w:t>
      </w:r>
    </w:p>
    <w:p w14:paraId="0EAF46D6">
      <w:pPr>
        <w:spacing w:line="400" w:lineRule="exact"/>
        <w:rPr>
          <w:rFonts w:cs="Times New Roman"/>
          <w:b/>
          <w:bCs/>
        </w:rPr>
        <w:sectPr>
          <w:pgSz w:w="16838" w:h="11906" w:orient="landscape"/>
          <w:pgMar w:top="1588" w:right="2098" w:bottom="1474" w:left="1701" w:header="851" w:footer="1247" w:gutter="0"/>
          <w:cols w:space="425" w:num="1"/>
          <w:docGrid w:type="linesAndChars" w:linePitch="435" w:charSpace="0"/>
        </w:sectPr>
      </w:pPr>
    </w:p>
    <w:p w14:paraId="3725D1D6">
      <w:pPr>
        <w:jc w:val="left"/>
        <w:outlineLvl w:val="0"/>
        <w:rPr>
          <w:rFonts w:eastAsia="方正黑体_GBK" w:cs="Times New Roman"/>
          <w:szCs w:val="24"/>
        </w:rPr>
      </w:pPr>
      <w:bookmarkStart w:id="253" w:name="_Toc140150542"/>
      <w:r>
        <w:rPr>
          <w:rFonts w:hint="eastAsia" w:eastAsia="方正黑体_GBK" w:cs="Times New Roman"/>
          <w:szCs w:val="24"/>
        </w:rPr>
        <w:t>附件2</w:t>
      </w:r>
      <w:bookmarkEnd w:id="253"/>
      <w:bookmarkStart w:id="254" w:name="_Toc129882990"/>
    </w:p>
    <w:p w14:paraId="2D6F36AE">
      <w:pPr>
        <w:jc w:val="center"/>
        <w:rPr>
          <w:rFonts w:ascii="方正小标宋_GBK" w:eastAsia="方正小标宋_GBK"/>
          <w:sz w:val="44"/>
          <w:szCs w:val="44"/>
        </w:rPr>
      </w:pPr>
      <w:r>
        <w:rPr>
          <w:rFonts w:hint="eastAsia" w:ascii="方正小标宋_GBK" w:eastAsia="方正小标宋_GBK"/>
          <w:sz w:val="44"/>
          <w:szCs w:val="44"/>
        </w:rPr>
        <w:t>指标可达性分析</w:t>
      </w:r>
      <w:bookmarkEnd w:id="254"/>
    </w:p>
    <w:p w14:paraId="16D0748F">
      <w:pPr>
        <w:jc w:val="center"/>
        <w:rPr>
          <w:rFonts w:ascii="方正小标宋_GBK" w:eastAsia="方正小标宋_GBK"/>
          <w:sz w:val="44"/>
          <w:szCs w:val="44"/>
        </w:rPr>
      </w:pPr>
    </w:p>
    <w:p w14:paraId="3283F27C">
      <w:pPr>
        <w:pStyle w:val="36"/>
        <w:numPr>
          <w:ilvl w:val="0"/>
          <w:numId w:val="34"/>
        </w:numPr>
        <w:ind w:firstLineChars="0"/>
        <w:rPr>
          <w:rFonts w:cs="Times New Roman"/>
          <w:b/>
          <w:bCs/>
          <w:szCs w:val="32"/>
        </w:rPr>
      </w:pPr>
      <w:r>
        <w:rPr>
          <w:rFonts w:cs="Times New Roman"/>
          <w:b/>
          <w:bCs/>
          <w:szCs w:val="32"/>
        </w:rPr>
        <w:t>通过清洁生产审核评估工业企业占比</w:t>
      </w:r>
      <w:r>
        <w:rPr>
          <w:rFonts w:ascii="Segoe UI Symbol" w:hAnsi="Segoe UI Symbol" w:cs="Segoe UI Symbol"/>
          <w:b/>
          <w:bCs/>
          <w:szCs w:val="32"/>
        </w:rPr>
        <w:t>★</w:t>
      </w:r>
    </w:p>
    <w:p w14:paraId="4EF0F40F">
      <w:pPr>
        <w:ind w:firstLine="643" w:firstLineChars="200"/>
        <w:rPr>
          <w:rFonts w:cs="Times New Roman"/>
          <w:b/>
          <w:bCs/>
          <w:szCs w:val="32"/>
        </w:rPr>
      </w:pPr>
      <w:r>
        <w:rPr>
          <w:rFonts w:cs="Times New Roman"/>
          <w:b/>
          <w:bCs/>
          <w:szCs w:val="32"/>
        </w:rPr>
        <w:t>（1）指标解释</w:t>
      </w:r>
    </w:p>
    <w:p w14:paraId="19B255EE">
      <w:pPr>
        <w:ind w:firstLine="640" w:firstLineChars="200"/>
        <w:rPr>
          <w:rFonts w:cs="Times New Roman"/>
          <w:szCs w:val="32"/>
        </w:rPr>
      </w:pPr>
      <w:r>
        <w:rPr>
          <w:rFonts w:cs="Times New Roman"/>
          <w:szCs w:val="32"/>
        </w:rPr>
        <w:t>指需开展清洁生产审核评估的工业企业中，按《清洁生产审核评估与验收指南》（环办科技〔2018〕5号）要求通过审核评估的工业企业数量占比。城市应重点抓好钢铁、建材、有色、化工、石化、电力、煤炭等行业清洁生产审核。该指标用于促进企业实施清洁生产，从源头控制资源和能源消耗，提高资源利用效率，削减固体废物产生量，减少进入最终处置环节的固体废物量。</w:t>
      </w:r>
    </w:p>
    <w:p w14:paraId="0A4F1E55">
      <w:pPr>
        <w:ind w:firstLine="643" w:firstLineChars="200"/>
        <w:rPr>
          <w:rFonts w:cs="Times New Roman"/>
          <w:b/>
          <w:bCs/>
          <w:szCs w:val="32"/>
        </w:rPr>
      </w:pPr>
      <w:r>
        <w:rPr>
          <w:rFonts w:cs="Times New Roman"/>
          <w:b/>
          <w:bCs/>
          <w:szCs w:val="32"/>
        </w:rPr>
        <w:t>（2）计算方法</w:t>
      </w:r>
    </w:p>
    <w:p w14:paraId="6B950B57">
      <w:pPr>
        <w:ind w:firstLine="640" w:firstLineChars="200"/>
        <w:rPr>
          <w:rFonts w:cs="Times New Roman"/>
          <w:szCs w:val="32"/>
        </w:rPr>
      </w:pPr>
      <w:r>
        <w:rPr>
          <w:rFonts w:cs="Times New Roman"/>
          <w:szCs w:val="32"/>
        </w:rPr>
        <w:t>通过清洁生产审核评估工业企业占比（%）</w:t>
      </w:r>
      <w:r>
        <w:rPr>
          <w:rFonts w:hint="eastAsia" w:cs="Times New Roman"/>
          <w:szCs w:val="32"/>
        </w:rPr>
        <w:t>＝</w:t>
      </w:r>
      <w:r>
        <w:rPr>
          <w:rFonts w:cs="Times New Roman"/>
          <w:szCs w:val="32"/>
        </w:rPr>
        <w:t>通过清洁生产审核评估的工业企业数量</w:t>
      </w:r>
      <w:r>
        <w:rPr>
          <w:rFonts w:hint="eastAsia" w:cs="Times New Roman"/>
          <w:szCs w:val="32"/>
        </w:rPr>
        <w:t>÷</w:t>
      </w:r>
      <w:r>
        <w:rPr>
          <w:rFonts w:cs="Times New Roman"/>
          <w:szCs w:val="32"/>
        </w:rPr>
        <w:t>需开展清洁生产审核评估的工业企业数量×100%。</w:t>
      </w:r>
    </w:p>
    <w:p w14:paraId="500AC352">
      <w:pPr>
        <w:ind w:firstLine="643" w:firstLineChars="200"/>
        <w:rPr>
          <w:rFonts w:cs="Times New Roman"/>
          <w:b/>
          <w:bCs/>
          <w:szCs w:val="32"/>
        </w:rPr>
      </w:pPr>
      <w:r>
        <w:rPr>
          <w:rFonts w:cs="Times New Roman"/>
          <w:b/>
          <w:bCs/>
          <w:szCs w:val="32"/>
        </w:rPr>
        <w:t>（3）现状值说明</w:t>
      </w:r>
    </w:p>
    <w:p w14:paraId="14F1E030">
      <w:pPr>
        <w:ind w:firstLine="640" w:firstLineChars="200"/>
        <w:rPr>
          <w:rFonts w:cs="Times New Roman"/>
          <w:szCs w:val="32"/>
        </w:rPr>
      </w:pPr>
      <w:r>
        <w:rPr>
          <w:rFonts w:cs="Times New Roman"/>
          <w:szCs w:val="32"/>
        </w:rPr>
        <w:t>2021年，玄武区通过清洁生产审核评估工业企业占比为100%。</w:t>
      </w:r>
    </w:p>
    <w:p w14:paraId="73494C62">
      <w:pPr>
        <w:ind w:firstLine="643" w:firstLineChars="200"/>
        <w:rPr>
          <w:rFonts w:cs="Times New Roman"/>
          <w:b/>
          <w:bCs/>
          <w:szCs w:val="32"/>
        </w:rPr>
      </w:pPr>
      <w:r>
        <w:rPr>
          <w:rFonts w:cs="Times New Roman"/>
          <w:b/>
          <w:bCs/>
          <w:szCs w:val="32"/>
        </w:rPr>
        <w:t>（4）目标可达性分析</w:t>
      </w:r>
    </w:p>
    <w:p w14:paraId="3515C4AA">
      <w:pPr>
        <w:ind w:firstLine="640" w:firstLineChars="200"/>
        <w:rPr>
          <w:rFonts w:cs="Times New Roman"/>
          <w:szCs w:val="32"/>
        </w:rPr>
      </w:pPr>
      <w:r>
        <w:rPr>
          <w:rFonts w:cs="Times New Roman"/>
          <w:szCs w:val="32"/>
        </w:rPr>
        <w:t>玄武区依法对</w:t>
      </w:r>
      <w:r>
        <w:rPr>
          <w:rFonts w:hint="eastAsia" w:cs="Times New Roman"/>
          <w:szCs w:val="32"/>
        </w:rPr>
        <w:t>“</w:t>
      </w:r>
      <w:r>
        <w:rPr>
          <w:rFonts w:cs="Times New Roman"/>
          <w:szCs w:val="32"/>
        </w:rPr>
        <w:t>双超</w:t>
      </w:r>
      <w:r>
        <w:rPr>
          <w:rFonts w:hint="eastAsia" w:cs="Times New Roman"/>
          <w:szCs w:val="32"/>
        </w:rPr>
        <w:t>”“</w:t>
      </w:r>
      <w:r>
        <w:rPr>
          <w:rFonts w:cs="Times New Roman"/>
          <w:szCs w:val="32"/>
        </w:rPr>
        <w:t>双有</w:t>
      </w:r>
      <w:r>
        <w:rPr>
          <w:rFonts w:hint="eastAsia" w:cs="Times New Roman"/>
          <w:szCs w:val="32"/>
        </w:rPr>
        <w:t>”“</w:t>
      </w:r>
      <w:r>
        <w:rPr>
          <w:rFonts w:cs="Times New Roman"/>
          <w:szCs w:val="32"/>
        </w:rPr>
        <w:t>高耗能</w:t>
      </w:r>
      <w:r>
        <w:rPr>
          <w:rFonts w:hint="eastAsia" w:cs="Times New Roman"/>
          <w:szCs w:val="32"/>
        </w:rPr>
        <w:t>”</w:t>
      </w:r>
      <w:r>
        <w:rPr>
          <w:rFonts w:cs="Times New Roman"/>
          <w:szCs w:val="32"/>
        </w:rPr>
        <w:t>企业实施强制性清洁生产审核，</w:t>
      </w:r>
      <w:r>
        <w:rPr>
          <w:rFonts w:cs="Times New Roman"/>
        </w:rPr>
        <w:t>鼓励其他排污企业开展自愿性清洁生产审核</w:t>
      </w:r>
      <w:r>
        <w:rPr>
          <w:rFonts w:cs="Times New Roman"/>
          <w:szCs w:val="32"/>
        </w:rPr>
        <w:t>，确保到2025年，通过清洁生产审核评估工业企业占比保持在100%。</w:t>
      </w:r>
    </w:p>
    <w:p w14:paraId="1729A63E">
      <w:pPr>
        <w:pStyle w:val="36"/>
        <w:numPr>
          <w:ilvl w:val="0"/>
          <w:numId w:val="34"/>
        </w:numPr>
        <w:ind w:left="0" w:firstLine="0" w:firstLineChars="0"/>
        <w:rPr>
          <w:rFonts w:cs="Times New Roman"/>
          <w:b/>
          <w:bCs/>
          <w:szCs w:val="32"/>
        </w:rPr>
      </w:pPr>
      <w:bookmarkStart w:id="255" w:name="_Hlk120041167"/>
      <w:r>
        <w:rPr>
          <w:rFonts w:cs="Times New Roman"/>
          <w:b/>
          <w:bCs/>
          <w:szCs w:val="32"/>
        </w:rPr>
        <w:t>工业危险废物产生强度</w:t>
      </w:r>
      <w:r>
        <w:rPr>
          <w:rFonts w:ascii="Segoe UI Symbol" w:hAnsi="Segoe UI Symbol" w:cs="Segoe UI Symbol"/>
          <w:b/>
          <w:bCs/>
          <w:szCs w:val="32"/>
        </w:rPr>
        <w:t>★</w:t>
      </w:r>
    </w:p>
    <w:p w14:paraId="53A58B94">
      <w:pPr>
        <w:ind w:firstLine="643" w:firstLineChars="200"/>
        <w:rPr>
          <w:rFonts w:cs="Times New Roman"/>
          <w:b/>
          <w:bCs/>
          <w:szCs w:val="32"/>
        </w:rPr>
      </w:pPr>
      <w:r>
        <w:rPr>
          <w:rFonts w:cs="Times New Roman"/>
          <w:b/>
          <w:bCs/>
          <w:szCs w:val="32"/>
        </w:rPr>
        <w:t>（1）指标解释</w:t>
      </w:r>
    </w:p>
    <w:p w14:paraId="2321AE8B">
      <w:pPr>
        <w:ind w:firstLine="640" w:firstLineChars="200"/>
        <w:rPr>
          <w:rFonts w:cs="Times New Roman"/>
          <w:szCs w:val="32"/>
        </w:rPr>
      </w:pPr>
      <w:r>
        <w:rPr>
          <w:rFonts w:cs="Times New Roman"/>
          <w:szCs w:val="32"/>
        </w:rPr>
        <w:t>指纳入固体废物申报登记范围的工业企业，每万元工业增加值的工业危险废物产生量。该指标是用于促进全面降低工业危险废物产生强度的综合性指标。</w:t>
      </w:r>
    </w:p>
    <w:p w14:paraId="746AFDAE">
      <w:pPr>
        <w:ind w:firstLine="643" w:firstLineChars="200"/>
        <w:rPr>
          <w:rFonts w:cs="Times New Roman"/>
          <w:b/>
          <w:bCs/>
          <w:szCs w:val="32"/>
        </w:rPr>
      </w:pPr>
      <w:r>
        <w:rPr>
          <w:rFonts w:cs="Times New Roman"/>
          <w:b/>
          <w:bCs/>
          <w:szCs w:val="32"/>
        </w:rPr>
        <w:t>（2）计算方法</w:t>
      </w:r>
    </w:p>
    <w:p w14:paraId="35BE401C">
      <w:pPr>
        <w:ind w:firstLine="640" w:firstLineChars="200"/>
        <w:rPr>
          <w:rFonts w:cs="Times New Roman"/>
          <w:szCs w:val="32"/>
        </w:rPr>
      </w:pPr>
      <w:r>
        <w:rPr>
          <w:rFonts w:cs="Times New Roman"/>
          <w:szCs w:val="32"/>
        </w:rPr>
        <w:t>工业危险废物产生强度</w:t>
      </w:r>
      <w:r>
        <w:rPr>
          <w:rFonts w:hint="eastAsia" w:cs="Times New Roman"/>
          <w:szCs w:val="32"/>
        </w:rPr>
        <w:t>＝</w:t>
      </w:r>
      <w:r>
        <w:rPr>
          <w:rFonts w:cs="Times New Roman"/>
          <w:szCs w:val="32"/>
        </w:rPr>
        <w:t>工业危险废物产生量</w:t>
      </w:r>
      <w:r>
        <w:rPr>
          <w:rFonts w:hint="eastAsia" w:cs="Times New Roman"/>
          <w:szCs w:val="32"/>
        </w:rPr>
        <w:t>÷</w:t>
      </w:r>
      <w:r>
        <w:rPr>
          <w:rFonts w:cs="Times New Roman"/>
          <w:szCs w:val="32"/>
        </w:rPr>
        <w:t>工业增加值。</w:t>
      </w:r>
    </w:p>
    <w:p w14:paraId="6105EB55">
      <w:pPr>
        <w:ind w:firstLine="643" w:firstLineChars="200"/>
        <w:rPr>
          <w:rFonts w:cs="Times New Roman"/>
          <w:b/>
          <w:bCs/>
          <w:szCs w:val="32"/>
        </w:rPr>
      </w:pPr>
      <w:r>
        <w:rPr>
          <w:rFonts w:cs="Times New Roman"/>
          <w:b/>
          <w:bCs/>
          <w:szCs w:val="32"/>
        </w:rPr>
        <w:t>（3）现状值说明</w:t>
      </w:r>
    </w:p>
    <w:p w14:paraId="1B93E025">
      <w:pPr>
        <w:ind w:firstLine="640" w:firstLineChars="200"/>
        <w:rPr>
          <w:rFonts w:cs="Times New Roman"/>
          <w:szCs w:val="32"/>
        </w:rPr>
      </w:pPr>
      <w:r>
        <w:rPr>
          <w:rFonts w:cs="Times New Roman"/>
          <w:szCs w:val="32"/>
        </w:rPr>
        <w:t>2021年，玄武区工业危险废物产生量为</w:t>
      </w:r>
      <w:r>
        <w:rPr>
          <w:rFonts w:cs="Times New Roman"/>
          <w:szCs w:val="28"/>
        </w:rPr>
        <w:t>27.23吨，工业增加值为8.66亿元，经计算，危险废物产生</w:t>
      </w:r>
      <w:r>
        <w:rPr>
          <w:rFonts w:cs="Times New Roman"/>
          <w:szCs w:val="32"/>
        </w:rPr>
        <w:t>强度为0.0003吨/万元。</w:t>
      </w:r>
    </w:p>
    <w:p w14:paraId="405A80A0">
      <w:pPr>
        <w:ind w:firstLine="643" w:firstLineChars="200"/>
        <w:rPr>
          <w:rFonts w:cs="Times New Roman"/>
          <w:b/>
          <w:bCs/>
          <w:szCs w:val="32"/>
        </w:rPr>
      </w:pPr>
      <w:r>
        <w:rPr>
          <w:rFonts w:cs="Times New Roman"/>
          <w:b/>
          <w:bCs/>
          <w:szCs w:val="32"/>
        </w:rPr>
        <w:t>（4）目标可达性分析</w:t>
      </w:r>
    </w:p>
    <w:p w14:paraId="50858DE9">
      <w:pPr>
        <w:pStyle w:val="36"/>
        <w:ind w:firstLine="640"/>
        <w:rPr>
          <w:rFonts w:cs="Times New Roman"/>
          <w:b/>
          <w:bCs/>
          <w:szCs w:val="32"/>
        </w:rPr>
      </w:pPr>
      <w:r>
        <w:rPr>
          <w:rFonts w:cs="Times New Roman"/>
          <w:szCs w:val="32"/>
        </w:rPr>
        <w:t>玄武区将</w:t>
      </w:r>
      <w:r>
        <w:rPr>
          <w:rFonts w:cs="Times New Roman"/>
        </w:rPr>
        <w:t>引导产业结构调整优化，提档升级传统产业，实施重点行业绿色转型</w:t>
      </w:r>
      <w:r>
        <w:rPr>
          <w:rFonts w:cs="Times New Roman"/>
          <w:szCs w:val="32"/>
        </w:rPr>
        <w:t>，持续推行清洁生产，推进企业的循环生产和改造，确保到2025年，工业为危险废物产生强度小于0.0003吨/万元。</w:t>
      </w:r>
    </w:p>
    <w:p w14:paraId="31385C6E">
      <w:pPr>
        <w:pStyle w:val="36"/>
        <w:numPr>
          <w:ilvl w:val="0"/>
          <w:numId w:val="34"/>
        </w:numPr>
        <w:ind w:left="0" w:firstLine="0" w:firstLineChars="0"/>
        <w:rPr>
          <w:rFonts w:cs="Times New Roman"/>
          <w:b/>
          <w:bCs/>
          <w:szCs w:val="32"/>
        </w:rPr>
      </w:pPr>
      <w:r>
        <w:rPr>
          <w:rFonts w:cs="Times New Roman"/>
          <w:b/>
          <w:bCs/>
          <w:szCs w:val="32"/>
        </w:rPr>
        <w:t>绿色建筑占新建建筑的比例</w:t>
      </w:r>
      <w:bookmarkEnd w:id="255"/>
      <w:r>
        <w:rPr>
          <w:rFonts w:ascii="Segoe UI Symbol" w:hAnsi="Segoe UI Symbol" w:cs="Segoe UI Symbol"/>
          <w:b/>
          <w:bCs/>
          <w:szCs w:val="32"/>
        </w:rPr>
        <w:t>★</w:t>
      </w:r>
    </w:p>
    <w:p w14:paraId="343BB9E7">
      <w:pPr>
        <w:ind w:firstLine="643" w:firstLineChars="200"/>
        <w:rPr>
          <w:rFonts w:cs="Times New Roman"/>
          <w:b/>
          <w:bCs/>
          <w:szCs w:val="32"/>
        </w:rPr>
      </w:pPr>
      <w:r>
        <w:rPr>
          <w:rFonts w:cs="Times New Roman"/>
          <w:b/>
          <w:bCs/>
          <w:szCs w:val="32"/>
        </w:rPr>
        <w:t>（1）指标解释</w:t>
      </w:r>
    </w:p>
    <w:p w14:paraId="3E4DED0F">
      <w:pPr>
        <w:ind w:firstLine="640" w:firstLineChars="200"/>
        <w:rPr>
          <w:rFonts w:cs="Times New Roman"/>
          <w:szCs w:val="32"/>
        </w:rPr>
      </w:pPr>
      <w:r>
        <w:rPr>
          <w:rFonts w:cs="Times New Roman"/>
          <w:szCs w:val="32"/>
        </w:rPr>
        <w:t>指当年城市城镇新建建筑中绿色建筑面积占比。绿色建筑是指达到《绿色建筑评价标准》（GB/T 50378）或江苏省《绿色建筑设计标准》（DB32/3962）的建筑。该指标用于促进城市建筑垃圾源头减量，提高建筑节能水平。</w:t>
      </w:r>
    </w:p>
    <w:p w14:paraId="71C600F6">
      <w:pPr>
        <w:ind w:firstLine="643" w:firstLineChars="200"/>
        <w:rPr>
          <w:rFonts w:cs="Times New Roman"/>
          <w:b/>
          <w:bCs/>
          <w:szCs w:val="32"/>
        </w:rPr>
      </w:pPr>
      <w:r>
        <w:rPr>
          <w:rFonts w:cs="Times New Roman"/>
          <w:b/>
          <w:bCs/>
          <w:szCs w:val="32"/>
        </w:rPr>
        <w:t>（2）计算方法</w:t>
      </w:r>
    </w:p>
    <w:p w14:paraId="78927ED0">
      <w:pPr>
        <w:ind w:firstLine="640" w:firstLineChars="200"/>
        <w:rPr>
          <w:rFonts w:cs="Times New Roman"/>
          <w:szCs w:val="32"/>
        </w:rPr>
      </w:pPr>
      <w:r>
        <w:rPr>
          <w:rFonts w:cs="Times New Roman"/>
          <w:szCs w:val="32"/>
        </w:rPr>
        <w:t>城镇绿色建筑占新建建筑比例（%）</w:t>
      </w:r>
      <w:r>
        <w:rPr>
          <w:rFonts w:hint="eastAsia" w:cs="Times New Roman"/>
          <w:szCs w:val="32"/>
        </w:rPr>
        <w:t>＝</w:t>
      </w:r>
      <w:r>
        <w:rPr>
          <w:rFonts w:cs="Times New Roman"/>
          <w:szCs w:val="32"/>
        </w:rPr>
        <w:t>城镇本年度按照绿色建筑相关标准设计、施工并通过竣工验收的民用建筑面积/城镇本年度竣工的民用建筑总面积×100%。</w:t>
      </w:r>
    </w:p>
    <w:p w14:paraId="5A253DE6">
      <w:pPr>
        <w:ind w:firstLine="643" w:firstLineChars="200"/>
        <w:rPr>
          <w:rFonts w:cs="Times New Roman"/>
          <w:b/>
          <w:bCs/>
          <w:szCs w:val="32"/>
        </w:rPr>
      </w:pPr>
      <w:r>
        <w:rPr>
          <w:rFonts w:cs="Times New Roman"/>
          <w:b/>
          <w:bCs/>
          <w:szCs w:val="32"/>
        </w:rPr>
        <w:t>（3）现状值说明</w:t>
      </w:r>
    </w:p>
    <w:p w14:paraId="772D734E">
      <w:pPr>
        <w:ind w:firstLine="640" w:firstLineChars="200"/>
        <w:rPr>
          <w:rFonts w:cs="Times New Roman"/>
          <w:szCs w:val="32"/>
        </w:rPr>
      </w:pPr>
      <w:r>
        <w:rPr>
          <w:rFonts w:cs="Times New Roman"/>
          <w:szCs w:val="32"/>
        </w:rPr>
        <w:t>2021年，玄武区绿色建筑占新建建筑的比例为100%。</w:t>
      </w:r>
    </w:p>
    <w:p w14:paraId="699F6446">
      <w:pPr>
        <w:ind w:firstLine="643" w:firstLineChars="200"/>
        <w:rPr>
          <w:rFonts w:cs="Times New Roman"/>
          <w:b/>
          <w:bCs/>
          <w:szCs w:val="32"/>
        </w:rPr>
      </w:pPr>
      <w:r>
        <w:rPr>
          <w:rFonts w:cs="Times New Roman"/>
          <w:b/>
          <w:bCs/>
          <w:szCs w:val="32"/>
        </w:rPr>
        <w:t>（4）目标可达性分析</w:t>
      </w:r>
    </w:p>
    <w:p w14:paraId="6A6AF274">
      <w:pPr>
        <w:ind w:firstLine="640" w:firstLineChars="200"/>
        <w:rPr>
          <w:rFonts w:cs="Times New Roman"/>
          <w:szCs w:val="32"/>
        </w:rPr>
      </w:pPr>
      <w:r>
        <w:rPr>
          <w:rFonts w:cs="Times New Roman"/>
          <w:szCs w:val="32"/>
        </w:rPr>
        <w:t>玄武区将大力发展装配式建筑，推行绿色施工方式，推广节能绿色建材</w:t>
      </w:r>
      <w:r>
        <w:rPr>
          <w:rFonts w:cs="Times New Roman"/>
        </w:rPr>
        <w:t>，推动既有建筑绿色改造</w:t>
      </w:r>
      <w:r>
        <w:rPr>
          <w:rFonts w:cs="Times New Roman"/>
          <w:szCs w:val="32"/>
        </w:rPr>
        <w:t>，加强建筑产业现代化监管机制，加强绿色施工管理，确保到2025年，绿色建筑占新建建筑的比例保持在100%。</w:t>
      </w:r>
    </w:p>
    <w:p w14:paraId="05F45CC4">
      <w:pPr>
        <w:pStyle w:val="36"/>
        <w:numPr>
          <w:ilvl w:val="0"/>
          <w:numId w:val="34"/>
        </w:numPr>
        <w:ind w:left="0" w:firstLine="0" w:firstLineChars="0"/>
        <w:rPr>
          <w:rFonts w:cs="Times New Roman"/>
          <w:b/>
          <w:bCs/>
          <w:szCs w:val="32"/>
        </w:rPr>
      </w:pPr>
      <w:r>
        <w:rPr>
          <w:rFonts w:cs="Times New Roman"/>
          <w:b/>
          <w:bCs/>
          <w:szCs w:val="32"/>
        </w:rPr>
        <w:t>装配式建筑占新建建筑的比例</w:t>
      </w:r>
      <w:r>
        <w:rPr>
          <w:rFonts w:ascii="Segoe UI Symbol" w:hAnsi="Segoe UI Symbol" w:cs="Segoe UI Symbol"/>
          <w:b/>
          <w:bCs/>
          <w:szCs w:val="32"/>
        </w:rPr>
        <w:t>★</w:t>
      </w:r>
    </w:p>
    <w:p w14:paraId="3E060A32">
      <w:pPr>
        <w:ind w:firstLine="643" w:firstLineChars="200"/>
        <w:rPr>
          <w:rFonts w:cs="Times New Roman"/>
          <w:b/>
          <w:bCs/>
          <w:szCs w:val="32"/>
        </w:rPr>
      </w:pPr>
      <w:r>
        <w:rPr>
          <w:rFonts w:cs="Times New Roman"/>
          <w:b/>
          <w:bCs/>
          <w:szCs w:val="32"/>
        </w:rPr>
        <w:t>（1）指标解释</w:t>
      </w:r>
    </w:p>
    <w:p w14:paraId="1824FDAF">
      <w:pPr>
        <w:ind w:firstLine="640" w:firstLineChars="200"/>
        <w:rPr>
          <w:rFonts w:cs="Times New Roman"/>
          <w:szCs w:val="32"/>
        </w:rPr>
      </w:pPr>
      <w:r>
        <w:rPr>
          <w:rFonts w:cs="Times New Roman"/>
          <w:szCs w:val="32"/>
        </w:rPr>
        <w:t>指当年城市新建建筑中装配式建筑面积占比。装配式建筑是指用预制部品部件在工地装配而成的建筑。该指标用于促进装配式建筑应用，推动城市建筑垃圾源头减量。</w:t>
      </w:r>
    </w:p>
    <w:p w14:paraId="2A7E46A8">
      <w:pPr>
        <w:ind w:firstLine="643" w:firstLineChars="200"/>
        <w:rPr>
          <w:rFonts w:cs="Times New Roman"/>
          <w:b/>
          <w:bCs/>
          <w:szCs w:val="32"/>
        </w:rPr>
      </w:pPr>
      <w:r>
        <w:rPr>
          <w:rFonts w:cs="Times New Roman"/>
          <w:b/>
          <w:bCs/>
          <w:szCs w:val="32"/>
        </w:rPr>
        <w:t>（2）计算方法</w:t>
      </w:r>
    </w:p>
    <w:p w14:paraId="33B6BF8F">
      <w:pPr>
        <w:ind w:firstLine="640" w:firstLineChars="200"/>
        <w:rPr>
          <w:rFonts w:cs="Times New Roman"/>
          <w:szCs w:val="32"/>
        </w:rPr>
      </w:pPr>
      <w:r>
        <w:rPr>
          <w:rFonts w:cs="Times New Roman"/>
          <w:szCs w:val="32"/>
        </w:rPr>
        <w:t>装配式建筑占新建建筑的比例（%）</w:t>
      </w:r>
      <w:r>
        <w:rPr>
          <w:rFonts w:hint="eastAsia" w:cs="Times New Roman"/>
          <w:szCs w:val="32"/>
        </w:rPr>
        <w:t>＝</w:t>
      </w:r>
      <w:r>
        <w:rPr>
          <w:rFonts w:cs="Times New Roman"/>
          <w:szCs w:val="32"/>
        </w:rPr>
        <w:t>新建装配式建筑面积总和</w:t>
      </w:r>
      <w:r>
        <w:rPr>
          <w:rFonts w:hint="eastAsia" w:cs="Times New Roman"/>
          <w:szCs w:val="32"/>
        </w:rPr>
        <w:t>÷</w:t>
      </w:r>
      <w:r>
        <w:rPr>
          <w:rFonts w:cs="Times New Roman"/>
          <w:szCs w:val="32"/>
        </w:rPr>
        <w:t>全区新建建筑面积总和×100%。</w:t>
      </w:r>
    </w:p>
    <w:p w14:paraId="6652CABA">
      <w:pPr>
        <w:ind w:firstLine="643" w:firstLineChars="200"/>
        <w:rPr>
          <w:rFonts w:cs="Times New Roman"/>
          <w:b/>
          <w:bCs/>
          <w:szCs w:val="32"/>
        </w:rPr>
      </w:pPr>
      <w:r>
        <w:rPr>
          <w:rFonts w:cs="Times New Roman"/>
          <w:b/>
          <w:bCs/>
          <w:szCs w:val="32"/>
        </w:rPr>
        <w:t>（3）现状值说明</w:t>
      </w:r>
    </w:p>
    <w:p w14:paraId="63CF7291">
      <w:pPr>
        <w:ind w:firstLine="640" w:firstLineChars="200"/>
        <w:rPr>
          <w:rFonts w:cs="Times New Roman"/>
          <w:szCs w:val="32"/>
        </w:rPr>
      </w:pPr>
      <w:r>
        <w:rPr>
          <w:rFonts w:cs="Times New Roman"/>
          <w:szCs w:val="32"/>
        </w:rPr>
        <w:t>2021年，玄武区</w:t>
      </w:r>
      <w:bookmarkStart w:id="256" w:name="_Hlk120045752"/>
      <w:r>
        <w:rPr>
          <w:rFonts w:cs="Times New Roman"/>
          <w:szCs w:val="32"/>
        </w:rPr>
        <w:t>装配式建筑占新建建筑的比例</w:t>
      </w:r>
      <w:bookmarkEnd w:id="256"/>
      <w:r>
        <w:rPr>
          <w:rFonts w:cs="Times New Roman"/>
          <w:szCs w:val="32"/>
        </w:rPr>
        <w:t>为43%。</w:t>
      </w:r>
    </w:p>
    <w:p w14:paraId="29A0F160">
      <w:pPr>
        <w:ind w:firstLine="643" w:firstLineChars="200"/>
        <w:rPr>
          <w:rFonts w:cs="Times New Roman"/>
          <w:b/>
          <w:bCs/>
          <w:szCs w:val="32"/>
        </w:rPr>
      </w:pPr>
      <w:r>
        <w:rPr>
          <w:rFonts w:cs="Times New Roman"/>
          <w:b/>
          <w:bCs/>
          <w:szCs w:val="32"/>
        </w:rPr>
        <w:t>（4）目标可达性分析</w:t>
      </w:r>
    </w:p>
    <w:p w14:paraId="54DD107A">
      <w:pPr>
        <w:ind w:firstLine="640" w:firstLineChars="200"/>
        <w:rPr>
          <w:rFonts w:cs="Times New Roman"/>
          <w:szCs w:val="32"/>
        </w:rPr>
      </w:pPr>
      <w:r>
        <w:rPr>
          <w:rFonts w:cs="Times New Roman"/>
          <w:szCs w:val="32"/>
        </w:rPr>
        <w:t>玄武区将</w:t>
      </w:r>
      <w:r>
        <w:rPr>
          <w:rFonts w:cs="Times New Roman"/>
        </w:rPr>
        <w:t>以发展装配式建筑为引领，积极推广钢结构装配式住宅，推行工厂化预制、装配化施工、信息化管理建造模式，实行全装修交付，新建建筑均鼓励采用装配式建造技术，</w:t>
      </w:r>
      <w:r>
        <w:rPr>
          <w:rFonts w:cs="Times New Roman"/>
          <w:szCs w:val="32"/>
        </w:rPr>
        <w:t>力争到2025年，装配式建筑占新建建筑的比例提升到60%。</w:t>
      </w:r>
    </w:p>
    <w:p w14:paraId="2C82F3E7">
      <w:pPr>
        <w:pStyle w:val="36"/>
        <w:numPr>
          <w:ilvl w:val="0"/>
          <w:numId w:val="34"/>
        </w:numPr>
        <w:ind w:left="0" w:firstLine="0" w:firstLineChars="0"/>
        <w:rPr>
          <w:rFonts w:cs="Times New Roman"/>
          <w:b/>
          <w:bCs/>
          <w:szCs w:val="32"/>
        </w:rPr>
      </w:pPr>
      <w:r>
        <w:rPr>
          <w:rFonts w:cs="Times New Roman"/>
          <w:b/>
          <w:bCs/>
          <w:szCs w:val="32"/>
        </w:rPr>
        <w:t>生活垃圾清运量</w:t>
      </w:r>
      <w:r>
        <w:rPr>
          <w:rFonts w:ascii="Segoe UI Symbol" w:hAnsi="Segoe UI Symbol" w:cs="Segoe UI Symbol"/>
          <w:b/>
          <w:bCs/>
          <w:szCs w:val="32"/>
        </w:rPr>
        <w:t>★</w:t>
      </w:r>
    </w:p>
    <w:p w14:paraId="3B8CBB9B">
      <w:pPr>
        <w:ind w:firstLine="643" w:firstLineChars="200"/>
        <w:rPr>
          <w:rFonts w:cs="Times New Roman"/>
          <w:b/>
          <w:bCs/>
          <w:szCs w:val="32"/>
        </w:rPr>
      </w:pPr>
      <w:r>
        <w:rPr>
          <w:rFonts w:cs="Times New Roman"/>
          <w:b/>
          <w:bCs/>
          <w:szCs w:val="32"/>
        </w:rPr>
        <w:t>（1）指标解释</w:t>
      </w:r>
    </w:p>
    <w:p w14:paraId="25A37B75">
      <w:pPr>
        <w:ind w:firstLine="640" w:firstLineChars="200"/>
        <w:rPr>
          <w:rFonts w:cs="Times New Roman"/>
          <w:szCs w:val="32"/>
        </w:rPr>
      </w:pPr>
      <w:r>
        <w:rPr>
          <w:rFonts w:cs="Times New Roman"/>
          <w:szCs w:val="32"/>
        </w:rPr>
        <w:t>指城市全区域范围内收集和运送到各生活垃圾处理设施的生活垃圾数量（包含四大类生活垃圾）。该指标用于促进城市生活垃圾源头减量。</w:t>
      </w:r>
    </w:p>
    <w:p w14:paraId="402C4C69">
      <w:pPr>
        <w:ind w:firstLine="643" w:firstLineChars="200"/>
        <w:rPr>
          <w:rFonts w:cs="Times New Roman"/>
          <w:b/>
          <w:bCs/>
          <w:szCs w:val="32"/>
        </w:rPr>
      </w:pPr>
      <w:r>
        <w:rPr>
          <w:rFonts w:cs="Times New Roman"/>
          <w:b/>
          <w:bCs/>
          <w:szCs w:val="32"/>
        </w:rPr>
        <w:t>（2）现状值说明</w:t>
      </w:r>
    </w:p>
    <w:p w14:paraId="3A6151D3">
      <w:pPr>
        <w:ind w:firstLine="640" w:firstLineChars="200"/>
        <w:rPr>
          <w:rFonts w:cs="Times New Roman"/>
          <w:szCs w:val="32"/>
        </w:rPr>
      </w:pPr>
      <w:r>
        <w:rPr>
          <w:rFonts w:cs="Times New Roman"/>
          <w:szCs w:val="32"/>
        </w:rPr>
        <w:t>2021年，玄武区生活垃圾清运量为26.95万吨。</w:t>
      </w:r>
    </w:p>
    <w:p w14:paraId="70D62167">
      <w:pPr>
        <w:ind w:firstLine="643" w:firstLineChars="200"/>
        <w:rPr>
          <w:rFonts w:cs="Times New Roman"/>
          <w:b/>
          <w:bCs/>
          <w:szCs w:val="32"/>
        </w:rPr>
      </w:pPr>
      <w:r>
        <w:rPr>
          <w:rFonts w:cs="Times New Roman"/>
          <w:b/>
          <w:bCs/>
          <w:szCs w:val="32"/>
        </w:rPr>
        <w:t>（3）目标可达性分析</w:t>
      </w:r>
    </w:p>
    <w:p w14:paraId="2A373061">
      <w:pPr>
        <w:ind w:firstLine="640" w:firstLineChars="200"/>
        <w:rPr>
          <w:rFonts w:cs="Times New Roman"/>
          <w:szCs w:val="32"/>
        </w:rPr>
      </w:pPr>
      <w:r>
        <w:rPr>
          <w:rFonts w:cs="Times New Roman"/>
          <w:szCs w:val="32"/>
        </w:rPr>
        <w:t>随着玄武区人口增长，2025年生活垃圾清运量预计达到28万吨左右，但随着玄武区注重源头减量，鼓励循环利用，推动绿色办公、创建绿色餐饮和推广绿色会展，深入开展生活垃圾分类争优除差行动，确保到2025年，生活垃圾清运量下降至27.5万吨。</w:t>
      </w:r>
    </w:p>
    <w:p w14:paraId="6AEC0732">
      <w:pPr>
        <w:pStyle w:val="36"/>
        <w:numPr>
          <w:ilvl w:val="0"/>
          <w:numId w:val="34"/>
        </w:numPr>
        <w:ind w:left="0" w:firstLine="0" w:firstLineChars="0"/>
        <w:rPr>
          <w:rFonts w:cs="Times New Roman"/>
          <w:b/>
          <w:bCs/>
          <w:szCs w:val="32"/>
        </w:rPr>
      </w:pPr>
      <w:r>
        <w:rPr>
          <w:rFonts w:cs="Times New Roman"/>
          <w:b/>
          <w:bCs/>
          <w:szCs w:val="32"/>
        </w:rPr>
        <w:t>城市居民小区生活垃圾分类覆盖率</w:t>
      </w:r>
      <w:r>
        <w:rPr>
          <w:rFonts w:ascii="Segoe UI Symbol" w:hAnsi="Segoe UI Symbol" w:cs="Segoe UI Symbol"/>
          <w:b/>
          <w:bCs/>
          <w:szCs w:val="32"/>
        </w:rPr>
        <w:t>★</w:t>
      </w:r>
    </w:p>
    <w:p w14:paraId="1B02C3D7">
      <w:pPr>
        <w:ind w:firstLine="643" w:firstLineChars="200"/>
        <w:rPr>
          <w:rFonts w:cs="Times New Roman"/>
          <w:b/>
          <w:bCs/>
          <w:szCs w:val="32"/>
        </w:rPr>
      </w:pPr>
      <w:r>
        <w:rPr>
          <w:rFonts w:cs="Times New Roman"/>
          <w:b/>
          <w:bCs/>
          <w:szCs w:val="32"/>
        </w:rPr>
        <w:t>（1）指标解释</w:t>
      </w:r>
    </w:p>
    <w:p w14:paraId="6C7EC545">
      <w:pPr>
        <w:ind w:firstLine="640" w:firstLineChars="200"/>
        <w:rPr>
          <w:rFonts w:cs="Times New Roman"/>
          <w:szCs w:val="32"/>
        </w:rPr>
      </w:pPr>
      <w:r>
        <w:rPr>
          <w:rFonts w:cs="Times New Roman"/>
          <w:szCs w:val="32"/>
        </w:rPr>
        <w:t>指城市城区开展生活垃圾分类收集、分类运输的小区数量占比。该指标用于促进各地实现生活垃圾分类收运系统市区全覆盖。</w:t>
      </w:r>
    </w:p>
    <w:p w14:paraId="101332C0">
      <w:pPr>
        <w:ind w:firstLine="643" w:firstLineChars="200"/>
        <w:rPr>
          <w:rFonts w:cs="Times New Roman"/>
          <w:b/>
          <w:bCs/>
          <w:szCs w:val="32"/>
        </w:rPr>
      </w:pPr>
      <w:r>
        <w:rPr>
          <w:rFonts w:cs="Times New Roman"/>
          <w:b/>
          <w:bCs/>
          <w:szCs w:val="32"/>
        </w:rPr>
        <w:t>（2）计算方法</w:t>
      </w:r>
    </w:p>
    <w:p w14:paraId="74B9C905">
      <w:pPr>
        <w:ind w:firstLine="640" w:firstLineChars="200"/>
        <w:rPr>
          <w:rFonts w:cs="Times New Roman"/>
          <w:szCs w:val="32"/>
        </w:rPr>
      </w:pPr>
      <w:r>
        <w:rPr>
          <w:rFonts w:cs="Times New Roman"/>
          <w:szCs w:val="32"/>
        </w:rPr>
        <w:t>城市居民小区生活垃圾分类覆盖率（%）</w:t>
      </w:r>
      <w:r>
        <w:rPr>
          <w:rFonts w:hint="eastAsia" w:cs="Times New Roman"/>
          <w:szCs w:val="32"/>
        </w:rPr>
        <w:t>＝</w:t>
      </w:r>
      <w:r>
        <w:rPr>
          <w:rFonts w:cs="Times New Roman"/>
          <w:szCs w:val="32"/>
        </w:rPr>
        <w:t>开展生活垃圾分类收运的城市居民小区数量</w:t>
      </w:r>
      <w:r>
        <w:rPr>
          <w:rFonts w:hint="eastAsia" w:cs="Times New Roman"/>
          <w:szCs w:val="32"/>
        </w:rPr>
        <w:t>÷</w:t>
      </w:r>
      <w:r>
        <w:rPr>
          <w:rFonts w:cs="Times New Roman"/>
          <w:szCs w:val="32"/>
        </w:rPr>
        <w:t>城市居民小区总数×100%。</w:t>
      </w:r>
    </w:p>
    <w:p w14:paraId="07A48ABC">
      <w:pPr>
        <w:ind w:firstLine="643" w:firstLineChars="200"/>
        <w:rPr>
          <w:rFonts w:cs="Times New Roman"/>
          <w:b/>
          <w:bCs/>
          <w:szCs w:val="32"/>
        </w:rPr>
      </w:pPr>
      <w:r>
        <w:rPr>
          <w:rFonts w:cs="Times New Roman"/>
          <w:b/>
          <w:bCs/>
          <w:szCs w:val="32"/>
        </w:rPr>
        <w:t>（3）现状值说明</w:t>
      </w:r>
    </w:p>
    <w:p w14:paraId="0D59435B">
      <w:pPr>
        <w:ind w:firstLine="640" w:firstLineChars="200"/>
        <w:rPr>
          <w:rFonts w:cs="Times New Roman"/>
          <w:szCs w:val="32"/>
        </w:rPr>
      </w:pPr>
      <w:r>
        <w:rPr>
          <w:rFonts w:cs="Times New Roman"/>
          <w:szCs w:val="32"/>
        </w:rPr>
        <w:t>2021年，玄武区</w:t>
      </w:r>
      <w:bookmarkStart w:id="257" w:name="_Hlk120046056"/>
      <w:r>
        <w:rPr>
          <w:rFonts w:cs="Times New Roman"/>
          <w:szCs w:val="32"/>
        </w:rPr>
        <w:t>城市居民小区生活垃圾分类覆盖率为100%</w:t>
      </w:r>
      <w:bookmarkEnd w:id="257"/>
      <w:r>
        <w:rPr>
          <w:rFonts w:cs="Times New Roman"/>
          <w:szCs w:val="32"/>
        </w:rPr>
        <w:t>。</w:t>
      </w:r>
    </w:p>
    <w:p w14:paraId="509B530E">
      <w:pPr>
        <w:ind w:firstLine="643" w:firstLineChars="200"/>
        <w:rPr>
          <w:rFonts w:cs="Times New Roman"/>
          <w:b/>
          <w:bCs/>
          <w:szCs w:val="32"/>
        </w:rPr>
      </w:pPr>
      <w:r>
        <w:rPr>
          <w:rFonts w:cs="Times New Roman"/>
          <w:b/>
          <w:bCs/>
          <w:szCs w:val="32"/>
        </w:rPr>
        <w:t>（4）目标可达性分析</w:t>
      </w:r>
    </w:p>
    <w:p w14:paraId="63B51F98">
      <w:pPr>
        <w:ind w:firstLine="640" w:firstLineChars="200"/>
        <w:rPr>
          <w:rFonts w:cs="Times New Roman"/>
          <w:b/>
          <w:bCs/>
          <w:szCs w:val="32"/>
        </w:rPr>
      </w:pPr>
      <w:r>
        <w:rPr>
          <w:rFonts w:cs="Times New Roman"/>
          <w:szCs w:val="32"/>
        </w:rPr>
        <w:t>玄武区将强化前端垃圾分类工作，</w:t>
      </w:r>
      <w:r>
        <w:rPr>
          <w:rFonts w:cs="Times New Roman"/>
        </w:rPr>
        <w:t>深入实施生活垃圾分类争优除差行动，推进生活垃圾转运站项目建设，升级改造一批关键位置现有中转站、关停（转用）一批群众投诉较多中转站，对全区垃圾转运体系进行优化升级</w:t>
      </w:r>
      <w:r>
        <w:rPr>
          <w:rFonts w:cs="Times New Roman"/>
          <w:szCs w:val="32"/>
        </w:rPr>
        <w:t>，完善</w:t>
      </w:r>
      <w:r>
        <w:rPr>
          <w:rFonts w:hint="eastAsia" w:cs="Times New Roman"/>
          <w:szCs w:val="32"/>
        </w:rPr>
        <w:t>“</w:t>
      </w:r>
      <w:r>
        <w:rPr>
          <w:rFonts w:cs="Times New Roman"/>
          <w:szCs w:val="32"/>
        </w:rPr>
        <w:t>两网融合</w:t>
      </w:r>
      <w:r>
        <w:rPr>
          <w:rFonts w:hint="eastAsia" w:cs="Times New Roman"/>
          <w:szCs w:val="32"/>
        </w:rPr>
        <w:t>”</w:t>
      </w:r>
      <w:r>
        <w:rPr>
          <w:rFonts w:cs="Times New Roman"/>
          <w:szCs w:val="32"/>
        </w:rPr>
        <w:t>体系建设，确保到2025年，城市居民小区生活垃圾分类覆盖率保持在100%。</w:t>
      </w:r>
    </w:p>
    <w:p w14:paraId="00F2C9E8">
      <w:pPr>
        <w:pStyle w:val="36"/>
        <w:numPr>
          <w:ilvl w:val="0"/>
          <w:numId w:val="34"/>
        </w:numPr>
        <w:ind w:left="0" w:firstLine="0" w:firstLineChars="0"/>
        <w:rPr>
          <w:rFonts w:cs="Times New Roman"/>
          <w:b/>
          <w:bCs/>
          <w:szCs w:val="32"/>
        </w:rPr>
      </w:pPr>
      <w:r>
        <w:rPr>
          <w:rFonts w:cs="Times New Roman"/>
          <w:b/>
          <w:bCs/>
          <w:szCs w:val="32"/>
        </w:rPr>
        <w:t>工业危险废物综合利用率</w:t>
      </w:r>
      <w:r>
        <w:rPr>
          <w:rFonts w:ascii="Segoe UI Symbol" w:hAnsi="Segoe UI Symbol" w:cs="Segoe UI Symbol"/>
          <w:b/>
          <w:bCs/>
          <w:szCs w:val="32"/>
        </w:rPr>
        <w:t>★</w:t>
      </w:r>
    </w:p>
    <w:p w14:paraId="5499E05D">
      <w:pPr>
        <w:ind w:firstLine="643" w:firstLineChars="200"/>
        <w:rPr>
          <w:rFonts w:cs="Times New Roman"/>
          <w:b/>
          <w:bCs/>
          <w:szCs w:val="32"/>
        </w:rPr>
      </w:pPr>
      <w:r>
        <w:rPr>
          <w:rFonts w:cs="Times New Roman"/>
          <w:b/>
          <w:bCs/>
          <w:szCs w:val="32"/>
        </w:rPr>
        <w:t>（1）指标解释</w:t>
      </w:r>
    </w:p>
    <w:p w14:paraId="4E517AA8">
      <w:pPr>
        <w:ind w:firstLine="640" w:firstLineChars="200"/>
        <w:rPr>
          <w:rFonts w:cs="Times New Roman"/>
          <w:szCs w:val="32"/>
        </w:rPr>
      </w:pPr>
      <w:r>
        <w:rPr>
          <w:rFonts w:cs="Times New Roman"/>
          <w:szCs w:val="32"/>
        </w:rPr>
        <w:t>指工业危险废物综合利用量与工业危险废物产生量（包括综合利用往年贮存量）的比率。该指标用于促进工业危险废物综合利用，减少工业资源、能源消耗。</w:t>
      </w:r>
    </w:p>
    <w:p w14:paraId="51A3F9A2">
      <w:pPr>
        <w:ind w:firstLine="643" w:firstLineChars="200"/>
        <w:rPr>
          <w:rFonts w:cs="Times New Roman"/>
          <w:b/>
          <w:bCs/>
          <w:szCs w:val="32"/>
        </w:rPr>
      </w:pPr>
      <w:r>
        <w:rPr>
          <w:rFonts w:cs="Times New Roman"/>
          <w:b/>
          <w:bCs/>
          <w:szCs w:val="32"/>
        </w:rPr>
        <w:t>（2）计算方法</w:t>
      </w:r>
    </w:p>
    <w:p w14:paraId="43E39441">
      <w:pPr>
        <w:ind w:firstLine="640" w:firstLineChars="200"/>
        <w:rPr>
          <w:rFonts w:cs="Times New Roman"/>
          <w:szCs w:val="32"/>
        </w:rPr>
      </w:pPr>
      <w:r>
        <w:rPr>
          <w:rFonts w:cs="Times New Roman"/>
          <w:szCs w:val="32"/>
        </w:rPr>
        <w:t>工业危险废物综合利用率（%）</w:t>
      </w:r>
      <w:r>
        <w:rPr>
          <w:rFonts w:hint="eastAsia" w:cs="Times New Roman"/>
          <w:szCs w:val="32"/>
        </w:rPr>
        <w:t>＝</w:t>
      </w:r>
      <w:r>
        <w:rPr>
          <w:rFonts w:cs="Times New Roman"/>
          <w:szCs w:val="32"/>
        </w:rPr>
        <w:t>工业危险废物综合利用量</w:t>
      </w:r>
      <w:r>
        <w:rPr>
          <w:rFonts w:hint="eastAsia" w:cs="Times New Roman"/>
          <w:szCs w:val="32"/>
        </w:rPr>
        <w:t>÷</w:t>
      </w:r>
      <w:r>
        <w:rPr>
          <w:rFonts w:cs="Times New Roman"/>
          <w:szCs w:val="32"/>
        </w:rPr>
        <w:t>（当年工业危险废物产生量+综合利用往年贮存量）×100%。</w:t>
      </w:r>
    </w:p>
    <w:p w14:paraId="78E093F2">
      <w:pPr>
        <w:ind w:firstLine="643" w:firstLineChars="200"/>
        <w:rPr>
          <w:rFonts w:cs="Times New Roman"/>
          <w:b/>
          <w:bCs/>
          <w:szCs w:val="32"/>
        </w:rPr>
      </w:pPr>
      <w:r>
        <w:rPr>
          <w:rFonts w:cs="Times New Roman"/>
          <w:b/>
          <w:bCs/>
          <w:szCs w:val="32"/>
        </w:rPr>
        <w:t>（3）现状值说明</w:t>
      </w:r>
    </w:p>
    <w:p w14:paraId="09041228">
      <w:pPr>
        <w:ind w:firstLine="640" w:firstLineChars="200"/>
        <w:rPr>
          <w:rFonts w:cs="Times New Roman"/>
          <w:szCs w:val="32"/>
        </w:rPr>
      </w:pPr>
      <w:r>
        <w:rPr>
          <w:rFonts w:cs="Times New Roman"/>
          <w:szCs w:val="32"/>
        </w:rPr>
        <w:t>2021年，玄武区工业危险废物产生量为27.23吨，综合利用量为10.44吨，经计算，危险废物综合利用率为38.34%。</w:t>
      </w:r>
    </w:p>
    <w:p w14:paraId="54AF6872">
      <w:pPr>
        <w:ind w:firstLine="643" w:firstLineChars="200"/>
        <w:rPr>
          <w:rFonts w:cs="Times New Roman"/>
          <w:b/>
          <w:bCs/>
          <w:szCs w:val="32"/>
        </w:rPr>
      </w:pPr>
      <w:r>
        <w:rPr>
          <w:rFonts w:cs="Times New Roman"/>
          <w:b/>
          <w:bCs/>
          <w:szCs w:val="32"/>
        </w:rPr>
        <w:t>（4）目标可达性分析</w:t>
      </w:r>
    </w:p>
    <w:p w14:paraId="24FBF48A">
      <w:pPr>
        <w:ind w:firstLine="640" w:firstLineChars="200"/>
        <w:rPr>
          <w:rFonts w:cs="Times New Roman"/>
          <w:szCs w:val="32"/>
        </w:rPr>
      </w:pPr>
      <w:r>
        <w:rPr>
          <w:rFonts w:cs="Times New Roman"/>
          <w:szCs w:val="32"/>
        </w:rPr>
        <w:t>玄武区将鼓励工业企业对危险废物优先进行资源化利用，力争到2025年，工业危险废物综合利用率提升到40%。</w:t>
      </w:r>
    </w:p>
    <w:p w14:paraId="17557598">
      <w:pPr>
        <w:pStyle w:val="36"/>
        <w:numPr>
          <w:ilvl w:val="0"/>
          <w:numId w:val="34"/>
        </w:numPr>
        <w:ind w:left="0" w:firstLine="0" w:firstLineChars="0"/>
        <w:rPr>
          <w:rFonts w:cs="Times New Roman"/>
          <w:b/>
          <w:bCs/>
          <w:szCs w:val="32"/>
        </w:rPr>
      </w:pPr>
      <w:r>
        <w:rPr>
          <w:rFonts w:cs="Times New Roman"/>
          <w:b/>
          <w:bCs/>
          <w:szCs w:val="32"/>
        </w:rPr>
        <w:t>建筑垃圾资源化利用率</w:t>
      </w:r>
      <w:r>
        <w:rPr>
          <w:rFonts w:ascii="Segoe UI Symbol" w:hAnsi="Segoe UI Symbol" w:cs="Segoe UI Symbol"/>
          <w:b/>
          <w:bCs/>
          <w:szCs w:val="32"/>
        </w:rPr>
        <w:t>★</w:t>
      </w:r>
    </w:p>
    <w:p w14:paraId="175CC85D">
      <w:pPr>
        <w:ind w:firstLine="643" w:firstLineChars="200"/>
        <w:rPr>
          <w:rFonts w:cs="Times New Roman"/>
          <w:b/>
          <w:bCs/>
          <w:szCs w:val="32"/>
        </w:rPr>
      </w:pPr>
      <w:r>
        <w:rPr>
          <w:rFonts w:cs="Times New Roman"/>
          <w:b/>
          <w:bCs/>
          <w:szCs w:val="32"/>
        </w:rPr>
        <w:t>（1）指标解释</w:t>
      </w:r>
    </w:p>
    <w:p w14:paraId="2F0C608C">
      <w:pPr>
        <w:ind w:firstLine="640" w:firstLineChars="200"/>
        <w:rPr>
          <w:rFonts w:cs="Times New Roman"/>
          <w:szCs w:val="32"/>
        </w:rPr>
      </w:pPr>
      <w:r>
        <w:rPr>
          <w:rFonts w:cs="Times New Roman"/>
          <w:szCs w:val="32"/>
        </w:rPr>
        <w:t>指该城市建筑垃圾资源化利用量占建筑垃圾产生量的比值。根据《建筑垃圾处理技术标准》（CJJ/T 134-2019），建筑垃圾资源化利用包括土类建筑垃圾用作制砖和道路工程等用原料，废旧混凝土、碎砖瓦等作为再生建材用原料，废沥青作为再生沥青原料，废金属、木材、塑料、纸张、玻璃、橡胶等作为原料直接或再生利用。该指标用于促进建筑垃圾资源化利用，减少资源、能源和其他建筑材料的开采和生产过程产生的碳排放。</w:t>
      </w:r>
    </w:p>
    <w:p w14:paraId="5AF3AFF6">
      <w:pPr>
        <w:ind w:firstLine="643" w:firstLineChars="200"/>
        <w:rPr>
          <w:rFonts w:cs="Times New Roman"/>
          <w:b/>
          <w:bCs/>
          <w:szCs w:val="32"/>
        </w:rPr>
      </w:pPr>
      <w:r>
        <w:rPr>
          <w:rFonts w:cs="Times New Roman"/>
          <w:b/>
          <w:bCs/>
          <w:szCs w:val="32"/>
        </w:rPr>
        <w:t>（2）计算方法</w:t>
      </w:r>
    </w:p>
    <w:p w14:paraId="65038E11">
      <w:pPr>
        <w:ind w:firstLine="640" w:firstLineChars="200"/>
        <w:rPr>
          <w:rFonts w:cs="Times New Roman"/>
          <w:szCs w:val="32"/>
        </w:rPr>
      </w:pPr>
      <w:r>
        <w:rPr>
          <w:rFonts w:cs="Times New Roman"/>
          <w:szCs w:val="32"/>
        </w:rPr>
        <w:t>建筑垃圾资源化利用率（%）</w:t>
      </w:r>
      <w:r>
        <w:rPr>
          <w:rFonts w:hint="eastAsia" w:cs="Times New Roman"/>
          <w:szCs w:val="32"/>
        </w:rPr>
        <w:t>＝</w:t>
      </w:r>
      <w:r>
        <w:rPr>
          <w:rFonts w:cs="Times New Roman"/>
          <w:szCs w:val="32"/>
        </w:rPr>
        <w:t>建筑垃圾资源化利用量÷建筑垃圾产生量（估算）×100%。</w:t>
      </w:r>
    </w:p>
    <w:p w14:paraId="6B0BE6A6">
      <w:pPr>
        <w:ind w:firstLine="643" w:firstLineChars="200"/>
        <w:rPr>
          <w:rFonts w:cs="Times New Roman"/>
          <w:b/>
          <w:bCs/>
          <w:szCs w:val="32"/>
        </w:rPr>
      </w:pPr>
      <w:r>
        <w:rPr>
          <w:rFonts w:cs="Times New Roman"/>
          <w:b/>
          <w:bCs/>
          <w:szCs w:val="32"/>
        </w:rPr>
        <w:t>（3）现状值说明</w:t>
      </w:r>
    </w:p>
    <w:p w14:paraId="1254D7BF">
      <w:pPr>
        <w:ind w:firstLine="640" w:firstLineChars="200"/>
        <w:rPr>
          <w:rFonts w:cs="Times New Roman"/>
          <w:szCs w:val="32"/>
        </w:rPr>
      </w:pPr>
      <w:r>
        <w:rPr>
          <w:rFonts w:cs="Times New Roman"/>
          <w:szCs w:val="32"/>
        </w:rPr>
        <w:t>2021年，玄武区共产生拆建垃圾1.59万吨，</w:t>
      </w:r>
      <w:r>
        <w:rPr>
          <w:rFonts w:cs="Times New Roman"/>
        </w:rPr>
        <w:t>资源化利用率未进行跟踪统计</w:t>
      </w:r>
      <w:r>
        <w:rPr>
          <w:rFonts w:cs="Times New Roman"/>
          <w:szCs w:val="32"/>
        </w:rPr>
        <w:t>；装修垃圾有居民自行联系资源化利用企业进行处置；</w:t>
      </w:r>
      <w:r>
        <w:rPr>
          <w:rFonts w:cs="Times New Roman"/>
          <w:szCs w:val="28"/>
        </w:rPr>
        <w:t>工程渣土和工程泥浆进行全量无害化处置。</w:t>
      </w:r>
    </w:p>
    <w:p w14:paraId="2F2C2DEB">
      <w:pPr>
        <w:ind w:firstLine="643" w:firstLineChars="200"/>
        <w:rPr>
          <w:rFonts w:cs="Times New Roman"/>
          <w:b/>
          <w:bCs/>
          <w:szCs w:val="32"/>
        </w:rPr>
      </w:pPr>
      <w:r>
        <w:rPr>
          <w:rFonts w:cs="Times New Roman"/>
          <w:b/>
          <w:bCs/>
          <w:szCs w:val="32"/>
        </w:rPr>
        <w:t>（4）目标可达性分析</w:t>
      </w:r>
    </w:p>
    <w:p w14:paraId="1CE2998A">
      <w:pPr>
        <w:ind w:firstLine="640" w:firstLineChars="200"/>
        <w:rPr>
          <w:rFonts w:cs="Times New Roman"/>
          <w:szCs w:val="32"/>
        </w:rPr>
      </w:pPr>
      <w:r>
        <w:rPr>
          <w:rFonts w:cs="Times New Roman"/>
          <w:szCs w:val="32"/>
        </w:rPr>
        <w:t>玄武区将强化建筑垃圾资源利用管理工作，推进区内建筑垃圾进行资源化利用，力争到2025年，建筑垃圾资源化利用率提升到93%。</w:t>
      </w:r>
    </w:p>
    <w:p w14:paraId="1B2D3157">
      <w:pPr>
        <w:pStyle w:val="36"/>
        <w:numPr>
          <w:ilvl w:val="0"/>
          <w:numId w:val="34"/>
        </w:numPr>
        <w:ind w:left="0" w:firstLine="0" w:firstLineChars="0"/>
        <w:rPr>
          <w:rFonts w:cs="Times New Roman"/>
          <w:b/>
          <w:bCs/>
          <w:szCs w:val="32"/>
        </w:rPr>
      </w:pPr>
      <w:r>
        <w:rPr>
          <w:rFonts w:cs="Times New Roman"/>
          <w:b/>
          <w:bCs/>
          <w:szCs w:val="32"/>
        </w:rPr>
        <w:t>装修垃圾综合利用率▲</w:t>
      </w:r>
    </w:p>
    <w:p w14:paraId="7383B3EA">
      <w:pPr>
        <w:ind w:firstLine="643" w:firstLineChars="200"/>
        <w:rPr>
          <w:rFonts w:cs="Times New Roman"/>
          <w:b/>
          <w:bCs/>
          <w:szCs w:val="32"/>
        </w:rPr>
      </w:pPr>
      <w:r>
        <w:rPr>
          <w:rFonts w:cs="Times New Roman"/>
          <w:b/>
          <w:bCs/>
          <w:szCs w:val="32"/>
        </w:rPr>
        <w:t>（1）指标解释</w:t>
      </w:r>
    </w:p>
    <w:p w14:paraId="25762BFE">
      <w:pPr>
        <w:ind w:firstLine="640" w:firstLineChars="200"/>
        <w:rPr>
          <w:rFonts w:cs="Times New Roman"/>
          <w:szCs w:val="32"/>
        </w:rPr>
      </w:pPr>
      <w:r>
        <w:rPr>
          <w:rFonts w:cs="Times New Roman"/>
          <w:szCs w:val="32"/>
        </w:rPr>
        <w:t>指该城市装修垃圾资源化利用量占装修垃圾产生量的比值。</w:t>
      </w:r>
    </w:p>
    <w:p w14:paraId="3BE671F3">
      <w:pPr>
        <w:ind w:firstLine="643" w:firstLineChars="200"/>
        <w:rPr>
          <w:rFonts w:cs="Times New Roman"/>
          <w:b/>
          <w:bCs/>
          <w:szCs w:val="32"/>
        </w:rPr>
      </w:pPr>
      <w:r>
        <w:rPr>
          <w:rFonts w:cs="Times New Roman"/>
          <w:b/>
          <w:bCs/>
          <w:szCs w:val="32"/>
        </w:rPr>
        <w:t>（2）计算方法</w:t>
      </w:r>
    </w:p>
    <w:p w14:paraId="7E1E8942">
      <w:pPr>
        <w:ind w:firstLine="640" w:firstLineChars="200"/>
        <w:rPr>
          <w:rFonts w:cs="Times New Roman"/>
          <w:szCs w:val="32"/>
        </w:rPr>
      </w:pPr>
      <w:r>
        <w:rPr>
          <w:rFonts w:cs="Times New Roman"/>
          <w:szCs w:val="32"/>
        </w:rPr>
        <w:t>装修垃圾综合利用率（%）</w:t>
      </w:r>
      <w:r>
        <w:rPr>
          <w:rFonts w:hint="eastAsia" w:cs="Times New Roman"/>
          <w:szCs w:val="32"/>
        </w:rPr>
        <w:t>＝</w:t>
      </w:r>
      <w:r>
        <w:rPr>
          <w:rFonts w:cs="Times New Roman"/>
          <w:szCs w:val="32"/>
        </w:rPr>
        <w:t>装修垃圾资源化利用量÷装修垃圾产生量（估算）×100%。</w:t>
      </w:r>
    </w:p>
    <w:p w14:paraId="3041278E">
      <w:pPr>
        <w:ind w:firstLine="643" w:firstLineChars="200"/>
        <w:rPr>
          <w:rFonts w:cs="Times New Roman"/>
          <w:b/>
          <w:bCs/>
          <w:szCs w:val="32"/>
        </w:rPr>
      </w:pPr>
      <w:r>
        <w:rPr>
          <w:rFonts w:cs="Times New Roman"/>
          <w:b/>
          <w:bCs/>
          <w:szCs w:val="32"/>
        </w:rPr>
        <w:t>（3）现状值说明</w:t>
      </w:r>
    </w:p>
    <w:p w14:paraId="4B9450F6">
      <w:pPr>
        <w:ind w:firstLine="640" w:firstLineChars="200"/>
        <w:rPr>
          <w:rFonts w:cs="Times New Roman"/>
          <w:szCs w:val="32"/>
        </w:rPr>
      </w:pPr>
      <w:r>
        <w:rPr>
          <w:rFonts w:cs="Times New Roman"/>
          <w:szCs w:val="32"/>
        </w:rPr>
        <w:t>目前，玄武区暂无装修垃圾统计口径，对装修垃圾产生量、综合利用量等相关数据暂不掌握。</w:t>
      </w:r>
    </w:p>
    <w:p w14:paraId="67B6A7CC">
      <w:pPr>
        <w:ind w:firstLine="643" w:firstLineChars="200"/>
        <w:rPr>
          <w:rFonts w:cs="Times New Roman"/>
          <w:b/>
          <w:bCs/>
          <w:szCs w:val="32"/>
        </w:rPr>
      </w:pPr>
      <w:r>
        <w:rPr>
          <w:rFonts w:cs="Times New Roman"/>
          <w:b/>
          <w:bCs/>
          <w:szCs w:val="32"/>
        </w:rPr>
        <w:t>（4）目标可达性分析</w:t>
      </w:r>
    </w:p>
    <w:p w14:paraId="5D887D5D">
      <w:pPr>
        <w:ind w:firstLine="640" w:firstLineChars="200"/>
        <w:rPr>
          <w:rFonts w:cs="Times New Roman"/>
          <w:szCs w:val="32"/>
        </w:rPr>
      </w:pPr>
      <w:r>
        <w:rPr>
          <w:rFonts w:cs="Times New Roman"/>
          <w:szCs w:val="32"/>
        </w:rPr>
        <w:t>玄武区将加强装修垃圾管理工作，推动装修垃圾进行分类收集，力争到2025年，装修垃圾资源化利用率达到70%。</w:t>
      </w:r>
    </w:p>
    <w:p w14:paraId="4ABA2E2D">
      <w:pPr>
        <w:pStyle w:val="36"/>
        <w:numPr>
          <w:ilvl w:val="0"/>
          <w:numId w:val="34"/>
        </w:numPr>
        <w:ind w:left="0" w:firstLine="0" w:firstLineChars="0"/>
        <w:rPr>
          <w:rFonts w:cs="Times New Roman"/>
          <w:b/>
          <w:bCs/>
          <w:szCs w:val="32"/>
        </w:rPr>
      </w:pPr>
      <w:r>
        <w:rPr>
          <w:rFonts w:cs="Times New Roman"/>
          <w:b/>
          <w:bCs/>
          <w:szCs w:val="32"/>
        </w:rPr>
        <w:t>生活垃圾回收利用率</w:t>
      </w:r>
      <w:r>
        <w:rPr>
          <w:rFonts w:ascii="Segoe UI Symbol" w:hAnsi="Segoe UI Symbol" w:cs="Segoe UI Symbol"/>
          <w:b/>
          <w:bCs/>
          <w:szCs w:val="32"/>
        </w:rPr>
        <w:t>★</w:t>
      </w:r>
    </w:p>
    <w:p w14:paraId="1032CB59">
      <w:pPr>
        <w:ind w:firstLine="643" w:firstLineChars="200"/>
        <w:rPr>
          <w:rFonts w:cs="Times New Roman"/>
          <w:b/>
          <w:bCs/>
          <w:szCs w:val="32"/>
        </w:rPr>
      </w:pPr>
      <w:r>
        <w:rPr>
          <w:rFonts w:cs="Times New Roman"/>
          <w:b/>
          <w:bCs/>
          <w:szCs w:val="32"/>
        </w:rPr>
        <w:t>（1）指标解释</w:t>
      </w:r>
    </w:p>
    <w:p w14:paraId="3234979F">
      <w:pPr>
        <w:ind w:firstLine="640" w:firstLineChars="200"/>
        <w:rPr>
          <w:rFonts w:cs="Times New Roman"/>
          <w:szCs w:val="32"/>
        </w:rPr>
      </w:pPr>
      <w:r>
        <w:rPr>
          <w:rFonts w:cs="Times New Roman"/>
          <w:szCs w:val="32"/>
        </w:rPr>
        <w:t>指未进入生活垃圾焚烧和填埋设施进行处理的可回收物、厨余垃圾的数量占生活垃圾产生量的比例。该指标用于促进提高生活垃圾回收利用水平。</w:t>
      </w:r>
    </w:p>
    <w:p w14:paraId="68FE4588">
      <w:pPr>
        <w:ind w:firstLine="643" w:firstLineChars="200"/>
        <w:rPr>
          <w:rFonts w:cs="Times New Roman"/>
          <w:b/>
          <w:bCs/>
          <w:szCs w:val="32"/>
        </w:rPr>
      </w:pPr>
      <w:r>
        <w:rPr>
          <w:rFonts w:cs="Times New Roman"/>
          <w:b/>
          <w:bCs/>
          <w:szCs w:val="32"/>
        </w:rPr>
        <w:t>（2）计算方法</w:t>
      </w:r>
    </w:p>
    <w:p w14:paraId="43FC8AD1">
      <w:pPr>
        <w:ind w:firstLine="640" w:firstLineChars="200"/>
        <w:rPr>
          <w:rFonts w:cs="Times New Roman"/>
          <w:szCs w:val="32"/>
        </w:rPr>
      </w:pPr>
      <w:r>
        <w:rPr>
          <w:rFonts w:cs="Times New Roman"/>
          <w:szCs w:val="32"/>
        </w:rPr>
        <w:t>生活垃圾回收利用率（%）</w:t>
      </w:r>
      <w:r>
        <w:rPr>
          <w:rFonts w:hint="eastAsia" w:cs="Times New Roman"/>
          <w:szCs w:val="32"/>
        </w:rPr>
        <w:t>＝</w:t>
      </w:r>
      <w:r>
        <w:rPr>
          <w:rFonts w:cs="Times New Roman"/>
          <w:szCs w:val="32"/>
        </w:rPr>
        <w:t>生活垃圾回收利用量÷生活垃圾产生量×100%。</w:t>
      </w:r>
    </w:p>
    <w:p w14:paraId="3B168AFD">
      <w:pPr>
        <w:ind w:firstLine="643" w:firstLineChars="200"/>
        <w:rPr>
          <w:rFonts w:cs="Times New Roman"/>
          <w:b/>
          <w:bCs/>
          <w:szCs w:val="32"/>
        </w:rPr>
      </w:pPr>
      <w:r>
        <w:rPr>
          <w:rFonts w:cs="Times New Roman"/>
          <w:b/>
          <w:bCs/>
          <w:szCs w:val="32"/>
        </w:rPr>
        <w:t>（3）现状值说明</w:t>
      </w:r>
    </w:p>
    <w:p w14:paraId="46D4FFA6">
      <w:pPr>
        <w:ind w:firstLine="640" w:firstLineChars="200"/>
        <w:rPr>
          <w:rFonts w:cs="Times New Roman"/>
          <w:szCs w:val="32"/>
        </w:rPr>
      </w:pPr>
      <w:r>
        <w:rPr>
          <w:rFonts w:cs="Times New Roman"/>
          <w:szCs w:val="32"/>
        </w:rPr>
        <w:t>2021年，玄武区餐厨垃圾产生量为3.74万吨，厨余垃圾产生量为2.67万吨，可回收物量为3.52万吨，生活垃圾总产生量为26.95万吨，经计算，生活垃圾回收利用率为36.85%。</w:t>
      </w:r>
    </w:p>
    <w:p w14:paraId="0079765C">
      <w:pPr>
        <w:ind w:firstLine="643" w:firstLineChars="200"/>
        <w:rPr>
          <w:rFonts w:cs="Times New Roman"/>
          <w:b/>
          <w:bCs/>
          <w:szCs w:val="32"/>
        </w:rPr>
      </w:pPr>
      <w:r>
        <w:rPr>
          <w:rFonts w:cs="Times New Roman"/>
          <w:b/>
          <w:bCs/>
          <w:szCs w:val="32"/>
        </w:rPr>
        <w:t>（4）目标可达性分析</w:t>
      </w:r>
    </w:p>
    <w:p w14:paraId="4D121EAF">
      <w:pPr>
        <w:ind w:firstLine="640" w:firstLineChars="200"/>
        <w:rPr>
          <w:rFonts w:cs="Times New Roman"/>
          <w:szCs w:val="32"/>
        </w:rPr>
      </w:pPr>
      <w:r>
        <w:rPr>
          <w:rFonts w:cs="Times New Roman"/>
          <w:szCs w:val="32"/>
        </w:rPr>
        <w:t>玄武区将</w:t>
      </w:r>
      <w:r>
        <w:rPr>
          <w:rFonts w:cs="Times New Roman"/>
        </w:rPr>
        <w:t>深入实施生活垃圾分类争优除差行动，开展分类收运，推进生活垃圾转运站项目建设，对全区垃圾转运体系进行优化升级，</w:t>
      </w:r>
      <w:r>
        <w:rPr>
          <w:rFonts w:cs="Times New Roman"/>
          <w:szCs w:val="32"/>
        </w:rPr>
        <w:t>推动</w:t>
      </w:r>
      <w:r>
        <w:rPr>
          <w:rFonts w:hint="eastAsia" w:cs="Times New Roman"/>
          <w:szCs w:val="32"/>
        </w:rPr>
        <w:t>“</w:t>
      </w:r>
      <w:r>
        <w:rPr>
          <w:rFonts w:cs="Times New Roman"/>
          <w:szCs w:val="32"/>
        </w:rPr>
        <w:t>两网融合</w:t>
      </w:r>
      <w:r>
        <w:rPr>
          <w:rFonts w:hint="eastAsia" w:cs="Times New Roman"/>
          <w:szCs w:val="32"/>
        </w:rPr>
        <w:t>”</w:t>
      </w:r>
      <w:r>
        <w:rPr>
          <w:rFonts w:cs="Times New Roman"/>
          <w:szCs w:val="32"/>
        </w:rPr>
        <w:t>体系建设，力争到2025年，生活垃圾回收利用率提升到42%。</w:t>
      </w:r>
    </w:p>
    <w:p w14:paraId="1E03837D">
      <w:pPr>
        <w:pStyle w:val="36"/>
        <w:numPr>
          <w:ilvl w:val="0"/>
          <w:numId w:val="34"/>
        </w:numPr>
        <w:ind w:left="0" w:firstLine="0" w:firstLineChars="0"/>
        <w:rPr>
          <w:rFonts w:cs="Times New Roman"/>
          <w:b/>
          <w:bCs/>
          <w:szCs w:val="32"/>
        </w:rPr>
      </w:pPr>
      <w:r>
        <w:rPr>
          <w:rFonts w:cs="Times New Roman"/>
          <w:b/>
          <w:bCs/>
          <w:szCs w:val="32"/>
        </w:rPr>
        <w:t>生活垃圾资源化利用率</w:t>
      </w:r>
      <w:r>
        <w:rPr>
          <w:rFonts w:ascii="Segoe UI Symbol" w:hAnsi="Segoe UI Symbol" w:cs="Segoe UI Symbol"/>
          <w:b/>
          <w:bCs/>
          <w:szCs w:val="32"/>
        </w:rPr>
        <w:t>☆</w:t>
      </w:r>
    </w:p>
    <w:p w14:paraId="1ADF5094">
      <w:pPr>
        <w:ind w:firstLine="643" w:firstLineChars="200"/>
        <w:rPr>
          <w:rFonts w:cs="Times New Roman"/>
          <w:b/>
          <w:bCs/>
          <w:szCs w:val="32"/>
        </w:rPr>
      </w:pPr>
      <w:r>
        <w:rPr>
          <w:rFonts w:cs="Times New Roman"/>
          <w:b/>
          <w:bCs/>
          <w:szCs w:val="32"/>
        </w:rPr>
        <w:t>（1）指标解释</w:t>
      </w:r>
    </w:p>
    <w:p w14:paraId="4133C9DA">
      <w:pPr>
        <w:ind w:firstLine="640" w:firstLineChars="200"/>
        <w:rPr>
          <w:rFonts w:cs="Times New Roman"/>
          <w:szCs w:val="32"/>
        </w:rPr>
      </w:pPr>
      <w:r>
        <w:rPr>
          <w:rFonts w:cs="Times New Roman"/>
          <w:szCs w:val="32"/>
        </w:rPr>
        <w:t>指城市生活垃圾资源化和能源化利用的比例。</w:t>
      </w:r>
    </w:p>
    <w:p w14:paraId="5C030896">
      <w:pPr>
        <w:ind w:firstLine="643" w:firstLineChars="200"/>
        <w:rPr>
          <w:rFonts w:cs="Times New Roman"/>
          <w:b/>
          <w:bCs/>
          <w:szCs w:val="32"/>
        </w:rPr>
      </w:pPr>
      <w:r>
        <w:rPr>
          <w:rFonts w:cs="Times New Roman"/>
          <w:b/>
          <w:bCs/>
          <w:szCs w:val="32"/>
        </w:rPr>
        <w:t>（2）计算方法</w:t>
      </w:r>
    </w:p>
    <w:p w14:paraId="54CD8811">
      <w:pPr>
        <w:ind w:firstLine="640" w:firstLineChars="200"/>
        <w:rPr>
          <w:rFonts w:cs="Times New Roman"/>
          <w:szCs w:val="32"/>
        </w:rPr>
      </w:pPr>
      <w:r>
        <w:rPr>
          <w:rFonts w:cs="Times New Roman"/>
          <w:szCs w:val="32"/>
        </w:rPr>
        <w:t>生活垃圾资源化利用率（%）</w:t>
      </w:r>
      <w:r>
        <w:rPr>
          <w:rFonts w:hint="eastAsia" w:cs="Times New Roman"/>
          <w:szCs w:val="32"/>
        </w:rPr>
        <w:t>＝</w:t>
      </w:r>
      <w:r>
        <w:rPr>
          <w:rFonts w:cs="Times New Roman"/>
          <w:szCs w:val="32"/>
        </w:rPr>
        <w:t>生活垃圾资源化和能源化利用量</w:t>
      </w:r>
      <w:r>
        <w:rPr>
          <w:rFonts w:hint="eastAsia" w:cs="Times New Roman"/>
          <w:szCs w:val="32"/>
        </w:rPr>
        <w:t>÷</w:t>
      </w:r>
      <w:r>
        <w:rPr>
          <w:rFonts w:cs="Times New Roman"/>
          <w:szCs w:val="32"/>
        </w:rPr>
        <w:t>生活垃圾清运量×100%。</w:t>
      </w:r>
    </w:p>
    <w:p w14:paraId="67A570ED">
      <w:pPr>
        <w:ind w:firstLine="643" w:firstLineChars="200"/>
        <w:rPr>
          <w:rFonts w:cs="Times New Roman"/>
          <w:b/>
          <w:bCs/>
          <w:szCs w:val="32"/>
        </w:rPr>
      </w:pPr>
      <w:r>
        <w:rPr>
          <w:rFonts w:cs="Times New Roman"/>
          <w:b/>
          <w:bCs/>
          <w:szCs w:val="32"/>
        </w:rPr>
        <w:t>（3）现状值说明</w:t>
      </w:r>
    </w:p>
    <w:p w14:paraId="65A023C7">
      <w:pPr>
        <w:ind w:firstLine="640" w:firstLineChars="200"/>
        <w:rPr>
          <w:rFonts w:cs="Times New Roman"/>
          <w:szCs w:val="32"/>
        </w:rPr>
      </w:pPr>
      <w:r>
        <w:rPr>
          <w:rFonts w:cs="Times New Roman"/>
          <w:szCs w:val="32"/>
        </w:rPr>
        <w:t>2021年，玄武区餐厨垃圾产生量为3.74万吨，厨余垃圾产生量为2.67万吨，可回收物量为3.52万吨，其他垃圾产生量为17.02万吨，生活垃圾清运量为26.95万吨，经计算，生活垃圾资源化利用率为84.99%。</w:t>
      </w:r>
    </w:p>
    <w:p w14:paraId="117D58E1">
      <w:pPr>
        <w:ind w:firstLine="643" w:firstLineChars="200"/>
        <w:rPr>
          <w:rFonts w:cs="Times New Roman"/>
          <w:b/>
          <w:bCs/>
          <w:szCs w:val="32"/>
        </w:rPr>
      </w:pPr>
      <w:r>
        <w:rPr>
          <w:rFonts w:cs="Times New Roman"/>
          <w:b/>
          <w:bCs/>
          <w:szCs w:val="32"/>
        </w:rPr>
        <w:t>（4）目标可达性分析</w:t>
      </w:r>
    </w:p>
    <w:p w14:paraId="65DD1658">
      <w:pPr>
        <w:ind w:firstLine="640" w:firstLineChars="200"/>
        <w:rPr>
          <w:rFonts w:cs="Times New Roman"/>
          <w:szCs w:val="32"/>
        </w:rPr>
      </w:pPr>
      <w:r>
        <w:rPr>
          <w:rFonts w:cs="Times New Roman"/>
          <w:szCs w:val="32"/>
        </w:rPr>
        <w:t>玄武区将深入开展生活垃圾分类争优除差行动，推动</w:t>
      </w:r>
      <w:r>
        <w:rPr>
          <w:rFonts w:hint="eastAsia" w:cs="Times New Roman"/>
          <w:szCs w:val="32"/>
        </w:rPr>
        <w:t>“</w:t>
      </w:r>
      <w:r>
        <w:rPr>
          <w:rFonts w:cs="Times New Roman"/>
          <w:szCs w:val="32"/>
        </w:rPr>
        <w:t>两网融合</w:t>
      </w:r>
      <w:r>
        <w:rPr>
          <w:rFonts w:hint="eastAsia" w:cs="Times New Roman"/>
          <w:szCs w:val="32"/>
        </w:rPr>
        <w:t>”</w:t>
      </w:r>
      <w:r>
        <w:rPr>
          <w:rFonts w:cs="Times New Roman"/>
          <w:szCs w:val="32"/>
        </w:rPr>
        <w:t>体系建设，推进餐厨垃圾集约化利用，确保到2025年，生活垃圾资源化利用率达到87%。</w:t>
      </w:r>
    </w:p>
    <w:p w14:paraId="4DC8383F">
      <w:pPr>
        <w:pStyle w:val="36"/>
        <w:numPr>
          <w:ilvl w:val="0"/>
          <w:numId w:val="34"/>
        </w:numPr>
        <w:ind w:left="0" w:firstLine="0" w:firstLineChars="0"/>
        <w:rPr>
          <w:rFonts w:cs="Times New Roman"/>
          <w:b/>
          <w:bCs/>
          <w:szCs w:val="32"/>
        </w:rPr>
      </w:pPr>
      <w:r>
        <w:rPr>
          <w:rFonts w:cs="Times New Roman"/>
          <w:b/>
          <w:bCs/>
          <w:szCs w:val="32"/>
        </w:rPr>
        <w:t>医疗卫生机构可回收物回收率</w:t>
      </w:r>
      <w:r>
        <w:rPr>
          <w:rFonts w:ascii="Segoe UI Symbol" w:hAnsi="Segoe UI Symbol" w:cs="Segoe UI Symbol"/>
          <w:b/>
          <w:bCs/>
          <w:szCs w:val="32"/>
        </w:rPr>
        <w:t>★</w:t>
      </w:r>
    </w:p>
    <w:p w14:paraId="4DF58736">
      <w:pPr>
        <w:ind w:firstLine="643" w:firstLineChars="200"/>
        <w:rPr>
          <w:rFonts w:cs="Times New Roman"/>
          <w:b/>
          <w:bCs/>
          <w:szCs w:val="32"/>
        </w:rPr>
      </w:pPr>
      <w:r>
        <w:rPr>
          <w:rFonts w:cs="Times New Roman"/>
          <w:b/>
          <w:bCs/>
          <w:szCs w:val="32"/>
        </w:rPr>
        <w:t>（1）指标解释</w:t>
      </w:r>
    </w:p>
    <w:p w14:paraId="56210EFD">
      <w:pPr>
        <w:ind w:firstLine="640" w:firstLineChars="200"/>
        <w:rPr>
          <w:rFonts w:cs="Times New Roman"/>
          <w:szCs w:val="32"/>
        </w:rPr>
      </w:pPr>
      <w:r>
        <w:rPr>
          <w:rFonts w:cs="Times New Roman"/>
          <w:szCs w:val="32"/>
        </w:rPr>
        <w:t>指医疗卫生机构可回收物的回收量与可回收物产生量的比率。医疗卫生机构可回收物主要指未经患者血液、体液、排泄物等污染的输液瓶（袋）。该指标用于提高医疗卫生机构可回收物的回收水平。</w:t>
      </w:r>
    </w:p>
    <w:p w14:paraId="2BA313B2">
      <w:pPr>
        <w:ind w:firstLine="643" w:firstLineChars="200"/>
        <w:rPr>
          <w:rFonts w:cs="Times New Roman"/>
          <w:b/>
          <w:bCs/>
          <w:szCs w:val="32"/>
        </w:rPr>
      </w:pPr>
      <w:r>
        <w:rPr>
          <w:rFonts w:cs="Times New Roman"/>
          <w:b/>
          <w:bCs/>
          <w:szCs w:val="32"/>
        </w:rPr>
        <w:t>（2）计算方法</w:t>
      </w:r>
    </w:p>
    <w:p w14:paraId="76B64686">
      <w:pPr>
        <w:ind w:firstLine="640" w:firstLineChars="200"/>
        <w:rPr>
          <w:rFonts w:cs="Times New Roman"/>
          <w:szCs w:val="32"/>
        </w:rPr>
      </w:pPr>
      <w:r>
        <w:rPr>
          <w:rFonts w:cs="Times New Roman"/>
          <w:szCs w:val="32"/>
        </w:rPr>
        <w:t>医疗卫生机构可回收物回收率（%）</w:t>
      </w:r>
      <w:r>
        <w:rPr>
          <w:rFonts w:hint="eastAsia" w:cs="Times New Roman"/>
          <w:szCs w:val="32"/>
        </w:rPr>
        <w:t>＝</w:t>
      </w:r>
      <w:r>
        <w:rPr>
          <w:rFonts w:cs="Times New Roman"/>
          <w:szCs w:val="32"/>
        </w:rPr>
        <w:t>可回收物的回收量</w:t>
      </w:r>
      <w:r>
        <w:rPr>
          <w:rFonts w:hint="eastAsia" w:cs="Times New Roman"/>
          <w:szCs w:val="32"/>
        </w:rPr>
        <w:t>÷</w:t>
      </w:r>
      <w:r>
        <w:rPr>
          <w:rFonts w:cs="Times New Roman"/>
          <w:szCs w:val="32"/>
        </w:rPr>
        <w:t>可回收物产生量×100%。</w:t>
      </w:r>
    </w:p>
    <w:p w14:paraId="4D68C210">
      <w:pPr>
        <w:ind w:firstLine="643" w:firstLineChars="200"/>
        <w:rPr>
          <w:rFonts w:cs="Times New Roman"/>
          <w:b/>
          <w:bCs/>
          <w:szCs w:val="32"/>
        </w:rPr>
      </w:pPr>
      <w:r>
        <w:rPr>
          <w:rFonts w:cs="Times New Roman"/>
          <w:b/>
          <w:bCs/>
          <w:szCs w:val="32"/>
        </w:rPr>
        <w:t>（3）现状值说明</w:t>
      </w:r>
    </w:p>
    <w:p w14:paraId="12C21653">
      <w:pPr>
        <w:ind w:firstLine="640" w:firstLineChars="200"/>
        <w:rPr>
          <w:rFonts w:cs="Times New Roman"/>
          <w:szCs w:val="32"/>
        </w:rPr>
      </w:pPr>
      <w:r>
        <w:rPr>
          <w:rFonts w:cs="Times New Roman"/>
          <w:szCs w:val="32"/>
        </w:rPr>
        <w:t>2021年，玄武区医疗卫生机构可回收物回收率为100%。</w:t>
      </w:r>
    </w:p>
    <w:p w14:paraId="763D9967">
      <w:pPr>
        <w:ind w:firstLine="643" w:firstLineChars="200"/>
        <w:rPr>
          <w:rFonts w:cs="Times New Roman"/>
          <w:b/>
          <w:bCs/>
          <w:szCs w:val="32"/>
        </w:rPr>
      </w:pPr>
      <w:r>
        <w:rPr>
          <w:rFonts w:cs="Times New Roman"/>
          <w:b/>
          <w:bCs/>
          <w:szCs w:val="32"/>
        </w:rPr>
        <w:t>（4）目标可达性分析</w:t>
      </w:r>
    </w:p>
    <w:p w14:paraId="40A5D3B9">
      <w:pPr>
        <w:ind w:firstLine="640" w:firstLineChars="200"/>
        <w:rPr>
          <w:rFonts w:cs="Times New Roman"/>
          <w:szCs w:val="32"/>
        </w:rPr>
      </w:pPr>
      <w:r>
        <w:rPr>
          <w:rFonts w:cs="Times New Roman"/>
          <w:szCs w:val="32"/>
        </w:rPr>
        <w:t>玄武区将推进各医疗机构系统建立分类投放、收集、贮存、交接和转运的医疗机构废弃物管理系统，落实医疗废物</w:t>
      </w:r>
      <w:r>
        <w:rPr>
          <w:rFonts w:hint="eastAsia" w:cs="Times New Roman"/>
          <w:szCs w:val="32"/>
        </w:rPr>
        <w:t>“</w:t>
      </w:r>
      <w:r>
        <w:rPr>
          <w:rFonts w:cs="Times New Roman"/>
          <w:szCs w:val="32"/>
        </w:rPr>
        <w:t>五分法</w:t>
      </w:r>
      <w:r>
        <w:rPr>
          <w:rFonts w:hint="eastAsia" w:cs="Times New Roman"/>
          <w:szCs w:val="32"/>
        </w:rPr>
        <w:t>”，</w:t>
      </w:r>
      <w:r>
        <w:rPr>
          <w:rFonts w:cs="Times New Roman"/>
          <w:szCs w:val="32"/>
        </w:rPr>
        <w:t>确保到2025年，医疗卫生机构可回收物回收率保持在100%。</w:t>
      </w:r>
    </w:p>
    <w:p w14:paraId="4D6F139A">
      <w:pPr>
        <w:pStyle w:val="36"/>
        <w:numPr>
          <w:ilvl w:val="0"/>
          <w:numId w:val="34"/>
        </w:numPr>
        <w:ind w:left="0" w:firstLine="0" w:firstLineChars="0"/>
        <w:rPr>
          <w:rFonts w:cs="Times New Roman"/>
          <w:b/>
          <w:bCs/>
          <w:szCs w:val="32"/>
        </w:rPr>
      </w:pPr>
      <w:bookmarkStart w:id="258" w:name="_Hlk127279832"/>
      <w:r>
        <w:rPr>
          <w:rFonts w:cs="Times New Roman"/>
          <w:b/>
          <w:bCs/>
          <w:szCs w:val="32"/>
        </w:rPr>
        <w:t>车用动力电池等产品类废物回收体系覆盖率</w:t>
      </w:r>
      <w:r>
        <w:rPr>
          <w:rFonts w:ascii="Segoe UI Symbol" w:hAnsi="Segoe UI Symbol" w:cs="Segoe UI Symbol"/>
          <w:b/>
          <w:bCs/>
          <w:szCs w:val="32"/>
        </w:rPr>
        <w:t>☆</w:t>
      </w:r>
    </w:p>
    <w:p w14:paraId="68086419">
      <w:pPr>
        <w:ind w:firstLine="643" w:firstLineChars="200"/>
        <w:rPr>
          <w:rFonts w:cs="Times New Roman"/>
          <w:b/>
          <w:bCs/>
          <w:szCs w:val="32"/>
        </w:rPr>
      </w:pPr>
      <w:r>
        <w:rPr>
          <w:rFonts w:cs="Times New Roman"/>
          <w:b/>
          <w:bCs/>
          <w:szCs w:val="32"/>
        </w:rPr>
        <w:t>（1）指标解释</w:t>
      </w:r>
    </w:p>
    <w:p w14:paraId="0A760C73">
      <w:pPr>
        <w:ind w:firstLine="640" w:firstLineChars="200"/>
        <w:rPr>
          <w:rFonts w:cs="Times New Roman"/>
          <w:szCs w:val="32"/>
        </w:rPr>
      </w:pPr>
      <w:r>
        <w:rPr>
          <w:rFonts w:cs="Times New Roman"/>
          <w:szCs w:val="32"/>
        </w:rPr>
        <w:t>纳入车用动力电池等回收体系的产品类废物产生单位（汽车销售、维修企业等）数量占产品类废物产生单位总数的比例。该指标用于促进产品类废物的收集回收，有助于提升产品类废物资源化利用水平。</w:t>
      </w:r>
    </w:p>
    <w:p w14:paraId="6DE69FBE">
      <w:pPr>
        <w:ind w:firstLine="643" w:firstLineChars="200"/>
        <w:rPr>
          <w:rFonts w:cs="Times New Roman"/>
          <w:b/>
          <w:bCs/>
          <w:szCs w:val="32"/>
        </w:rPr>
      </w:pPr>
      <w:r>
        <w:rPr>
          <w:rFonts w:cs="Times New Roman"/>
          <w:b/>
          <w:bCs/>
          <w:szCs w:val="32"/>
        </w:rPr>
        <w:t>（2）计算方法</w:t>
      </w:r>
    </w:p>
    <w:p w14:paraId="16B52D78">
      <w:pPr>
        <w:ind w:firstLine="640" w:firstLineChars="200"/>
        <w:rPr>
          <w:rFonts w:cs="Times New Roman"/>
          <w:szCs w:val="32"/>
        </w:rPr>
      </w:pPr>
      <w:r>
        <w:rPr>
          <w:rFonts w:cs="Times New Roman"/>
          <w:szCs w:val="32"/>
        </w:rPr>
        <w:t>车用动力电池等产品类废物回收体系覆盖率（%）</w:t>
      </w:r>
      <w:r>
        <w:rPr>
          <w:rFonts w:hint="eastAsia" w:cs="Times New Roman"/>
          <w:szCs w:val="32"/>
        </w:rPr>
        <w:t>＝</w:t>
      </w:r>
      <w:r>
        <w:rPr>
          <w:rFonts w:cs="Times New Roman"/>
          <w:szCs w:val="32"/>
        </w:rPr>
        <w:t>纳入产品类废物回收体系的产生单位数量</w:t>
      </w:r>
      <w:r>
        <w:rPr>
          <w:rFonts w:hint="eastAsia" w:cs="Times New Roman"/>
          <w:szCs w:val="32"/>
        </w:rPr>
        <w:t>÷</w:t>
      </w:r>
      <w:r>
        <w:rPr>
          <w:rFonts w:cs="Times New Roman"/>
          <w:szCs w:val="32"/>
        </w:rPr>
        <w:t>产品类废物产生单位总数×100%。</w:t>
      </w:r>
    </w:p>
    <w:p w14:paraId="12A362B2">
      <w:pPr>
        <w:ind w:firstLine="643" w:firstLineChars="200"/>
        <w:rPr>
          <w:rFonts w:cs="Times New Roman"/>
          <w:b/>
          <w:bCs/>
          <w:szCs w:val="32"/>
        </w:rPr>
      </w:pPr>
      <w:r>
        <w:rPr>
          <w:rFonts w:cs="Times New Roman"/>
          <w:b/>
          <w:bCs/>
          <w:szCs w:val="32"/>
        </w:rPr>
        <w:t>（3）现状值说明</w:t>
      </w:r>
    </w:p>
    <w:p w14:paraId="345E0474">
      <w:pPr>
        <w:ind w:firstLine="640" w:firstLineChars="200"/>
        <w:rPr>
          <w:rFonts w:cs="Times New Roman"/>
          <w:szCs w:val="32"/>
        </w:rPr>
      </w:pPr>
      <w:r>
        <w:rPr>
          <w:rFonts w:cs="Times New Roman"/>
          <w:szCs w:val="32"/>
        </w:rPr>
        <w:t>2021年，玄武区暂无新能源汽车动力蓄电池回收服务网点。</w:t>
      </w:r>
    </w:p>
    <w:p w14:paraId="30510BDD">
      <w:pPr>
        <w:ind w:firstLine="643" w:firstLineChars="200"/>
        <w:rPr>
          <w:rFonts w:cs="Times New Roman"/>
          <w:b/>
          <w:bCs/>
          <w:szCs w:val="32"/>
        </w:rPr>
      </w:pPr>
      <w:r>
        <w:rPr>
          <w:rFonts w:cs="Times New Roman"/>
          <w:b/>
          <w:bCs/>
          <w:szCs w:val="32"/>
        </w:rPr>
        <w:t>（4）目标可达性分析</w:t>
      </w:r>
    </w:p>
    <w:p w14:paraId="755A8C39">
      <w:pPr>
        <w:ind w:firstLine="640" w:firstLineChars="200"/>
        <w:rPr>
          <w:rFonts w:cs="Times New Roman"/>
          <w:szCs w:val="32"/>
        </w:rPr>
      </w:pPr>
      <w:r>
        <w:rPr>
          <w:rFonts w:cs="Times New Roman"/>
          <w:szCs w:val="32"/>
        </w:rPr>
        <w:t>玄武区将探索制定生产者责任延伸制度，加快构建以新能源汽车和动力电池生产、回收、资源化利用企业为主体的全产业链平台，健全废旧动力电池回收体系，确保到2025年，车用动力电池等产品类废物回收体系覆盖率达到100%。</w:t>
      </w:r>
      <w:bookmarkEnd w:id="258"/>
    </w:p>
    <w:p w14:paraId="71E6DFE3">
      <w:pPr>
        <w:pStyle w:val="36"/>
        <w:numPr>
          <w:ilvl w:val="0"/>
          <w:numId w:val="34"/>
        </w:numPr>
        <w:ind w:left="0" w:firstLine="0" w:firstLineChars="0"/>
        <w:rPr>
          <w:rFonts w:cs="Times New Roman"/>
          <w:b/>
          <w:bCs/>
          <w:szCs w:val="32"/>
        </w:rPr>
      </w:pPr>
      <w:r>
        <w:rPr>
          <w:rFonts w:cs="Times New Roman"/>
          <w:b/>
          <w:bCs/>
          <w:szCs w:val="32"/>
        </w:rPr>
        <w:t>实验室危险废物收运处覆盖率▲</w:t>
      </w:r>
    </w:p>
    <w:p w14:paraId="6EB33700">
      <w:pPr>
        <w:ind w:firstLine="643" w:firstLineChars="200"/>
        <w:rPr>
          <w:rFonts w:cs="Times New Roman"/>
          <w:b/>
          <w:bCs/>
          <w:szCs w:val="32"/>
        </w:rPr>
      </w:pPr>
      <w:r>
        <w:rPr>
          <w:rFonts w:cs="Times New Roman"/>
          <w:b/>
          <w:bCs/>
          <w:szCs w:val="32"/>
        </w:rPr>
        <w:t>（1）指标解释</w:t>
      </w:r>
    </w:p>
    <w:p w14:paraId="308B8C0D">
      <w:pPr>
        <w:ind w:firstLine="640" w:firstLineChars="200"/>
        <w:rPr>
          <w:rFonts w:cs="Times New Roman"/>
          <w:szCs w:val="32"/>
        </w:rPr>
      </w:pPr>
      <w:r>
        <w:rPr>
          <w:rFonts w:cs="Times New Roman"/>
          <w:szCs w:val="32"/>
        </w:rPr>
        <w:t>纳入实验室危险废物收运处一体化系统中的实验室数量占南京市实验室总数的比例。</w:t>
      </w:r>
    </w:p>
    <w:p w14:paraId="72149D93">
      <w:pPr>
        <w:ind w:firstLine="643" w:firstLineChars="200"/>
        <w:rPr>
          <w:rFonts w:cs="Times New Roman"/>
          <w:b/>
          <w:bCs/>
          <w:szCs w:val="32"/>
        </w:rPr>
      </w:pPr>
      <w:r>
        <w:rPr>
          <w:rFonts w:cs="Times New Roman"/>
          <w:b/>
          <w:bCs/>
          <w:szCs w:val="32"/>
        </w:rPr>
        <w:t>（2）现状值说明</w:t>
      </w:r>
    </w:p>
    <w:p w14:paraId="41FDDD68">
      <w:pPr>
        <w:ind w:firstLine="640" w:firstLineChars="200"/>
        <w:rPr>
          <w:rFonts w:cs="Times New Roman"/>
          <w:szCs w:val="32"/>
        </w:rPr>
      </w:pPr>
      <w:r>
        <w:rPr>
          <w:rFonts w:cs="Times New Roman"/>
          <w:szCs w:val="32"/>
        </w:rPr>
        <w:t>2021年，玄武区</w:t>
      </w:r>
      <w:r>
        <w:rPr>
          <w:rFonts w:hint="eastAsia" w:cs="Times New Roman"/>
          <w:szCs w:val="32"/>
        </w:rPr>
        <w:t>内</w:t>
      </w:r>
      <w:r>
        <w:rPr>
          <w:rFonts w:cs="Times New Roman"/>
          <w:szCs w:val="32"/>
        </w:rPr>
        <w:t>南京农业大学、南京林业大学等高校与研发企业已实现实验室危险废物收运处一体化管理。</w:t>
      </w:r>
    </w:p>
    <w:p w14:paraId="7991A36B">
      <w:pPr>
        <w:ind w:firstLine="643" w:firstLineChars="200"/>
        <w:rPr>
          <w:rFonts w:cs="Times New Roman"/>
          <w:b/>
          <w:bCs/>
          <w:szCs w:val="32"/>
        </w:rPr>
      </w:pPr>
      <w:r>
        <w:rPr>
          <w:rFonts w:cs="Times New Roman"/>
          <w:b/>
          <w:bCs/>
          <w:szCs w:val="32"/>
        </w:rPr>
        <w:t>（3）目标可达性分析</w:t>
      </w:r>
    </w:p>
    <w:p w14:paraId="5BF4E858">
      <w:pPr>
        <w:ind w:firstLine="640" w:firstLineChars="200"/>
        <w:rPr>
          <w:rFonts w:cs="Times New Roman"/>
          <w:szCs w:val="32"/>
        </w:rPr>
      </w:pPr>
      <w:r>
        <w:rPr>
          <w:rFonts w:cs="Times New Roman"/>
          <w:szCs w:val="32"/>
        </w:rPr>
        <w:t>玄武区将持续积极配合推进实验室危险废物收运处体系建设，力争到2025年，实验室危险废物收运处覆盖率达到80%。</w:t>
      </w:r>
    </w:p>
    <w:p w14:paraId="14FDD89D">
      <w:pPr>
        <w:pStyle w:val="36"/>
        <w:numPr>
          <w:ilvl w:val="0"/>
          <w:numId w:val="34"/>
        </w:numPr>
        <w:ind w:left="0" w:firstLine="0" w:firstLineChars="0"/>
        <w:rPr>
          <w:rFonts w:cs="Times New Roman"/>
          <w:b/>
          <w:bCs/>
          <w:szCs w:val="32"/>
        </w:rPr>
      </w:pPr>
      <w:r>
        <w:rPr>
          <w:rFonts w:cs="Times New Roman"/>
          <w:b/>
          <w:bCs/>
          <w:szCs w:val="32"/>
        </w:rPr>
        <w:t>医疗废物收集处置体系覆盖率</w:t>
      </w:r>
      <w:r>
        <w:rPr>
          <w:rFonts w:ascii="Segoe UI Symbol" w:hAnsi="Segoe UI Symbol" w:cs="Segoe UI Symbol"/>
          <w:b/>
          <w:bCs/>
          <w:szCs w:val="32"/>
        </w:rPr>
        <w:t>★</w:t>
      </w:r>
    </w:p>
    <w:p w14:paraId="4E895790">
      <w:pPr>
        <w:ind w:firstLine="643" w:firstLineChars="200"/>
        <w:rPr>
          <w:rFonts w:cs="Times New Roman"/>
          <w:b/>
          <w:bCs/>
          <w:szCs w:val="32"/>
        </w:rPr>
      </w:pPr>
      <w:r>
        <w:rPr>
          <w:rFonts w:cs="Times New Roman"/>
          <w:b/>
          <w:bCs/>
          <w:szCs w:val="32"/>
        </w:rPr>
        <w:t>（1）指标解释</w:t>
      </w:r>
    </w:p>
    <w:p w14:paraId="1A7FB311">
      <w:pPr>
        <w:ind w:firstLine="640" w:firstLineChars="200"/>
        <w:rPr>
          <w:rFonts w:cs="Times New Roman"/>
          <w:szCs w:val="32"/>
        </w:rPr>
      </w:pPr>
      <w:r>
        <w:rPr>
          <w:rFonts w:cs="Times New Roman"/>
          <w:szCs w:val="32"/>
        </w:rPr>
        <w:t>指城市纳入医疗废物收运管理范围，并由持有医疗废物经营许可证单位进行处置的医疗卫生机构占比。该指标用于促进提高医疗废物收集处置能力。</w:t>
      </w:r>
    </w:p>
    <w:p w14:paraId="2C3318B8">
      <w:pPr>
        <w:ind w:firstLine="643" w:firstLineChars="200"/>
        <w:rPr>
          <w:rFonts w:cs="Times New Roman"/>
          <w:b/>
          <w:bCs/>
          <w:szCs w:val="32"/>
        </w:rPr>
      </w:pPr>
      <w:r>
        <w:rPr>
          <w:rFonts w:cs="Times New Roman"/>
          <w:b/>
          <w:bCs/>
          <w:szCs w:val="32"/>
        </w:rPr>
        <w:t>（2）计算方法</w:t>
      </w:r>
    </w:p>
    <w:p w14:paraId="629A7A69">
      <w:pPr>
        <w:ind w:firstLine="640" w:firstLineChars="200"/>
        <w:rPr>
          <w:rFonts w:cs="Times New Roman"/>
          <w:szCs w:val="32"/>
        </w:rPr>
      </w:pPr>
      <w:r>
        <w:rPr>
          <w:rFonts w:cs="Times New Roman"/>
          <w:szCs w:val="32"/>
        </w:rPr>
        <w:t>医疗废物收集处置体系覆盖率（%）</w:t>
      </w:r>
      <w:r>
        <w:rPr>
          <w:rFonts w:hint="eastAsia" w:cs="Times New Roman"/>
          <w:szCs w:val="32"/>
        </w:rPr>
        <w:t>＝</w:t>
      </w:r>
      <w:r>
        <w:rPr>
          <w:rFonts w:cs="Times New Roman"/>
          <w:szCs w:val="32"/>
        </w:rPr>
        <w:t>纳入医疗废物收集处置体系的医疗卫生机构数量</w:t>
      </w:r>
      <w:r>
        <w:rPr>
          <w:rFonts w:hint="eastAsia" w:cs="Times New Roman"/>
          <w:szCs w:val="32"/>
        </w:rPr>
        <w:t>÷</w:t>
      </w:r>
      <w:r>
        <w:rPr>
          <w:rFonts w:cs="Times New Roman"/>
          <w:szCs w:val="32"/>
        </w:rPr>
        <w:t>医疗卫生机构总数×100%。</w:t>
      </w:r>
    </w:p>
    <w:p w14:paraId="0CB231D8">
      <w:pPr>
        <w:ind w:firstLine="643" w:firstLineChars="200"/>
        <w:rPr>
          <w:rFonts w:cs="Times New Roman"/>
          <w:b/>
          <w:bCs/>
          <w:szCs w:val="32"/>
        </w:rPr>
      </w:pPr>
      <w:r>
        <w:rPr>
          <w:rFonts w:cs="Times New Roman"/>
          <w:b/>
          <w:bCs/>
          <w:szCs w:val="32"/>
        </w:rPr>
        <w:t>（3）现状值说明</w:t>
      </w:r>
    </w:p>
    <w:p w14:paraId="50F96EBD">
      <w:pPr>
        <w:ind w:firstLine="640" w:firstLineChars="200"/>
        <w:rPr>
          <w:rFonts w:cs="Times New Roman"/>
          <w:szCs w:val="32"/>
        </w:rPr>
      </w:pPr>
      <w:r>
        <w:rPr>
          <w:rFonts w:cs="Times New Roman"/>
          <w:szCs w:val="32"/>
        </w:rPr>
        <w:t>2021年，玄武区</w:t>
      </w:r>
      <w:bookmarkStart w:id="259" w:name="_Hlk120049802"/>
      <w:r>
        <w:rPr>
          <w:rFonts w:cs="Times New Roman"/>
          <w:szCs w:val="32"/>
        </w:rPr>
        <w:t>医疗废物收集处置体系覆盖率</w:t>
      </w:r>
      <w:bookmarkEnd w:id="259"/>
      <w:r>
        <w:rPr>
          <w:rFonts w:cs="Times New Roman"/>
          <w:szCs w:val="32"/>
        </w:rPr>
        <w:t>为100%。</w:t>
      </w:r>
    </w:p>
    <w:p w14:paraId="6A5F12DD">
      <w:pPr>
        <w:ind w:firstLine="643" w:firstLineChars="200"/>
        <w:rPr>
          <w:rFonts w:cs="Times New Roman"/>
          <w:b/>
          <w:bCs/>
          <w:szCs w:val="32"/>
        </w:rPr>
      </w:pPr>
      <w:r>
        <w:rPr>
          <w:rFonts w:cs="Times New Roman"/>
          <w:b/>
          <w:bCs/>
          <w:szCs w:val="32"/>
        </w:rPr>
        <w:t>（4）目标可达性分析</w:t>
      </w:r>
    </w:p>
    <w:p w14:paraId="757B56AE">
      <w:pPr>
        <w:ind w:firstLine="640" w:firstLineChars="200"/>
        <w:rPr>
          <w:rFonts w:cs="Times New Roman"/>
          <w:szCs w:val="32"/>
        </w:rPr>
      </w:pPr>
      <w:r>
        <w:rPr>
          <w:rFonts w:cs="Times New Roman"/>
          <w:szCs w:val="32"/>
        </w:rPr>
        <w:t>玄武区将建设覆盖全区的医疗废物收集转运体系，建设医疗废物</w:t>
      </w:r>
      <w:r>
        <w:rPr>
          <w:rFonts w:hint="eastAsia" w:cs="Times New Roman"/>
          <w:szCs w:val="32"/>
        </w:rPr>
        <w:t>“</w:t>
      </w:r>
      <w:r>
        <w:rPr>
          <w:rFonts w:cs="Times New Roman"/>
          <w:szCs w:val="32"/>
        </w:rPr>
        <w:t>平战结合</w:t>
      </w:r>
      <w:r>
        <w:rPr>
          <w:rFonts w:hint="eastAsia" w:cs="Times New Roman"/>
          <w:szCs w:val="32"/>
        </w:rPr>
        <w:t>”</w:t>
      </w:r>
      <w:r>
        <w:rPr>
          <w:rFonts w:cs="Times New Roman"/>
          <w:szCs w:val="32"/>
        </w:rPr>
        <w:t>收运处体系，确保医疗废物收集处置体系覆盖率保持在100%。</w:t>
      </w:r>
    </w:p>
    <w:p w14:paraId="714996A7">
      <w:pPr>
        <w:pStyle w:val="36"/>
        <w:numPr>
          <w:ilvl w:val="0"/>
          <w:numId w:val="34"/>
        </w:numPr>
        <w:ind w:left="0" w:firstLine="0" w:firstLineChars="0"/>
        <w:rPr>
          <w:rFonts w:cs="Times New Roman"/>
          <w:b/>
          <w:bCs/>
          <w:szCs w:val="32"/>
        </w:rPr>
      </w:pPr>
      <w:r>
        <w:rPr>
          <w:rFonts w:cs="Times New Roman"/>
          <w:b/>
          <w:bCs/>
          <w:szCs w:val="32"/>
        </w:rPr>
        <w:t>有害垃圾处置率</w:t>
      </w:r>
      <w:r>
        <w:rPr>
          <w:rFonts w:ascii="Segoe UI Symbol" w:hAnsi="Segoe UI Symbol" w:cs="Segoe UI Symbol"/>
          <w:b/>
          <w:bCs/>
          <w:szCs w:val="32"/>
        </w:rPr>
        <w:t>★</w:t>
      </w:r>
    </w:p>
    <w:p w14:paraId="02DB074C">
      <w:pPr>
        <w:ind w:firstLine="643" w:firstLineChars="200"/>
        <w:rPr>
          <w:rFonts w:cs="Times New Roman"/>
          <w:b/>
          <w:bCs/>
          <w:szCs w:val="32"/>
        </w:rPr>
      </w:pPr>
      <w:r>
        <w:rPr>
          <w:rFonts w:cs="Times New Roman"/>
          <w:b/>
          <w:bCs/>
          <w:szCs w:val="32"/>
        </w:rPr>
        <w:t>（1）指标解释</w:t>
      </w:r>
    </w:p>
    <w:p w14:paraId="737BA004">
      <w:pPr>
        <w:ind w:firstLine="640" w:firstLineChars="200"/>
        <w:rPr>
          <w:rFonts w:cs="Times New Roman"/>
          <w:szCs w:val="32"/>
        </w:rPr>
      </w:pPr>
      <w:r>
        <w:rPr>
          <w:rFonts w:cs="Times New Roman"/>
          <w:szCs w:val="32"/>
        </w:rPr>
        <w:t>指城市建成区内规范处置的有害垃圾数量占已收集有害垃圾总数的比率。该指标用于促进生活垃圾中有害垃圾的规范处置。有害垃圾指对人体健康或者自然环境造成直接或者潜在危害的生活废弃物。</w:t>
      </w:r>
    </w:p>
    <w:p w14:paraId="544F843F">
      <w:pPr>
        <w:ind w:firstLine="643" w:firstLineChars="200"/>
        <w:rPr>
          <w:rFonts w:cs="Times New Roman"/>
          <w:b/>
          <w:bCs/>
          <w:szCs w:val="32"/>
        </w:rPr>
      </w:pPr>
      <w:r>
        <w:rPr>
          <w:rFonts w:cs="Times New Roman"/>
          <w:b/>
          <w:bCs/>
          <w:szCs w:val="32"/>
        </w:rPr>
        <w:t>（2）计算方法</w:t>
      </w:r>
    </w:p>
    <w:p w14:paraId="3BA7745A">
      <w:pPr>
        <w:ind w:firstLine="640" w:firstLineChars="200"/>
        <w:rPr>
          <w:rFonts w:cs="Times New Roman"/>
          <w:szCs w:val="32"/>
        </w:rPr>
      </w:pPr>
      <w:r>
        <w:rPr>
          <w:rFonts w:cs="Times New Roman"/>
          <w:szCs w:val="32"/>
        </w:rPr>
        <w:t>有害垃圾处置率（%）</w:t>
      </w:r>
      <w:r>
        <w:rPr>
          <w:rFonts w:hint="eastAsia" w:cs="Times New Roman"/>
          <w:szCs w:val="32"/>
        </w:rPr>
        <w:t>＝</w:t>
      </w:r>
      <w:r>
        <w:rPr>
          <w:rFonts w:cs="Times New Roman"/>
          <w:szCs w:val="32"/>
        </w:rPr>
        <w:t>规范处置的有害垃圾数量</w:t>
      </w:r>
      <w:r>
        <w:rPr>
          <w:rFonts w:hint="eastAsia" w:cs="Times New Roman"/>
          <w:szCs w:val="32"/>
        </w:rPr>
        <w:t>÷</w:t>
      </w:r>
      <w:r>
        <w:rPr>
          <w:rFonts w:cs="Times New Roman"/>
          <w:szCs w:val="32"/>
        </w:rPr>
        <w:t>已收集有害垃圾数量×100%。</w:t>
      </w:r>
    </w:p>
    <w:p w14:paraId="4AB780A1">
      <w:pPr>
        <w:ind w:firstLine="643" w:firstLineChars="200"/>
        <w:rPr>
          <w:rFonts w:cs="Times New Roman"/>
          <w:b/>
          <w:bCs/>
          <w:szCs w:val="32"/>
        </w:rPr>
      </w:pPr>
      <w:r>
        <w:rPr>
          <w:rFonts w:cs="Times New Roman"/>
          <w:b/>
          <w:bCs/>
          <w:szCs w:val="32"/>
        </w:rPr>
        <w:t>（3）现状值说明</w:t>
      </w:r>
    </w:p>
    <w:p w14:paraId="1D45A77E">
      <w:pPr>
        <w:ind w:firstLine="640" w:firstLineChars="200"/>
        <w:rPr>
          <w:rFonts w:cs="Times New Roman"/>
          <w:szCs w:val="32"/>
        </w:rPr>
      </w:pPr>
      <w:r>
        <w:rPr>
          <w:rFonts w:cs="Times New Roman"/>
          <w:szCs w:val="32"/>
        </w:rPr>
        <w:t>2021年，玄武区有害垃圾收集量为2.24吨，处置率为100%。</w:t>
      </w:r>
    </w:p>
    <w:p w14:paraId="5499D679">
      <w:pPr>
        <w:ind w:firstLine="643" w:firstLineChars="200"/>
        <w:rPr>
          <w:rFonts w:cs="Times New Roman"/>
          <w:b/>
          <w:bCs/>
          <w:szCs w:val="32"/>
        </w:rPr>
      </w:pPr>
      <w:r>
        <w:rPr>
          <w:rFonts w:cs="Times New Roman"/>
          <w:b/>
          <w:bCs/>
          <w:szCs w:val="32"/>
        </w:rPr>
        <w:t>（4）目标可达性分析</w:t>
      </w:r>
    </w:p>
    <w:p w14:paraId="2728FA36">
      <w:pPr>
        <w:ind w:firstLine="640" w:firstLineChars="200"/>
        <w:rPr>
          <w:rFonts w:cs="Times New Roman"/>
          <w:szCs w:val="32"/>
        </w:rPr>
      </w:pPr>
      <w:r>
        <w:rPr>
          <w:rFonts w:cs="Times New Roman"/>
          <w:szCs w:val="32"/>
        </w:rPr>
        <w:t>玄武区将继续规范化处置有害垃圾，将有害垃圾</w:t>
      </w:r>
      <w:r>
        <w:rPr>
          <w:rFonts w:hint="eastAsia" w:cs="Times New Roman"/>
          <w:szCs w:val="32"/>
        </w:rPr>
        <w:t>运至</w:t>
      </w:r>
      <w:r>
        <w:rPr>
          <w:rFonts w:cs="Times New Roman"/>
          <w:szCs w:val="32"/>
        </w:rPr>
        <w:t>危废处置企业规范处置，确保有害垃圾处置率保持在100%。</w:t>
      </w:r>
    </w:p>
    <w:p w14:paraId="33F2C458">
      <w:pPr>
        <w:pStyle w:val="36"/>
        <w:numPr>
          <w:ilvl w:val="0"/>
          <w:numId w:val="34"/>
        </w:numPr>
        <w:ind w:left="0" w:firstLine="0" w:firstLineChars="0"/>
        <w:rPr>
          <w:rFonts w:cs="Times New Roman"/>
          <w:b/>
          <w:bCs/>
          <w:szCs w:val="32"/>
        </w:rPr>
      </w:pPr>
      <w:r>
        <w:rPr>
          <w:rFonts w:hint="eastAsia" w:cs="Times New Roman"/>
          <w:b/>
          <w:bCs/>
          <w:szCs w:val="32"/>
        </w:rPr>
        <w:t>“</w:t>
      </w:r>
      <w:r>
        <w:rPr>
          <w:rFonts w:cs="Times New Roman"/>
          <w:b/>
          <w:bCs/>
          <w:szCs w:val="32"/>
        </w:rPr>
        <w:t>无废城市</w:t>
      </w:r>
      <w:r>
        <w:rPr>
          <w:rFonts w:hint="eastAsia" w:cs="Times New Roman"/>
          <w:b/>
          <w:bCs/>
          <w:szCs w:val="32"/>
        </w:rPr>
        <w:t>”</w:t>
      </w:r>
      <w:r>
        <w:rPr>
          <w:rFonts w:cs="Times New Roman"/>
          <w:b/>
          <w:bCs/>
          <w:szCs w:val="32"/>
        </w:rPr>
        <w:t>建设地方性法规或政策性文件及有关规划制定</w:t>
      </w:r>
      <w:r>
        <w:rPr>
          <w:rFonts w:ascii="Segoe UI Symbol" w:hAnsi="Segoe UI Symbol" w:cs="Segoe UI Symbol"/>
          <w:b/>
          <w:bCs/>
          <w:szCs w:val="32"/>
        </w:rPr>
        <w:t>★</w:t>
      </w:r>
    </w:p>
    <w:p w14:paraId="76DABBEF">
      <w:pPr>
        <w:ind w:firstLine="643" w:firstLineChars="200"/>
        <w:rPr>
          <w:rFonts w:cs="Times New Roman"/>
          <w:b/>
          <w:bCs/>
          <w:szCs w:val="32"/>
        </w:rPr>
      </w:pPr>
      <w:r>
        <w:rPr>
          <w:rFonts w:cs="Times New Roman"/>
          <w:b/>
          <w:bCs/>
          <w:szCs w:val="32"/>
        </w:rPr>
        <w:t>（1）指标解释</w:t>
      </w:r>
    </w:p>
    <w:p w14:paraId="598C0D76">
      <w:pPr>
        <w:ind w:firstLine="640" w:firstLineChars="200"/>
        <w:rPr>
          <w:rFonts w:cs="Times New Roman"/>
          <w:szCs w:val="32"/>
        </w:rPr>
      </w:pPr>
      <w:r>
        <w:rPr>
          <w:rFonts w:cs="Times New Roman"/>
          <w:szCs w:val="32"/>
        </w:rPr>
        <w:t>指城市涉及固体废物减量化、资源化、无害化的地方性法规、政策性文件、有关规划出台情况。该指标用于促进各地制定</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建设相关的地方性法规或政策性文件，推进相关工作。</w:t>
      </w:r>
    </w:p>
    <w:p w14:paraId="53457E54">
      <w:pPr>
        <w:ind w:firstLine="643" w:firstLineChars="200"/>
        <w:rPr>
          <w:rFonts w:cs="Times New Roman"/>
          <w:b/>
          <w:bCs/>
          <w:szCs w:val="32"/>
        </w:rPr>
      </w:pPr>
      <w:r>
        <w:rPr>
          <w:rFonts w:cs="Times New Roman"/>
          <w:b/>
          <w:bCs/>
          <w:szCs w:val="32"/>
        </w:rPr>
        <w:t>（2）现状值说明</w:t>
      </w:r>
    </w:p>
    <w:p w14:paraId="03654D3B">
      <w:pPr>
        <w:ind w:firstLine="640" w:firstLineChars="200"/>
        <w:rPr>
          <w:rFonts w:cs="Times New Roman"/>
          <w:szCs w:val="32"/>
        </w:rPr>
      </w:pPr>
      <w:r>
        <w:rPr>
          <w:rFonts w:cs="Times New Roman"/>
          <w:szCs w:val="32"/>
        </w:rPr>
        <w:t>2021年，玄武区暂未进行</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建设地方性法规或政策性文件及有关规划制定。</w:t>
      </w:r>
    </w:p>
    <w:p w14:paraId="51942623">
      <w:pPr>
        <w:ind w:firstLine="643" w:firstLineChars="200"/>
        <w:rPr>
          <w:rFonts w:cs="Times New Roman"/>
          <w:b/>
          <w:bCs/>
          <w:szCs w:val="32"/>
        </w:rPr>
      </w:pPr>
      <w:r>
        <w:rPr>
          <w:rFonts w:cs="Times New Roman"/>
          <w:b/>
          <w:bCs/>
          <w:szCs w:val="32"/>
        </w:rPr>
        <w:t>（3）目标可达性分析</w:t>
      </w:r>
    </w:p>
    <w:p w14:paraId="4D6EB83C">
      <w:pPr>
        <w:ind w:firstLine="640" w:firstLineChars="200"/>
        <w:rPr>
          <w:rFonts w:cs="Times New Roman"/>
          <w:szCs w:val="32"/>
        </w:rPr>
      </w:pPr>
      <w:r>
        <w:rPr>
          <w:rFonts w:cs="Times New Roman"/>
          <w:szCs w:val="32"/>
        </w:rPr>
        <w:t>玄武区将认真执行和落实市局制定的相关文件及有关规定。</w:t>
      </w:r>
    </w:p>
    <w:p w14:paraId="58F2DD11">
      <w:pPr>
        <w:pStyle w:val="36"/>
        <w:numPr>
          <w:ilvl w:val="0"/>
          <w:numId w:val="34"/>
        </w:numPr>
        <w:ind w:left="0" w:firstLine="0" w:firstLineChars="0"/>
        <w:rPr>
          <w:rFonts w:cs="Times New Roman"/>
          <w:b/>
          <w:bCs/>
          <w:szCs w:val="32"/>
        </w:rPr>
      </w:pPr>
      <w:r>
        <w:rPr>
          <w:rFonts w:hint="eastAsia" w:cs="Times New Roman"/>
          <w:b/>
          <w:bCs/>
          <w:szCs w:val="32"/>
        </w:rPr>
        <w:t>“</w:t>
      </w:r>
      <w:r>
        <w:rPr>
          <w:rFonts w:cs="Times New Roman"/>
          <w:b/>
          <w:bCs/>
          <w:szCs w:val="32"/>
        </w:rPr>
        <w:t>无废城市</w:t>
      </w:r>
      <w:r>
        <w:rPr>
          <w:rFonts w:hint="eastAsia" w:cs="Times New Roman"/>
          <w:b/>
          <w:bCs/>
          <w:szCs w:val="32"/>
        </w:rPr>
        <w:t>”</w:t>
      </w:r>
      <w:r>
        <w:rPr>
          <w:rFonts w:cs="Times New Roman"/>
          <w:b/>
          <w:bCs/>
          <w:szCs w:val="32"/>
        </w:rPr>
        <w:t>建设协调机制</w:t>
      </w:r>
      <w:r>
        <w:rPr>
          <w:rFonts w:ascii="Segoe UI Symbol" w:hAnsi="Segoe UI Symbol" w:cs="Segoe UI Symbol"/>
          <w:b/>
          <w:bCs/>
          <w:szCs w:val="32"/>
        </w:rPr>
        <w:t>★</w:t>
      </w:r>
    </w:p>
    <w:p w14:paraId="08440884">
      <w:pPr>
        <w:ind w:firstLine="643" w:firstLineChars="200"/>
        <w:rPr>
          <w:rFonts w:cs="Times New Roman"/>
          <w:b/>
          <w:bCs/>
          <w:szCs w:val="32"/>
        </w:rPr>
      </w:pPr>
      <w:r>
        <w:rPr>
          <w:rFonts w:cs="Times New Roman"/>
          <w:b/>
          <w:bCs/>
          <w:szCs w:val="32"/>
        </w:rPr>
        <w:t>（1）指标解释</w:t>
      </w:r>
    </w:p>
    <w:p w14:paraId="119E50B7">
      <w:pPr>
        <w:ind w:firstLine="640" w:firstLineChars="200"/>
        <w:rPr>
          <w:rFonts w:cs="Times New Roman"/>
          <w:szCs w:val="32"/>
        </w:rPr>
      </w:pPr>
      <w:r>
        <w:rPr>
          <w:rFonts w:cs="Times New Roman"/>
          <w:szCs w:val="32"/>
        </w:rPr>
        <w:t>指区委区政府牵头组织成立、区委区政府主要领导同志负责，生态环境、发展改革、城市管理、建设、商务等相关部门共同参与的组织协调机制，以及工作专班、协作机制建设情况。该指标用于促进各地形成</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建设的有效工作机制。</w:t>
      </w:r>
    </w:p>
    <w:p w14:paraId="02871560">
      <w:pPr>
        <w:ind w:firstLine="643" w:firstLineChars="200"/>
        <w:rPr>
          <w:rFonts w:cs="Times New Roman"/>
          <w:b/>
          <w:bCs/>
          <w:szCs w:val="32"/>
        </w:rPr>
      </w:pPr>
      <w:r>
        <w:rPr>
          <w:rFonts w:cs="Times New Roman"/>
          <w:b/>
          <w:bCs/>
          <w:szCs w:val="32"/>
        </w:rPr>
        <w:t>（2）现状值说明</w:t>
      </w:r>
    </w:p>
    <w:p w14:paraId="2CA40771">
      <w:pPr>
        <w:ind w:firstLine="640" w:firstLineChars="200"/>
        <w:rPr>
          <w:rFonts w:cs="Times New Roman"/>
          <w:szCs w:val="32"/>
        </w:rPr>
      </w:pPr>
      <w:r>
        <w:rPr>
          <w:rFonts w:cs="Times New Roman"/>
          <w:szCs w:val="32"/>
        </w:rPr>
        <w:t>2021年，玄武区</w:t>
      </w:r>
      <w:bookmarkStart w:id="260" w:name="_Hlk120051268"/>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建设协调机制</w:t>
      </w:r>
      <w:bookmarkEnd w:id="260"/>
      <w:r>
        <w:rPr>
          <w:rFonts w:cs="Times New Roman"/>
          <w:szCs w:val="32"/>
        </w:rPr>
        <w:t>为待建立。</w:t>
      </w:r>
    </w:p>
    <w:p w14:paraId="100553DD">
      <w:pPr>
        <w:ind w:firstLine="643" w:firstLineChars="200"/>
        <w:rPr>
          <w:rFonts w:cs="Times New Roman"/>
          <w:b/>
          <w:bCs/>
          <w:szCs w:val="32"/>
        </w:rPr>
      </w:pPr>
      <w:r>
        <w:rPr>
          <w:rFonts w:cs="Times New Roman"/>
          <w:b/>
          <w:bCs/>
          <w:szCs w:val="32"/>
        </w:rPr>
        <w:t>（3）目标可达性分析</w:t>
      </w:r>
    </w:p>
    <w:p w14:paraId="72490F12">
      <w:pPr>
        <w:ind w:firstLine="640" w:firstLineChars="200"/>
        <w:rPr>
          <w:rFonts w:cs="Times New Roman"/>
          <w:szCs w:val="32"/>
        </w:rPr>
      </w:pPr>
      <w:r>
        <w:rPr>
          <w:rFonts w:cs="Times New Roman"/>
          <w:szCs w:val="32"/>
        </w:rPr>
        <w:t>玄武区将</w:t>
      </w:r>
      <w:r>
        <w:rPr>
          <w:rFonts w:cs="Times New Roman"/>
          <w:szCs w:val="28"/>
        </w:rPr>
        <w:t>以生态环境、发展改革、城市管理、城市建设四大主要业务部门为主体成员</w:t>
      </w:r>
      <w:r>
        <w:rPr>
          <w:rFonts w:cs="Times New Roman"/>
          <w:szCs w:val="32"/>
        </w:rPr>
        <w:t>，同时覆盖任务清单里其他责任主体部门，定期开展部门协同推进研讨会，探讨工作过程中的重点难点问题，高效有序推进建设工作落地落实，确保到2025年，建立</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建设协调机制。</w:t>
      </w:r>
    </w:p>
    <w:p w14:paraId="0E8AC2C6">
      <w:pPr>
        <w:pStyle w:val="36"/>
        <w:numPr>
          <w:ilvl w:val="0"/>
          <w:numId w:val="34"/>
        </w:numPr>
        <w:ind w:left="0" w:firstLine="0" w:firstLineChars="0"/>
        <w:rPr>
          <w:rFonts w:cs="Times New Roman"/>
          <w:b/>
          <w:bCs/>
          <w:szCs w:val="32"/>
        </w:rPr>
      </w:pPr>
      <w:r>
        <w:rPr>
          <w:rFonts w:hint="eastAsia" w:cs="Times New Roman"/>
          <w:b/>
          <w:bCs/>
          <w:szCs w:val="32"/>
        </w:rPr>
        <w:t>“</w:t>
      </w:r>
      <w:r>
        <w:rPr>
          <w:rFonts w:cs="Times New Roman"/>
          <w:b/>
          <w:bCs/>
          <w:szCs w:val="32"/>
        </w:rPr>
        <w:t>无废城市</w:t>
      </w:r>
      <w:r>
        <w:rPr>
          <w:rFonts w:hint="eastAsia" w:cs="Times New Roman"/>
          <w:b/>
          <w:bCs/>
          <w:szCs w:val="32"/>
        </w:rPr>
        <w:t>”</w:t>
      </w:r>
      <w:r>
        <w:rPr>
          <w:rFonts w:cs="Times New Roman"/>
          <w:b/>
          <w:bCs/>
          <w:szCs w:val="32"/>
        </w:rPr>
        <w:t>建设成效纳入政绩考核情况</w:t>
      </w:r>
      <w:r>
        <w:rPr>
          <w:rFonts w:ascii="Segoe UI Symbol" w:hAnsi="Segoe UI Symbol" w:cs="Segoe UI Symbol"/>
          <w:b/>
          <w:bCs/>
          <w:szCs w:val="32"/>
        </w:rPr>
        <w:t>☆</w:t>
      </w:r>
    </w:p>
    <w:p w14:paraId="53190219">
      <w:pPr>
        <w:ind w:firstLine="643" w:firstLineChars="200"/>
        <w:rPr>
          <w:rFonts w:cs="Times New Roman"/>
          <w:b/>
          <w:bCs/>
          <w:szCs w:val="32"/>
        </w:rPr>
      </w:pPr>
      <w:r>
        <w:rPr>
          <w:rFonts w:cs="Times New Roman"/>
          <w:b/>
          <w:bCs/>
          <w:szCs w:val="32"/>
        </w:rPr>
        <w:t>（1）指标解释</w:t>
      </w:r>
    </w:p>
    <w:p w14:paraId="6A6C8970">
      <w:pPr>
        <w:ind w:firstLine="640" w:firstLineChars="200"/>
        <w:rPr>
          <w:rFonts w:cs="Times New Roman"/>
          <w:szCs w:val="32"/>
        </w:rPr>
      </w:pPr>
      <w:r>
        <w:rPr>
          <w:rFonts w:cs="Times New Roman"/>
          <w:szCs w:val="32"/>
        </w:rPr>
        <w:t>指将</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建设重要指标及成效纳入城市各级政府及其组成部门政绩考核情况。该指标用于促进各地</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建设相关部门持续高效开展工作。</w:t>
      </w:r>
    </w:p>
    <w:p w14:paraId="2C810C15">
      <w:pPr>
        <w:ind w:firstLine="643" w:firstLineChars="200"/>
        <w:rPr>
          <w:rFonts w:cs="Times New Roman"/>
          <w:b/>
          <w:bCs/>
          <w:szCs w:val="32"/>
        </w:rPr>
      </w:pPr>
      <w:r>
        <w:rPr>
          <w:rFonts w:cs="Times New Roman"/>
          <w:b/>
          <w:bCs/>
          <w:szCs w:val="32"/>
        </w:rPr>
        <w:t>（2）现状值说明</w:t>
      </w:r>
    </w:p>
    <w:p w14:paraId="7A04A0DF">
      <w:pPr>
        <w:ind w:firstLine="640" w:firstLineChars="200"/>
        <w:rPr>
          <w:rFonts w:cs="Times New Roman"/>
          <w:szCs w:val="32"/>
        </w:rPr>
      </w:pPr>
      <w:r>
        <w:rPr>
          <w:rFonts w:cs="Times New Roman"/>
          <w:szCs w:val="32"/>
        </w:rPr>
        <w:t>2021年，玄武区</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建设成效纳入政绩考核情况为未纳入。</w:t>
      </w:r>
    </w:p>
    <w:p w14:paraId="13821875">
      <w:pPr>
        <w:ind w:firstLine="643" w:firstLineChars="200"/>
        <w:rPr>
          <w:rFonts w:cs="Times New Roman"/>
          <w:b/>
          <w:bCs/>
          <w:szCs w:val="32"/>
        </w:rPr>
      </w:pPr>
      <w:r>
        <w:rPr>
          <w:rFonts w:cs="Times New Roman"/>
          <w:b/>
          <w:bCs/>
          <w:szCs w:val="32"/>
        </w:rPr>
        <w:t>（3）目标可达性分析</w:t>
      </w:r>
    </w:p>
    <w:p w14:paraId="435FE12E">
      <w:pPr>
        <w:ind w:firstLine="640" w:firstLineChars="200"/>
        <w:rPr>
          <w:rFonts w:cs="Times New Roman"/>
          <w:szCs w:val="32"/>
        </w:rPr>
      </w:pPr>
      <w:r>
        <w:rPr>
          <w:rFonts w:cs="Times New Roman"/>
          <w:szCs w:val="32"/>
        </w:rPr>
        <w:t>玄武区将建立</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建设工作调度督办制度和建设成效定期评估机制，</w:t>
      </w:r>
      <w:r>
        <w:rPr>
          <w:rFonts w:hint="eastAsia" w:cs="Times New Roman"/>
          <w:szCs w:val="32"/>
        </w:rPr>
        <w:t>并</w:t>
      </w:r>
      <w:r>
        <w:rPr>
          <w:rFonts w:cs="Times New Roman"/>
          <w:szCs w:val="32"/>
        </w:rPr>
        <w:t>将其纳入深入打好污染防治攻坚战考核，建设工作小组定期调度和评估工作成效，及时发现、解决问题，推动各项任务</w:t>
      </w:r>
      <w:r>
        <w:rPr>
          <w:rFonts w:hint="eastAsia" w:cs="Times New Roman"/>
          <w:szCs w:val="32"/>
        </w:rPr>
        <w:t>按时序进度</w:t>
      </w:r>
      <w:r>
        <w:rPr>
          <w:rFonts w:cs="Times New Roman"/>
          <w:szCs w:val="32"/>
        </w:rPr>
        <w:t>高质量完成。</w:t>
      </w:r>
    </w:p>
    <w:p w14:paraId="1AD1BEC9">
      <w:pPr>
        <w:pStyle w:val="36"/>
        <w:numPr>
          <w:ilvl w:val="0"/>
          <w:numId w:val="34"/>
        </w:numPr>
        <w:ind w:left="0" w:firstLine="0" w:firstLineChars="0"/>
        <w:rPr>
          <w:rFonts w:cs="Times New Roman"/>
          <w:b/>
          <w:bCs/>
          <w:szCs w:val="32"/>
        </w:rPr>
      </w:pPr>
      <w:r>
        <w:rPr>
          <w:rFonts w:cs="Times New Roman"/>
          <w:b/>
          <w:bCs/>
          <w:szCs w:val="32"/>
        </w:rPr>
        <w:t>开展</w:t>
      </w:r>
      <w:r>
        <w:rPr>
          <w:rFonts w:hint="eastAsia" w:cs="Times New Roman"/>
          <w:b/>
          <w:bCs/>
          <w:szCs w:val="32"/>
        </w:rPr>
        <w:t>“</w:t>
      </w:r>
      <w:r>
        <w:rPr>
          <w:rFonts w:cs="Times New Roman"/>
          <w:b/>
          <w:bCs/>
          <w:szCs w:val="32"/>
        </w:rPr>
        <w:t>无废城市细胞</w:t>
      </w:r>
      <w:r>
        <w:rPr>
          <w:rFonts w:hint="eastAsia" w:cs="Times New Roman"/>
          <w:b/>
          <w:bCs/>
          <w:szCs w:val="32"/>
        </w:rPr>
        <w:t>”</w:t>
      </w:r>
      <w:r>
        <w:rPr>
          <w:rFonts w:cs="Times New Roman"/>
          <w:b/>
          <w:bCs/>
          <w:szCs w:val="32"/>
        </w:rPr>
        <w:t>建设的单位数量（机关、企事业单位、饭店、商场、集贸市场、社区）</w:t>
      </w:r>
      <w:r>
        <w:rPr>
          <w:rFonts w:ascii="Segoe UI Symbol" w:hAnsi="Segoe UI Symbol" w:cs="Segoe UI Symbol"/>
          <w:b/>
          <w:bCs/>
          <w:szCs w:val="32"/>
        </w:rPr>
        <w:t>☆</w:t>
      </w:r>
    </w:p>
    <w:p w14:paraId="5257FB11">
      <w:pPr>
        <w:ind w:firstLine="643" w:firstLineChars="200"/>
        <w:rPr>
          <w:rFonts w:cs="Times New Roman"/>
          <w:b/>
          <w:bCs/>
          <w:szCs w:val="32"/>
        </w:rPr>
      </w:pPr>
      <w:r>
        <w:rPr>
          <w:rFonts w:cs="Times New Roman"/>
          <w:b/>
          <w:bCs/>
          <w:szCs w:val="32"/>
        </w:rPr>
        <w:t>（1）指标解释</w:t>
      </w:r>
    </w:p>
    <w:p w14:paraId="1BD4207F">
      <w:pPr>
        <w:ind w:firstLine="640" w:firstLineChars="200"/>
        <w:rPr>
          <w:rFonts w:cs="Times New Roman"/>
          <w:szCs w:val="32"/>
        </w:rPr>
      </w:pPr>
      <w:r>
        <w:rPr>
          <w:rFonts w:cs="Times New Roman"/>
          <w:szCs w:val="32"/>
        </w:rPr>
        <w:t>指按照</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建设要求开展固体废物源头减量和资源化利用工作的机关、企事业单位、饭店、商场、集贸市场、社区等单位数量（含开展绿色工厂、绿色矿山、绿色园区、绿色商场等绿色创建工作的单位）。各地因地制宜编制</w:t>
      </w:r>
      <w:r>
        <w:rPr>
          <w:rFonts w:hint="eastAsia" w:cs="Times New Roman"/>
          <w:szCs w:val="32"/>
        </w:rPr>
        <w:t>“</w:t>
      </w:r>
      <w:r>
        <w:rPr>
          <w:rFonts w:cs="Times New Roman"/>
          <w:szCs w:val="32"/>
        </w:rPr>
        <w:t>无废城市细胞</w:t>
      </w:r>
      <w:r>
        <w:rPr>
          <w:rFonts w:hint="eastAsia" w:cs="Times New Roman"/>
          <w:szCs w:val="32"/>
        </w:rPr>
        <w:t>”</w:t>
      </w:r>
      <w:r>
        <w:rPr>
          <w:rFonts w:cs="Times New Roman"/>
          <w:szCs w:val="32"/>
        </w:rPr>
        <w:t>行为守则、倡议、标准等，并推动实施。该指标用于促进</w:t>
      </w:r>
      <w:r>
        <w:rPr>
          <w:rFonts w:hint="eastAsia" w:cs="Times New Roman"/>
          <w:szCs w:val="32"/>
        </w:rPr>
        <w:t>“</w:t>
      </w:r>
      <w:r>
        <w:rPr>
          <w:rFonts w:cs="Times New Roman"/>
          <w:szCs w:val="32"/>
        </w:rPr>
        <w:t>无废城市细胞</w:t>
      </w:r>
      <w:r>
        <w:rPr>
          <w:rFonts w:hint="eastAsia" w:cs="Times New Roman"/>
          <w:szCs w:val="32"/>
        </w:rPr>
        <w:t>”</w:t>
      </w:r>
      <w:r>
        <w:rPr>
          <w:rFonts w:cs="Times New Roman"/>
          <w:szCs w:val="32"/>
        </w:rPr>
        <w:t>推广建设，推动实现绿色生活和绿色生产方式。</w:t>
      </w:r>
    </w:p>
    <w:p w14:paraId="65EA2A9D">
      <w:pPr>
        <w:ind w:firstLine="643" w:firstLineChars="200"/>
        <w:rPr>
          <w:rFonts w:cs="Times New Roman"/>
          <w:b/>
          <w:bCs/>
          <w:szCs w:val="32"/>
        </w:rPr>
      </w:pPr>
      <w:r>
        <w:rPr>
          <w:rFonts w:cs="Times New Roman"/>
          <w:b/>
          <w:bCs/>
          <w:szCs w:val="32"/>
        </w:rPr>
        <w:t>（2）现状值说明</w:t>
      </w:r>
    </w:p>
    <w:p w14:paraId="3198986A">
      <w:pPr>
        <w:ind w:firstLine="640" w:firstLineChars="200"/>
        <w:rPr>
          <w:rFonts w:cs="Times New Roman"/>
          <w:szCs w:val="32"/>
        </w:rPr>
      </w:pPr>
      <w:r>
        <w:rPr>
          <w:rFonts w:cs="Times New Roman"/>
          <w:szCs w:val="32"/>
        </w:rPr>
        <w:t>2021年，玄武区开展</w:t>
      </w:r>
      <w:r>
        <w:rPr>
          <w:rFonts w:hint="eastAsia" w:cs="Times New Roman"/>
          <w:szCs w:val="32"/>
        </w:rPr>
        <w:t>“</w:t>
      </w:r>
      <w:r>
        <w:rPr>
          <w:rFonts w:cs="Times New Roman"/>
          <w:szCs w:val="32"/>
        </w:rPr>
        <w:t>无废城市细胞</w:t>
      </w:r>
      <w:r>
        <w:rPr>
          <w:rFonts w:hint="eastAsia" w:cs="Times New Roman"/>
          <w:szCs w:val="32"/>
        </w:rPr>
        <w:t>”</w:t>
      </w:r>
      <w:r>
        <w:rPr>
          <w:rFonts w:cs="Times New Roman"/>
          <w:szCs w:val="32"/>
        </w:rPr>
        <w:t>建设的单位数量（机关、企事业单位、饭店、商场、集贸市场、社区为0，暂未开展相关工作。</w:t>
      </w:r>
    </w:p>
    <w:p w14:paraId="0101AC28">
      <w:pPr>
        <w:ind w:firstLine="643" w:firstLineChars="200"/>
        <w:rPr>
          <w:rFonts w:cs="Times New Roman"/>
          <w:b/>
          <w:bCs/>
          <w:szCs w:val="32"/>
        </w:rPr>
      </w:pPr>
      <w:r>
        <w:rPr>
          <w:rFonts w:cs="Times New Roman"/>
          <w:b/>
          <w:bCs/>
          <w:szCs w:val="32"/>
        </w:rPr>
        <w:t>（3）目标可达性分析</w:t>
      </w:r>
    </w:p>
    <w:p w14:paraId="6B135747">
      <w:pPr>
        <w:ind w:firstLine="640" w:firstLineChars="200"/>
        <w:rPr>
          <w:rFonts w:cs="Times New Roman"/>
          <w:szCs w:val="32"/>
        </w:rPr>
      </w:pPr>
      <w:r>
        <w:rPr>
          <w:rFonts w:cs="Times New Roman"/>
          <w:szCs w:val="32"/>
        </w:rPr>
        <w:t>玄武区将以节约型机关、绿色采购、绿色饭店、绿色学校、绿色商场、绿色快递网点（分拨中心</w:t>
      </w:r>
      <w:r>
        <w:rPr>
          <w:rFonts w:hint="eastAsia" w:cs="Times New Roman"/>
          <w:szCs w:val="32"/>
        </w:rPr>
        <w:t>）、“</w:t>
      </w:r>
      <w:r>
        <w:rPr>
          <w:rFonts w:cs="Times New Roman"/>
          <w:szCs w:val="32"/>
        </w:rPr>
        <w:t>无废</w:t>
      </w:r>
      <w:r>
        <w:rPr>
          <w:rFonts w:hint="eastAsia" w:cs="Times New Roman"/>
          <w:szCs w:val="32"/>
        </w:rPr>
        <w:t>”</w:t>
      </w:r>
      <w:r>
        <w:rPr>
          <w:rFonts w:cs="Times New Roman"/>
          <w:szCs w:val="32"/>
        </w:rPr>
        <w:t>景区等为抓手，大力倡导</w:t>
      </w:r>
      <w:r>
        <w:rPr>
          <w:rFonts w:hint="eastAsia" w:cs="Times New Roman"/>
          <w:szCs w:val="32"/>
        </w:rPr>
        <w:t>“</w:t>
      </w:r>
      <w:r>
        <w:rPr>
          <w:rFonts w:cs="Times New Roman"/>
          <w:szCs w:val="32"/>
        </w:rPr>
        <w:t>无废</w:t>
      </w:r>
      <w:r>
        <w:rPr>
          <w:rFonts w:hint="eastAsia" w:cs="Times New Roman"/>
          <w:szCs w:val="32"/>
        </w:rPr>
        <w:t>”</w:t>
      </w:r>
      <w:r>
        <w:rPr>
          <w:rFonts w:cs="Times New Roman"/>
          <w:szCs w:val="32"/>
        </w:rPr>
        <w:t>理念，印发</w:t>
      </w:r>
      <w:r>
        <w:rPr>
          <w:rFonts w:hint="eastAsia" w:cs="Times New Roman"/>
          <w:szCs w:val="32"/>
        </w:rPr>
        <w:t>《“</w:t>
      </w:r>
      <w:r>
        <w:rPr>
          <w:rFonts w:cs="Times New Roman"/>
          <w:szCs w:val="32"/>
        </w:rPr>
        <w:t>无废细胞</w:t>
      </w:r>
      <w:r>
        <w:rPr>
          <w:rFonts w:hint="eastAsia" w:cs="Times New Roman"/>
          <w:szCs w:val="32"/>
        </w:rPr>
        <w:t>”</w:t>
      </w:r>
      <w:r>
        <w:rPr>
          <w:rFonts w:cs="Times New Roman"/>
          <w:szCs w:val="32"/>
        </w:rPr>
        <w:t>创建行动计划》，配套</w:t>
      </w:r>
      <w:r>
        <w:rPr>
          <w:rFonts w:hint="eastAsia" w:cs="Times New Roman"/>
          <w:szCs w:val="32"/>
        </w:rPr>
        <w:t>“</w:t>
      </w:r>
      <w:r>
        <w:rPr>
          <w:rFonts w:cs="Times New Roman"/>
          <w:szCs w:val="32"/>
        </w:rPr>
        <w:t>无废细胞</w:t>
      </w:r>
      <w:r>
        <w:rPr>
          <w:rFonts w:hint="eastAsia" w:cs="Times New Roman"/>
          <w:szCs w:val="32"/>
        </w:rPr>
        <w:t>”</w:t>
      </w:r>
      <w:r>
        <w:rPr>
          <w:rFonts w:cs="Times New Roman"/>
          <w:szCs w:val="32"/>
        </w:rPr>
        <w:t>建设标准、鼓励办法等内容，确保到2025年，创建各类</w:t>
      </w:r>
      <w:r>
        <w:rPr>
          <w:rFonts w:hint="eastAsia" w:cs="Times New Roman"/>
          <w:szCs w:val="32"/>
        </w:rPr>
        <w:t>“</w:t>
      </w:r>
      <w:r>
        <w:rPr>
          <w:rFonts w:cs="Times New Roman"/>
          <w:szCs w:val="32"/>
        </w:rPr>
        <w:t>无废细胞</w:t>
      </w:r>
      <w:r>
        <w:rPr>
          <w:rFonts w:hint="eastAsia" w:cs="Times New Roman"/>
          <w:szCs w:val="32"/>
        </w:rPr>
        <w:t>”</w:t>
      </w:r>
      <w:r>
        <w:rPr>
          <w:rFonts w:cs="Times New Roman"/>
          <w:szCs w:val="32"/>
        </w:rPr>
        <w:t>不少于70个。</w:t>
      </w:r>
    </w:p>
    <w:p w14:paraId="640B55B6">
      <w:pPr>
        <w:pStyle w:val="36"/>
        <w:numPr>
          <w:ilvl w:val="0"/>
          <w:numId w:val="34"/>
        </w:numPr>
        <w:ind w:left="0" w:firstLine="0" w:firstLineChars="0"/>
        <w:rPr>
          <w:rFonts w:cs="Times New Roman"/>
          <w:b/>
          <w:bCs/>
          <w:szCs w:val="32"/>
        </w:rPr>
      </w:pPr>
      <w:r>
        <w:rPr>
          <w:rFonts w:hint="eastAsia" w:cs="Times New Roman"/>
          <w:b/>
          <w:bCs/>
          <w:szCs w:val="32"/>
        </w:rPr>
        <w:t>“</w:t>
      </w:r>
      <w:r>
        <w:rPr>
          <w:rFonts w:cs="Times New Roman"/>
          <w:b/>
          <w:bCs/>
          <w:szCs w:val="32"/>
        </w:rPr>
        <w:t>无废城市</w:t>
      </w:r>
      <w:r>
        <w:rPr>
          <w:rFonts w:hint="eastAsia" w:cs="Times New Roman"/>
          <w:b/>
          <w:bCs/>
          <w:szCs w:val="32"/>
        </w:rPr>
        <w:t>”</w:t>
      </w:r>
      <w:r>
        <w:rPr>
          <w:rFonts w:cs="Times New Roman"/>
          <w:b/>
          <w:bCs/>
          <w:szCs w:val="32"/>
        </w:rPr>
        <w:t>建设项目投资总额</w:t>
      </w:r>
      <w:r>
        <w:rPr>
          <w:rFonts w:ascii="Segoe UI Symbol" w:hAnsi="Segoe UI Symbol" w:cs="Segoe UI Symbol"/>
          <w:b/>
          <w:bCs/>
          <w:szCs w:val="32"/>
        </w:rPr>
        <w:t>★</w:t>
      </w:r>
    </w:p>
    <w:p w14:paraId="5D7B84B4">
      <w:pPr>
        <w:ind w:firstLine="643" w:firstLineChars="200"/>
        <w:rPr>
          <w:rFonts w:cs="Times New Roman"/>
          <w:b/>
          <w:bCs/>
          <w:szCs w:val="32"/>
        </w:rPr>
      </w:pPr>
      <w:r>
        <w:rPr>
          <w:rFonts w:cs="Times New Roman"/>
          <w:b/>
          <w:bCs/>
          <w:szCs w:val="32"/>
        </w:rPr>
        <w:t>（1）指标解释</w:t>
      </w:r>
    </w:p>
    <w:p w14:paraId="0C2A965C">
      <w:pPr>
        <w:ind w:firstLine="640" w:firstLineChars="200"/>
        <w:rPr>
          <w:rFonts w:cs="Times New Roman"/>
          <w:szCs w:val="32"/>
        </w:rPr>
      </w:pPr>
      <w:r>
        <w:rPr>
          <w:rFonts w:cs="Times New Roman"/>
          <w:szCs w:val="32"/>
        </w:rPr>
        <w:t>指</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相关项目资金投入总额。项目资金渠道来源包括中央和地方各级财政资金（含基本建设投资资金和相关专项资金）、地方政府部门自筹资金（指地方政府部门的各种预算外资金以及通过社会筹集的资金）、企业自筹资金、其他资金。该指标用于促进政府有关部门、金融机构、企业加大对</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建设相关项目的投资。</w:t>
      </w:r>
    </w:p>
    <w:p w14:paraId="78B7873B">
      <w:pPr>
        <w:ind w:firstLine="643" w:firstLineChars="200"/>
        <w:rPr>
          <w:rFonts w:cs="Times New Roman"/>
          <w:b/>
          <w:bCs/>
          <w:szCs w:val="32"/>
        </w:rPr>
      </w:pPr>
      <w:r>
        <w:rPr>
          <w:rFonts w:cs="Times New Roman"/>
          <w:b/>
          <w:bCs/>
          <w:szCs w:val="32"/>
        </w:rPr>
        <w:t>（2）现状值说明</w:t>
      </w:r>
    </w:p>
    <w:p w14:paraId="3B8EC033">
      <w:pPr>
        <w:ind w:firstLine="640" w:firstLineChars="200"/>
        <w:rPr>
          <w:rFonts w:cs="Times New Roman"/>
          <w:szCs w:val="32"/>
        </w:rPr>
      </w:pPr>
      <w:r>
        <w:rPr>
          <w:rFonts w:cs="Times New Roman"/>
          <w:szCs w:val="32"/>
        </w:rPr>
        <w:t>2021年，玄武区</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建设项目投资总额为0.8亿元。</w:t>
      </w:r>
    </w:p>
    <w:p w14:paraId="07F38CFB">
      <w:pPr>
        <w:ind w:firstLine="643" w:firstLineChars="200"/>
        <w:rPr>
          <w:rFonts w:cs="Times New Roman"/>
          <w:b/>
          <w:bCs/>
          <w:szCs w:val="32"/>
        </w:rPr>
      </w:pPr>
      <w:r>
        <w:rPr>
          <w:rFonts w:cs="Times New Roman"/>
          <w:b/>
          <w:bCs/>
          <w:szCs w:val="32"/>
        </w:rPr>
        <w:t>（3）目标可达性分析</w:t>
      </w:r>
    </w:p>
    <w:p w14:paraId="0E2103DB">
      <w:pPr>
        <w:ind w:firstLine="640" w:firstLineChars="200"/>
        <w:rPr>
          <w:rFonts w:cs="Times New Roman"/>
          <w:b/>
          <w:bCs/>
          <w:szCs w:val="32"/>
        </w:rPr>
      </w:pPr>
      <w:r>
        <w:rPr>
          <w:rFonts w:cs="Times New Roman"/>
          <w:szCs w:val="32"/>
        </w:rPr>
        <w:t>玄武区将支持绿色企业、绿色项目申请</w:t>
      </w:r>
      <w:r>
        <w:rPr>
          <w:rFonts w:hint="eastAsia" w:cs="Times New Roman"/>
          <w:szCs w:val="32"/>
        </w:rPr>
        <w:t>“</w:t>
      </w:r>
      <w:r>
        <w:rPr>
          <w:rFonts w:cs="Times New Roman"/>
          <w:szCs w:val="32"/>
        </w:rPr>
        <w:t>环保贷</w:t>
      </w:r>
      <w:r>
        <w:rPr>
          <w:rFonts w:hint="eastAsia" w:cs="Times New Roman"/>
          <w:szCs w:val="32"/>
        </w:rPr>
        <w:t>”，</w:t>
      </w:r>
      <w:r>
        <w:rPr>
          <w:rFonts w:cs="Times New Roman"/>
          <w:szCs w:val="32"/>
        </w:rPr>
        <w:t>依法依规探索采用政府和社会资本合作（PPP）、生态环境导向的开发模式（EOD）、基础设施领域不动产投资信托基金（REITs）等模式，落实一定的优惠扶持政策，并支持和培育一批资源与环境、固体废弃物利用处置与污染治理等方面的骨干企业，到2025年</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建设项目投资总额达到1亿元（可根据实际情况动态变化）。</w:t>
      </w:r>
    </w:p>
    <w:p w14:paraId="16F050FC">
      <w:pPr>
        <w:pStyle w:val="36"/>
        <w:numPr>
          <w:ilvl w:val="0"/>
          <w:numId w:val="34"/>
        </w:numPr>
        <w:ind w:left="0" w:firstLine="0" w:firstLineChars="0"/>
        <w:rPr>
          <w:rFonts w:cs="Times New Roman"/>
          <w:b/>
          <w:bCs/>
          <w:szCs w:val="32"/>
        </w:rPr>
      </w:pPr>
      <w:r>
        <w:rPr>
          <w:rFonts w:cs="Times New Roman"/>
          <w:b/>
          <w:bCs/>
          <w:szCs w:val="32"/>
        </w:rPr>
        <w:t>纳入企业环境信用评价范围的固体废物相关企业数量占比</w:t>
      </w:r>
      <w:r>
        <w:rPr>
          <w:rFonts w:ascii="Segoe UI Symbol" w:hAnsi="Segoe UI Symbol" w:cs="Segoe UI Symbol"/>
          <w:b/>
          <w:bCs/>
          <w:szCs w:val="32"/>
        </w:rPr>
        <w:t>☆</w:t>
      </w:r>
    </w:p>
    <w:p w14:paraId="5222A8F1">
      <w:pPr>
        <w:ind w:firstLine="643" w:firstLineChars="200"/>
        <w:rPr>
          <w:rFonts w:cs="Times New Roman"/>
          <w:b/>
          <w:bCs/>
          <w:szCs w:val="32"/>
        </w:rPr>
      </w:pPr>
      <w:r>
        <w:rPr>
          <w:rFonts w:cs="Times New Roman"/>
          <w:b/>
          <w:bCs/>
          <w:szCs w:val="32"/>
        </w:rPr>
        <w:t>（1）指标解释</w:t>
      </w:r>
    </w:p>
    <w:p w14:paraId="39E4C44B">
      <w:pPr>
        <w:ind w:firstLine="640" w:firstLineChars="200"/>
        <w:rPr>
          <w:rFonts w:cs="Times New Roman"/>
          <w:szCs w:val="32"/>
        </w:rPr>
      </w:pPr>
      <w:r>
        <w:rPr>
          <w:rFonts w:cs="Times New Roman"/>
          <w:szCs w:val="32"/>
        </w:rPr>
        <w:t>指城市纳入环境信用评价的固体废物相关企业占全部固体废物相关企业的比例。固体废物相关企业指固体废物产生企业，以及从事固体废物回收、利用、处置等经营活动的各类企业。该指标用于促进固体废物相关企业开展企业环境信用评价。</w:t>
      </w:r>
    </w:p>
    <w:p w14:paraId="1CEBB545">
      <w:pPr>
        <w:ind w:firstLine="643" w:firstLineChars="200"/>
        <w:rPr>
          <w:rFonts w:cs="Times New Roman"/>
          <w:b/>
          <w:bCs/>
          <w:szCs w:val="32"/>
        </w:rPr>
      </w:pPr>
      <w:r>
        <w:rPr>
          <w:rFonts w:cs="Times New Roman"/>
          <w:b/>
          <w:bCs/>
          <w:szCs w:val="32"/>
        </w:rPr>
        <w:t>（2）计算方法</w:t>
      </w:r>
    </w:p>
    <w:p w14:paraId="75E9D484">
      <w:pPr>
        <w:ind w:firstLine="640" w:firstLineChars="200"/>
        <w:rPr>
          <w:rFonts w:cs="Times New Roman"/>
          <w:szCs w:val="32"/>
        </w:rPr>
      </w:pPr>
      <w:r>
        <w:rPr>
          <w:rFonts w:cs="Times New Roman"/>
          <w:szCs w:val="32"/>
        </w:rPr>
        <w:t>纳入企业环境信用评价范围的固体废物相关企业数量占比（%）</w:t>
      </w:r>
      <w:r>
        <w:rPr>
          <w:rFonts w:hint="eastAsia" w:cs="Times New Roman"/>
          <w:szCs w:val="32"/>
        </w:rPr>
        <w:t>＝</w:t>
      </w:r>
      <w:r>
        <w:rPr>
          <w:rFonts w:cs="Times New Roman"/>
          <w:szCs w:val="32"/>
        </w:rPr>
        <w:t>纳入环境信用评价的固体废物相关企业数量</w:t>
      </w:r>
      <w:r>
        <w:rPr>
          <w:rFonts w:hint="eastAsia" w:cs="Times New Roman"/>
          <w:szCs w:val="32"/>
        </w:rPr>
        <w:t>÷</w:t>
      </w:r>
      <w:r>
        <w:rPr>
          <w:rFonts w:cs="Times New Roman"/>
          <w:szCs w:val="32"/>
        </w:rPr>
        <w:t>全部固体废物相关企业数量×100%。</w:t>
      </w:r>
    </w:p>
    <w:p w14:paraId="77D22DDD">
      <w:pPr>
        <w:ind w:firstLine="643" w:firstLineChars="200"/>
        <w:rPr>
          <w:rFonts w:cs="Times New Roman"/>
          <w:b/>
          <w:bCs/>
          <w:szCs w:val="32"/>
        </w:rPr>
      </w:pPr>
      <w:r>
        <w:rPr>
          <w:rFonts w:cs="Times New Roman"/>
          <w:b/>
          <w:bCs/>
          <w:szCs w:val="32"/>
        </w:rPr>
        <w:t>（3）现状值说明</w:t>
      </w:r>
    </w:p>
    <w:p w14:paraId="6D63CDF2">
      <w:pPr>
        <w:ind w:firstLine="640" w:firstLineChars="200"/>
        <w:rPr>
          <w:rFonts w:cs="Times New Roman"/>
          <w:szCs w:val="32"/>
        </w:rPr>
      </w:pPr>
      <w:r>
        <w:rPr>
          <w:rFonts w:cs="Times New Roman"/>
          <w:szCs w:val="32"/>
        </w:rPr>
        <w:t>2021年，玄武区纳入企业环境信用评价范围的固体废物相关企业数量占比为60%。</w:t>
      </w:r>
    </w:p>
    <w:p w14:paraId="715B016A">
      <w:pPr>
        <w:ind w:firstLine="643" w:firstLineChars="200"/>
        <w:rPr>
          <w:rFonts w:cs="Times New Roman"/>
          <w:b/>
          <w:bCs/>
          <w:szCs w:val="32"/>
        </w:rPr>
      </w:pPr>
      <w:r>
        <w:rPr>
          <w:rFonts w:cs="Times New Roman"/>
          <w:b/>
          <w:bCs/>
          <w:szCs w:val="32"/>
        </w:rPr>
        <w:t>（4）目标可达性分析</w:t>
      </w:r>
    </w:p>
    <w:p w14:paraId="60FD1592">
      <w:pPr>
        <w:ind w:firstLine="640" w:firstLineChars="200"/>
        <w:rPr>
          <w:rFonts w:cs="Times New Roman"/>
          <w:szCs w:val="32"/>
        </w:rPr>
      </w:pPr>
      <w:r>
        <w:rPr>
          <w:rFonts w:cs="Times New Roman"/>
          <w:szCs w:val="32"/>
        </w:rPr>
        <w:t>玄武区将健全环境信用管理体系，推动环境信用分级分类监管；扩大企业环境信用评价范围，持续开展企业环保信用评价工作，定期发布企业环保信用等级评定结果，激励企业主动开展各类废物减量和处理处置工作。依法依规开展守信激励和失信惩戒工作，确保到2025年，纳入企业环境信用评价范围的固体废物相关企业数量占比达到80%。</w:t>
      </w:r>
    </w:p>
    <w:p w14:paraId="6C30EAD6">
      <w:pPr>
        <w:pStyle w:val="36"/>
        <w:numPr>
          <w:ilvl w:val="0"/>
          <w:numId w:val="34"/>
        </w:numPr>
        <w:ind w:left="0" w:firstLine="0" w:firstLineChars="0"/>
        <w:rPr>
          <w:rFonts w:cs="Times New Roman"/>
          <w:b/>
          <w:bCs/>
          <w:szCs w:val="32"/>
        </w:rPr>
      </w:pPr>
      <w:r>
        <w:rPr>
          <w:rFonts w:cs="Times New Roman"/>
          <w:b/>
          <w:bCs/>
          <w:szCs w:val="32"/>
        </w:rPr>
        <w:t>固体废物管理信息化监管情况</w:t>
      </w:r>
      <w:r>
        <w:rPr>
          <w:rFonts w:ascii="Segoe UI Symbol" w:hAnsi="Segoe UI Symbol" w:cs="Segoe UI Symbol"/>
          <w:b/>
          <w:bCs/>
          <w:szCs w:val="32"/>
        </w:rPr>
        <w:t>★</w:t>
      </w:r>
    </w:p>
    <w:p w14:paraId="6577631A">
      <w:pPr>
        <w:ind w:firstLine="643" w:firstLineChars="200"/>
        <w:rPr>
          <w:rFonts w:cs="Times New Roman"/>
          <w:b/>
          <w:bCs/>
          <w:szCs w:val="32"/>
        </w:rPr>
      </w:pPr>
      <w:r>
        <w:rPr>
          <w:rFonts w:cs="Times New Roman"/>
          <w:b/>
          <w:bCs/>
          <w:szCs w:val="32"/>
        </w:rPr>
        <w:t>（1）指标解释</w:t>
      </w:r>
    </w:p>
    <w:p w14:paraId="75EB852B">
      <w:pPr>
        <w:ind w:firstLine="640" w:firstLineChars="200"/>
        <w:rPr>
          <w:rFonts w:cs="Times New Roman"/>
          <w:szCs w:val="32"/>
        </w:rPr>
      </w:pPr>
      <w:r>
        <w:rPr>
          <w:rFonts w:cs="Times New Roman"/>
          <w:szCs w:val="32"/>
        </w:rPr>
        <w:t>指落实新修订《固体废物污染环境防治法》关于信息化建设的相关要求，城市建成覆盖危险废物、生活垃圾、建筑垃圾管理数据的信息化监管服务系统，通过打通生态环境、城市建设、城市管理、卫生健康等各部门相关数据，实现全过程信息化追溯相关情况。该指标用于促进城市加强固体废物管理信息系统建设，打通多部门间固体废物管理信息壁垒。</w:t>
      </w:r>
    </w:p>
    <w:p w14:paraId="7E47C4CD">
      <w:pPr>
        <w:ind w:firstLine="643" w:firstLineChars="200"/>
        <w:rPr>
          <w:rFonts w:cs="Times New Roman"/>
          <w:b/>
          <w:bCs/>
          <w:szCs w:val="32"/>
        </w:rPr>
      </w:pPr>
      <w:r>
        <w:rPr>
          <w:rFonts w:cs="Times New Roman"/>
          <w:b/>
          <w:bCs/>
          <w:szCs w:val="32"/>
        </w:rPr>
        <w:t>（2）现状值说明</w:t>
      </w:r>
    </w:p>
    <w:p w14:paraId="15526739">
      <w:pPr>
        <w:ind w:firstLine="640" w:firstLineChars="200"/>
        <w:rPr>
          <w:rFonts w:cs="Times New Roman"/>
          <w:szCs w:val="32"/>
        </w:rPr>
      </w:pPr>
      <w:r>
        <w:rPr>
          <w:rFonts w:cs="Times New Roman"/>
          <w:szCs w:val="32"/>
        </w:rPr>
        <w:t>2021年，玄武区固体废物管理信息化监管情况为部分建成。</w:t>
      </w:r>
    </w:p>
    <w:p w14:paraId="573A6BE9">
      <w:pPr>
        <w:ind w:firstLine="643" w:firstLineChars="200"/>
        <w:rPr>
          <w:rFonts w:cs="Times New Roman"/>
          <w:b/>
          <w:bCs/>
          <w:szCs w:val="32"/>
        </w:rPr>
      </w:pPr>
      <w:r>
        <w:rPr>
          <w:rFonts w:cs="Times New Roman"/>
          <w:b/>
          <w:bCs/>
          <w:szCs w:val="32"/>
        </w:rPr>
        <w:t>（3）目标可达性分析</w:t>
      </w:r>
    </w:p>
    <w:p w14:paraId="09D5CB8C">
      <w:pPr>
        <w:ind w:firstLine="640" w:firstLineChars="200"/>
        <w:rPr>
          <w:rFonts w:cs="Times New Roman"/>
          <w:szCs w:val="32"/>
        </w:rPr>
      </w:pPr>
      <w:r>
        <w:rPr>
          <w:rFonts w:cs="Times New Roman"/>
          <w:szCs w:val="32"/>
        </w:rPr>
        <w:t>玄武区将配合南京市完善生活垃圾分类信息平台、建筑垃圾资源化利用信息平台、危险废物全生命周期监控系统、医疗废物集中处置中心信息化平台、一般工业固废信息化系统等已有平台功能。</w:t>
      </w:r>
    </w:p>
    <w:p w14:paraId="34008B07">
      <w:pPr>
        <w:pStyle w:val="36"/>
        <w:numPr>
          <w:ilvl w:val="0"/>
          <w:numId w:val="34"/>
        </w:numPr>
        <w:ind w:left="0" w:firstLine="0" w:firstLineChars="0"/>
        <w:rPr>
          <w:rFonts w:cs="Times New Roman"/>
          <w:b/>
          <w:bCs/>
          <w:szCs w:val="32"/>
        </w:rPr>
      </w:pPr>
      <w:r>
        <w:rPr>
          <w:rFonts w:cs="Times New Roman"/>
          <w:b/>
          <w:bCs/>
          <w:szCs w:val="32"/>
        </w:rPr>
        <w:t>固体废物环境污染刑事案件立案率</w:t>
      </w:r>
      <w:r>
        <w:rPr>
          <w:rFonts w:ascii="Segoe UI Symbol" w:hAnsi="Segoe UI Symbol" w:cs="Segoe UI Symbol"/>
          <w:b/>
          <w:bCs/>
          <w:szCs w:val="32"/>
        </w:rPr>
        <w:t>★</w:t>
      </w:r>
    </w:p>
    <w:p w14:paraId="359E3172">
      <w:pPr>
        <w:ind w:firstLine="643" w:firstLineChars="200"/>
        <w:rPr>
          <w:rFonts w:cs="Times New Roman"/>
          <w:b/>
          <w:bCs/>
          <w:szCs w:val="32"/>
        </w:rPr>
      </w:pPr>
      <w:r>
        <w:rPr>
          <w:rFonts w:cs="Times New Roman"/>
          <w:b/>
          <w:bCs/>
          <w:szCs w:val="32"/>
        </w:rPr>
        <w:t>（1）指标解释</w:t>
      </w:r>
    </w:p>
    <w:p w14:paraId="25114421">
      <w:pPr>
        <w:ind w:firstLine="640" w:firstLineChars="200"/>
        <w:rPr>
          <w:rFonts w:cs="Times New Roman"/>
          <w:szCs w:val="32"/>
        </w:rPr>
      </w:pPr>
      <w:r>
        <w:rPr>
          <w:rFonts w:cs="Times New Roman"/>
          <w:szCs w:val="32"/>
        </w:rPr>
        <w:t>指城市全区域范围内固体废物环境污染刑事案件立案数量占所有固体废物环境污染刑事案件线索数量的比例。该指标反映对固体废物环境污染违法行为的打击力度和工作成效，用于促进加大监管执法力度，震慑和防范固体废物相关违法违规行为。</w:t>
      </w:r>
    </w:p>
    <w:p w14:paraId="7E4C8C3E">
      <w:pPr>
        <w:ind w:firstLine="643" w:firstLineChars="200"/>
        <w:rPr>
          <w:rFonts w:cs="Times New Roman"/>
          <w:b/>
          <w:bCs/>
          <w:szCs w:val="32"/>
        </w:rPr>
      </w:pPr>
      <w:r>
        <w:rPr>
          <w:rFonts w:cs="Times New Roman"/>
          <w:b/>
          <w:bCs/>
          <w:szCs w:val="32"/>
        </w:rPr>
        <w:t>（2）计算方法</w:t>
      </w:r>
    </w:p>
    <w:p w14:paraId="60F3CF24">
      <w:pPr>
        <w:ind w:firstLine="640" w:firstLineChars="200"/>
        <w:rPr>
          <w:rFonts w:cs="Times New Roman"/>
          <w:szCs w:val="32"/>
        </w:rPr>
      </w:pPr>
      <w:r>
        <w:rPr>
          <w:rFonts w:cs="Times New Roman"/>
          <w:szCs w:val="32"/>
        </w:rPr>
        <w:t>固体废物环境污染刑事案件立案率（%）</w:t>
      </w:r>
      <w:r>
        <w:rPr>
          <w:rFonts w:hint="eastAsia" w:cs="Times New Roman"/>
          <w:szCs w:val="32"/>
        </w:rPr>
        <w:t>＝</w:t>
      </w:r>
      <w:r>
        <w:rPr>
          <w:rFonts w:cs="Times New Roman"/>
          <w:szCs w:val="32"/>
        </w:rPr>
        <w:t>城市全区域范围内固体废物环境污染刑事案件立案数量</w:t>
      </w:r>
      <w:r>
        <w:rPr>
          <w:rFonts w:hint="eastAsia" w:cs="Times New Roman"/>
          <w:szCs w:val="32"/>
        </w:rPr>
        <w:t>÷</w:t>
      </w:r>
      <w:r>
        <w:rPr>
          <w:rFonts w:cs="Times New Roman"/>
          <w:szCs w:val="32"/>
        </w:rPr>
        <w:t>城市全区域范围内所有固体废物环境污染刑事案件线索数量×100%。</w:t>
      </w:r>
    </w:p>
    <w:p w14:paraId="22CF18DA">
      <w:pPr>
        <w:ind w:firstLine="643" w:firstLineChars="200"/>
        <w:rPr>
          <w:rFonts w:cs="Times New Roman"/>
          <w:b/>
          <w:bCs/>
          <w:szCs w:val="32"/>
        </w:rPr>
      </w:pPr>
      <w:r>
        <w:rPr>
          <w:rFonts w:cs="Times New Roman"/>
          <w:b/>
          <w:bCs/>
          <w:szCs w:val="32"/>
        </w:rPr>
        <w:t>（3）现状值说明</w:t>
      </w:r>
    </w:p>
    <w:p w14:paraId="26D556BA">
      <w:pPr>
        <w:ind w:firstLine="640" w:firstLineChars="200"/>
        <w:rPr>
          <w:rFonts w:cs="Times New Roman"/>
          <w:szCs w:val="32"/>
        </w:rPr>
      </w:pPr>
      <w:r>
        <w:rPr>
          <w:rFonts w:cs="Times New Roman"/>
          <w:szCs w:val="32"/>
        </w:rPr>
        <w:t>2021年，玄武区固体废物环境污染刑事案件立案率暂未进行相关统计摸底工作。</w:t>
      </w:r>
    </w:p>
    <w:p w14:paraId="4A445A92">
      <w:pPr>
        <w:ind w:firstLine="643" w:firstLineChars="200"/>
        <w:rPr>
          <w:rFonts w:cs="Times New Roman"/>
          <w:b/>
          <w:bCs/>
          <w:szCs w:val="32"/>
        </w:rPr>
      </w:pPr>
      <w:r>
        <w:rPr>
          <w:rFonts w:cs="Times New Roman"/>
          <w:b/>
          <w:bCs/>
          <w:szCs w:val="32"/>
        </w:rPr>
        <w:t>（4）目标可达性分析</w:t>
      </w:r>
    </w:p>
    <w:p w14:paraId="67C94536">
      <w:pPr>
        <w:ind w:firstLine="640" w:firstLineChars="200"/>
        <w:rPr>
          <w:rFonts w:cs="Times New Roman"/>
          <w:szCs w:val="32"/>
        </w:rPr>
      </w:pPr>
      <w:r>
        <w:rPr>
          <w:rFonts w:cs="Times New Roman"/>
          <w:szCs w:val="32"/>
        </w:rPr>
        <w:t>玄武区将严厉打击固体废物环境污染违法行为，保证固体废物环境污染刑事案件立案率为100%。</w:t>
      </w:r>
    </w:p>
    <w:p w14:paraId="16826D59">
      <w:pPr>
        <w:pStyle w:val="36"/>
        <w:numPr>
          <w:ilvl w:val="0"/>
          <w:numId w:val="34"/>
        </w:numPr>
        <w:ind w:left="0" w:firstLine="0" w:firstLineChars="0"/>
        <w:rPr>
          <w:rFonts w:cs="Times New Roman"/>
          <w:b/>
          <w:bCs/>
          <w:szCs w:val="32"/>
        </w:rPr>
      </w:pPr>
      <w:r>
        <w:rPr>
          <w:rFonts w:cs="Times New Roman"/>
          <w:b/>
          <w:bCs/>
          <w:szCs w:val="32"/>
        </w:rPr>
        <w:t>危险废物规范化管理抽查合格率</w:t>
      </w:r>
      <w:r>
        <w:rPr>
          <w:rFonts w:ascii="Segoe UI Symbol" w:hAnsi="Segoe UI Symbol" w:cs="Segoe UI Symbol"/>
          <w:b/>
          <w:bCs/>
          <w:szCs w:val="32"/>
        </w:rPr>
        <w:t>☆</w:t>
      </w:r>
    </w:p>
    <w:p w14:paraId="18391EFC">
      <w:pPr>
        <w:ind w:firstLine="643" w:firstLineChars="200"/>
        <w:rPr>
          <w:rFonts w:cs="Times New Roman"/>
          <w:b/>
          <w:bCs/>
          <w:szCs w:val="32"/>
        </w:rPr>
      </w:pPr>
      <w:r>
        <w:rPr>
          <w:rFonts w:cs="Times New Roman"/>
          <w:b/>
          <w:bCs/>
          <w:szCs w:val="32"/>
        </w:rPr>
        <w:t>（1）指标解释</w:t>
      </w:r>
    </w:p>
    <w:p w14:paraId="445FC15C">
      <w:pPr>
        <w:ind w:firstLine="640" w:firstLineChars="200"/>
        <w:rPr>
          <w:rFonts w:cs="Times New Roman"/>
          <w:szCs w:val="32"/>
        </w:rPr>
      </w:pPr>
      <w:r>
        <w:rPr>
          <w:rFonts w:cs="Times New Roman"/>
          <w:szCs w:val="32"/>
        </w:rPr>
        <w:t>指按照</w:t>
      </w:r>
      <w:r>
        <w:rPr>
          <w:rFonts w:hint="eastAsia" w:cs="Times New Roman"/>
          <w:szCs w:val="32"/>
        </w:rPr>
        <w:t>《“</w:t>
      </w:r>
      <w:r>
        <w:rPr>
          <w:rFonts w:cs="Times New Roman"/>
          <w:szCs w:val="32"/>
        </w:rPr>
        <w:t>十四五</w:t>
      </w:r>
      <w:r>
        <w:rPr>
          <w:rFonts w:hint="eastAsia" w:cs="Times New Roman"/>
          <w:szCs w:val="32"/>
        </w:rPr>
        <w:t>”</w:t>
      </w:r>
      <w:r>
        <w:rPr>
          <w:rFonts w:cs="Times New Roman"/>
          <w:szCs w:val="32"/>
        </w:rPr>
        <w:t>江苏省危险废物规范化环境管理评估工作方案》，对全区域范围内的危险废物产生单位和经营单位进行规范化管理抽查考核评估得到的合格率。该指标用于促进危险废物规范化管理。</w:t>
      </w:r>
    </w:p>
    <w:p w14:paraId="10FE073D">
      <w:pPr>
        <w:ind w:firstLine="643" w:firstLineChars="200"/>
        <w:rPr>
          <w:rFonts w:cs="Times New Roman"/>
          <w:b/>
          <w:bCs/>
          <w:szCs w:val="32"/>
        </w:rPr>
      </w:pPr>
      <w:r>
        <w:rPr>
          <w:rFonts w:cs="Times New Roman"/>
          <w:b/>
          <w:bCs/>
          <w:szCs w:val="32"/>
        </w:rPr>
        <w:t>（2）现状值说明</w:t>
      </w:r>
    </w:p>
    <w:p w14:paraId="196D88E9">
      <w:pPr>
        <w:ind w:firstLine="640" w:firstLineChars="200"/>
        <w:rPr>
          <w:rFonts w:cs="Times New Roman"/>
          <w:szCs w:val="32"/>
        </w:rPr>
      </w:pPr>
      <w:r>
        <w:rPr>
          <w:rFonts w:cs="Times New Roman"/>
          <w:szCs w:val="32"/>
        </w:rPr>
        <w:t>2021年，玄武区危险废物规范化管理抽查合格率为90%。</w:t>
      </w:r>
    </w:p>
    <w:p w14:paraId="08998C48">
      <w:pPr>
        <w:ind w:firstLine="643" w:firstLineChars="200"/>
        <w:rPr>
          <w:rFonts w:cs="Times New Roman"/>
          <w:b/>
          <w:bCs/>
          <w:szCs w:val="32"/>
        </w:rPr>
      </w:pPr>
      <w:r>
        <w:rPr>
          <w:rFonts w:cs="Times New Roman"/>
          <w:b/>
          <w:bCs/>
          <w:szCs w:val="32"/>
        </w:rPr>
        <w:t>（3）目标可达性分析</w:t>
      </w:r>
    </w:p>
    <w:p w14:paraId="52AEAD80">
      <w:pPr>
        <w:ind w:firstLine="640" w:firstLineChars="200"/>
        <w:rPr>
          <w:rFonts w:cs="Times New Roman"/>
          <w:szCs w:val="32"/>
        </w:rPr>
      </w:pPr>
      <w:r>
        <w:rPr>
          <w:rFonts w:cs="Times New Roman"/>
          <w:szCs w:val="32"/>
        </w:rPr>
        <w:t>玄武区将持续开展危险废物等安全专项整治行动、开展危险废物规范化管理评估，确保到2025年，危险废物规范化管理抽查合格率提升到95%。</w:t>
      </w:r>
    </w:p>
    <w:p w14:paraId="320821D1">
      <w:pPr>
        <w:pStyle w:val="36"/>
        <w:numPr>
          <w:ilvl w:val="0"/>
          <w:numId w:val="34"/>
        </w:numPr>
        <w:ind w:left="0" w:firstLine="0" w:firstLineChars="0"/>
        <w:rPr>
          <w:rFonts w:cs="Times New Roman"/>
          <w:b/>
          <w:bCs/>
          <w:szCs w:val="32"/>
        </w:rPr>
      </w:pPr>
      <w:r>
        <w:rPr>
          <w:rFonts w:cs="Times New Roman"/>
          <w:b/>
          <w:bCs/>
          <w:szCs w:val="32"/>
        </w:rPr>
        <w:t>涉固体废物信访、投诉、举报案件办结率</w:t>
      </w:r>
      <w:r>
        <w:rPr>
          <w:rFonts w:ascii="Segoe UI Symbol" w:hAnsi="Segoe UI Symbol" w:cs="Segoe UI Symbol"/>
          <w:b/>
          <w:bCs/>
          <w:szCs w:val="32"/>
        </w:rPr>
        <w:t>☆</w:t>
      </w:r>
    </w:p>
    <w:p w14:paraId="332BE7A5">
      <w:pPr>
        <w:ind w:firstLine="643" w:firstLineChars="200"/>
        <w:rPr>
          <w:rFonts w:cs="Times New Roman"/>
          <w:b/>
          <w:bCs/>
          <w:szCs w:val="32"/>
        </w:rPr>
      </w:pPr>
      <w:r>
        <w:rPr>
          <w:rFonts w:cs="Times New Roman"/>
          <w:b/>
          <w:bCs/>
          <w:szCs w:val="32"/>
        </w:rPr>
        <w:t>（1）指标解释</w:t>
      </w:r>
    </w:p>
    <w:p w14:paraId="212F2740">
      <w:pPr>
        <w:ind w:firstLine="640" w:firstLineChars="200"/>
        <w:rPr>
          <w:rFonts w:cs="Times New Roman"/>
          <w:szCs w:val="32"/>
        </w:rPr>
      </w:pPr>
      <w:r>
        <w:rPr>
          <w:rFonts w:cs="Times New Roman"/>
          <w:szCs w:val="32"/>
        </w:rPr>
        <w:t>指城市涉固体废物信访、投诉、举报案件中，经及时调查处理、回复的案件占比。该指标用于促进相关部门做好固体废物信访、投诉、举报案件的应对和处理。</w:t>
      </w:r>
    </w:p>
    <w:p w14:paraId="3EA5C9AD">
      <w:pPr>
        <w:ind w:firstLine="643" w:firstLineChars="200"/>
        <w:rPr>
          <w:rFonts w:cs="Times New Roman"/>
          <w:b/>
          <w:bCs/>
          <w:szCs w:val="32"/>
        </w:rPr>
      </w:pPr>
      <w:r>
        <w:rPr>
          <w:rFonts w:cs="Times New Roman"/>
          <w:b/>
          <w:bCs/>
          <w:szCs w:val="32"/>
        </w:rPr>
        <w:t>（2）现状值说明</w:t>
      </w:r>
    </w:p>
    <w:p w14:paraId="684B72D1">
      <w:pPr>
        <w:ind w:firstLine="640" w:firstLineChars="200"/>
        <w:rPr>
          <w:rFonts w:cs="Times New Roman"/>
          <w:szCs w:val="32"/>
        </w:rPr>
      </w:pPr>
      <w:r>
        <w:rPr>
          <w:rFonts w:cs="Times New Roman"/>
          <w:szCs w:val="32"/>
        </w:rPr>
        <w:t>2021年，玄武区涉固体废物信访、投诉、举报案件办结率为100%。</w:t>
      </w:r>
    </w:p>
    <w:p w14:paraId="40A3DBEC">
      <w:pPr>
        <w:ind w:firstLine="643" w:firstLineChars="200"/>
        <w:rPr>
          <w:rFonts w:cs="Times New Roman"/>
          <w:b/>
          <w:bCs/>
          <w:szCs w:val="32"/>
        </w:rPr>
      </w:pPr>
      <w:r>
        <w:rPr>
          <w:rFonts w:cs="Times New Roman"/>
          <w:b/>
          <w:bCs/>
          <w:szCs w:val="32"/>
        </w:rPr>
        <w:t>（3）目标可达性分析</w:t>
      </w:r>
    </w:p>
    <w:p w14:paraId="3DC7125B">
      <w:pPr>
        <w:ind w:firstLine="640" w:firstLineChars="200"/>
        <w:rPr>
          <w:rFonts w:cs="Times New Roman"/>
          <w:szCs w:val="32"/>
        </w:rPr>
      </w:pPr>
      <w:r>
        <w:rPr>
          <w:rFonts w:cs="Times New Roman"/>
          <w:szCs w:val="32"/>
        </w:rPr>
        <w:t>玄武区将持续做好固体废物信访、投诉、举报案件的应对和处理，保证涉固体废物信访、投诉、举报案件办结率为100%。</w:t>
      </w:r>
    </w:p>
    <w:p w14:paraId="32031285">
      <w:pPr>
        <w:pStyle w:val="36"/>
        <w:numPr>
          <w:ilvl w:val="0"/>
          <w:numId w:val="34"/>
        </w:numPr>
        <w:ind w:left="0" w:firstLine="0" w:firstLineChars="0"/>
        <w:rPr>
          <w:rFonts w:cs="Times New Roman"/>
          <w:b/>
          <w:bCs/>
          <w:szCs w:val="32"/>
        </w:rPr>
      </w:pPr>
      <w:r>
        <w:rPr>
          <w:rFonts w:cs="Times New Roman"/>
          <w:b/>
          <w:bCs/>
          <w:szCs w:val="32"/>
        </w:rPr>
        <w:t>固体废物环境污染案件开展生态环境损害赔偿工作的覆盖率</w:t>
      </w:r>
      <w:r>
        <w:rPr>
          <w:rFonts w:ascii="Segoe UI Symbol" w:hAnsi="Segoe UI Symbol" w:cs="Segoe UI Symbol"/>
          <w:b/>
          <w:bCs/>
          <w:szCs w:val="32"/>
        </w:rPr>
        <w:t>☆</w:t>
      </w:r>
    </w:p>
    <w:p w14:paraId="373715C5">
      <w:pPr>
        <w:ind w:firstLine="643" w:firstLineChars="200"/>
        <w:rPr>
          <w:rFonts w:cs="Times New Roman"/>
          <w:b/>
          <w:bCs/>
          <w:szCs w:val="32"/>
        </w:rPr>
      </w:pPr>
      <w:r>
        <w:rPr>
          <w:rFonts w:cs="Times New Roman"/>
          <w:b/>
          <w:bCs/>
          <w:szCs w:val="32"/>
        </w:rPr>
        <w:t>（1）指标解释</w:t>
      </w:r>
    </w:p>
    <w:p w14:paraId="320C330A">
      <w:pPr>
        <w:ind w:firstLine="640" w:firstLineChars="200"/>
        <w:rPr>
          <w:rFonts w:cs="Times New Roman"/>
          <w:szCs w:val="32"/>
        </w:rPr>
      </w:pPr>
      <w:r>
        <w:rPr>
          <w:rFonts w:cs="Times New Roman"/>
          <w:szCs w:val="32"/>
        </w:rPr>
        <w:t>指对城市辖区内年度发生的符合生态环境损害赔偿条件的固体废物环境污染案件开展生态环境损害赔偿工作。该指标用于严厉打击固体废物环境违法行为，全面推进实施生态环境损害赔偿制度。</w:t>
      </w:r>
    </w:p>
    <w:p w14:paraId="3BF0A8EA">
      <w:pPr>
        <w:ind w:firstLine="643" w:firstLineChars="200"/>
        <w:rPr>
          <w:rFonts w:cs="Times New Roman"/>
          <w:b/>
          <w:bCs/>
          <w:szCs w:val="32"/>
        </w:rPr>
      </w:pPr>
      <w:r>
        <w:rPr>
          <w:rFonts w:cs="Times New Roman"/>
          <w:b/>
          <w:bCs/>
          <w:szCs w:val="32"/>
        </w:rPr>
        <w:t>（2）现状值说明</w:t>
      </w:r>
    </w:p>
    <w:p w14:paraId="1F74699F">
      <w:pPr>
        <w:ind w:firstLine="640" w:firstLineChars="200"/>
        <w:rPr>
          <w:rFonts w:cs="Times New Roman"/>
          <w:szCs w:val="32"/>
        </w:rPr>
      </w:pPr>
      <w:r>
        <w:rPr>
          <w:rFonts w:cs="Times New Roman"/>
          <w:szCs w:val="32"/>
        </w:rPr>
        <w:t>2021年，玄武区严厉打击固体废物环境违法行为，积极推进实施生态环境损害赔偿制度。</w:t>
      </w:r>
    </w:p>
    <w:p w14:paraId="5BB1B5C9">
      <w:pPr>
        <w:ind w:firstLine="643" w:firstLineChars="200"/>
        <w:rPr>
          <w:rFonts w:cs="Times New Roman"/>
          <w:b/>
          <w:bCs/>
          <w:szCs w:val="32"/>
        </w:rPr>
      </w:pPr>
      <w:r>
        <w:rPr>
          <w:rFonts w:cs="Times New Roman"/>
          <w:b/>
          <w:bCs/>
          <w:szCs w:val="32"/>
        </w:rPr>
        <w:t>（3）目标可达性分析</w:t>
      </w:r>
    </w:p>
    <w:p w14:paraId="679D47E0">
      <w:pPr>
        <w:ind w:firstLine="640" w:firstLineChars="200"/>
        <w:rPr>
          <w:rFonts w:cs="Times New Roman"/>
          <w:szCs w:val="32"/>
        </w:rPr>
      </w:pPr>
      <w:r>
        <w:rPr>
          <w:rFonts w:cs="Times New Roman"/>
          <w:szCs w:val="32"/>
        </w:rPr>
        <w:t>玄武区将严厉打击固体废物环境违法行为，全面推进实施生态环境损害赔偿制度，确保固体废物环境污染案件开展生态环境损害赔偿工作的覆盖率达到100%。</w:t>
      </w:r>
    </w:p>
    <w:p w14:paraId="32B44D78">
      <w:pPr>
        <w:pStyle w:val="36"/>
        <w:numPr>
          <w:ilvl w:val="0"/>
          <w:numId w:val="34"/>
        </w:numPr>
        <w:ind w:left="0" w:firstLine="0" w:firstLineChars="0"/>
        <w:rPr>
          <w:rFonts w:cs="Times New Roman"/>
          <w:b/>
          <w:bCs/>
          <w:szCs w:val="32"/>
        </w:rPr>
      </w:pPr>
      <w:r>
        <w:rPr>
          <w:rFonts w:cs="Times New Roman"/>
          <w:b/>
          <w:bCs/>
          <w:szCs w:val="32"/>
        </w:rPr>
        <w:t>公众对</w:t>
      </w:r>
      <w:r>
        <w:rPr>
          <w:rFonts w:hint="eastAsia" w:cs="Times New Roman"/>
          <w:b/>
          <w:bCs/>
          <w:szCs w:val="32"/>
        </w:rPr>
        <w:t>“</w:t>
      </w:r>
      <w:r>
        <w:rPr>
          <w:rFonts w:cs="Times New Roman"/>
          <w:b/>
          <w:bCs/>
          <w:szCs w:val="32"/>
        </w:rPr>
        <w:t>无废城市</w:t>
      </w:r>
      <w:r>
        <w:rPr>
          <w:rFonts w:hint="eastAsia" w:cs="Times New Roman"/>
          <w:b/>
          <w:bCs/>
          <w:szCs w:val="32"/>
        </w:rPr>
        <w:t>”</w:t>
      </w:r>
      <w:r>
        <w:rPr>
          <w:rFonts w:cs="Times New Roman"/>
          <w:b/>
          <w:bCs/>
          <w:szCs w:val="32"/>
        </w:rPr>
        <w:t>建设成效的满意程度</w:t>
      </w:r>
      <w:r>
        <w:rPr>
          <w:rFonts w:ascii="Segoe UI Symbol" w:hAnsi="Segoe UI Symbol" w:cs="Segoe UI Symbol"/>
          <w:b/>
          <w:bCs/>
          <w:szCs w:val="32"/>
        </w:rPr>
        <w:t>★</w:t>
      </w:r>
    </w:p>
    <w:p w14:paraId="504F90A8">
      <w:pPr>
        <w:ind w:firstLine="643" w:firstLineChars="200"/>
        <w:rPr>
          <w:rFonts w:cs="Times New Roman"/>
          <w:b/>
          <w:bCs/>
          <w:szCs w:val="32"/>
        </w:rPr>
      </w:pPr>
      <w:r>
        <w:rPr>
          <w:rFonts w:cs="Times New Roman"/>
          <w:b/>
          <w:bCs/>
          <w:szCs w:val="32"/>
        </w:rPr>
        <w:t>（1）指标解释</w:t>
      </w:r>
    </w:p>
    <w:p w14:paraId="6135B849">
      <w:pPr>
        <w:ind w:firstLine="640" w:firstLineChars="200"/>
        <w:rPr>
          <w:rFonts w:cs="Times New Roman"/>
          <w:szCs w:val="32"/>
        </w:rPr>
      </w:pPr>
      <w:r>
        <w:rPr>
          <w:rFonts w:cs="Times New Roman"/>
          <w:szCs w:val="32"/>
        </w:rPr>
        <w:t>反映公众对所在城市工业固体废物、生活垃圾、建筑垃圾等固体废物管理现状的满意程度。该指标用于促进各地加大工作力度，提升公众对</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建设成效的满意程度。</w:t>
      </w:r>
    </w:p>
    <w:p w14:paraId="04D2EB72">
      <w:pPr>
        <w:ind w:firstLine="643" w:firstLineChars="200"/>
        <w:rPr>
          <w:rFonts w:cs="Times New Roman"/>
          <w:b/>
          <w:bCs/>
          <w:szCs w:val="32"/>
        </w:rPr>
      </w:pPr>
      <w:r>
        <w:rPr>
          <w:rFonts w:cs="Times New Roman"/>
          <w:b/>
          <w:bCs/>
          <w:szCs w:val="32"/>
        </w:rPr>
        <w:t>（2）现状值说明</w:t>
      </w:r>
    </w:p>
    <w:p w14:paraId="6E928CEC">
      <w:pPr>
        <w:ind w:firstLine="640" w:firstLineChars="200"/>
        <w:rPr>
          <w:rFonts w:cs="Times New Roman"/>
          <w:szCs w:val="32"/>
        </w:rPr>
      </w:pPr>
      <w:r>
        <w:rPr>
          <w:rFonts w:cs="Times New Roman"/>
          <w:szCs w:val="32"/>
        </w:rPr>
        <w:t>玄武区</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建设尚处于起步阶段，暂未对其进行公众满意度调查。</w:t>
      </w:r>
    </w:p>
    <w:p w14:paraId="1890C641">
      <w:pPr>
        <w:ind w:firstLine="643" w:firstLineChars="200"/>
        <w:rPr>
          <w:rFonts w:cs="Times New Roman"/>
          <w:b/>
          <w:bCs/>
          <w:szCs w:val="32"/>
        </w:rPr>
      </w:pPr>
      <w:r>
        <w:rPr>
          <w:rFonts w:cs="Times New Roman"/>
          <w:b/>
          <w:bCs/>
          <w:szCs w:val="32"/>
        </w:rPr>
        <w:t>（3）目标可达性分析</w:t>
      </w:r>
    </w:p>
    <w:p w14:paraId="4F5FE38B">
      <w:pPr>
        <w:ind w:firstLine="640" w:firstLineChars="200"/>
        <w:rPr>
          <w:rFonts w:cs="Times New Roman"/>
          <w:szCs w:val="32"/>
        </w:rPr>
      </w:pPr>
      <w:r>
        <w:rPr>
          <w:rFonts w:cs="Times New Roman"/>
          <w:szCs w:val="32"/>
        </w:rPr>
        <w:t>玄武区将着力推动</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建设，着力破解</w:t>
      </w:r>
      <w:r>
        <w:rPr>
          <w:rFonts w:hint="eastAsia" w:cs="Times New Roman"/>
          <w:szCs w:val="32"/>
        </w:rPr>
        <w:t>“</w:t>
      </w:r>
      <w:r>
        <w:rPr>
          <w:rFonts w:cs="Times New Roman"/>
          <w:szCs w:val="32"/>
        </w:rPr>
        <w:t>邻避效应</w:t>
      </w:r>
      <w:r>
        <w:rPr>
          <w:rFonts w:hint="eastAsia" w:cs="Times New Roman"/>
          <w:szCs w:val="32"/>
        </w:rPr>
        <w:t>”，</w:t>
      </w:r>
      <w:r>
        <w:rPr>
          <w:rFonts w:cs="Times New Roman"/>
          <w:szCs w:val="32"/>
        </w:rPr>
        <w:t>加强宣传引导教育，提升公众参与度，重视公众对</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建设成效的满意程度，确保到2025年，公众对</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建设成效的满意程度达到90%。</w:t>
      </w:r>
    </w:p>
    <w:p w14:paraId="5FA1EF9E">
      <w:pPr>
        <w:pStyle w:val="36"/>
        <w:numPr>
          <w:ilvl w:val="0"/>
          <w:numId w:val="34"/>
        </w:numPr>
        <w:ind w:left="0" w:firstLine="0" w:firstLineChars="0"/>
        <w:rPr>
          <w:rFonts w:cs="Times New Roman"/>
          <w:b/>
          <w:bCs/>
          <w:szCs w:val="32"/>
        </w:rPr>
      </w:pPr>
      <w:r>
        <w:rPr>
          <w:rFonts w:hint="eastAsia" w:cs="Times New Roman"/>
          <w:b/>
          <w:bCs/>
          <w:szCs w:val="32"/>
        </w:rPr>
        <w:t>“</w:t>
      </w:r>
      <w:r>
        <w:rPr>
          <w:rFonts w:cs="Times New Roman"/>
          <w:b/>
          <w:bCs/>
          <w:szCs w:val="32"/>
        </w:rPr>
        <w:t>无废城市</w:t>
      </w:r>
      <w:r>
        <w:rPr>
          <w:rFonts w:hint="eastAsia" w:cs="Times New Roman"/>
          <w:b/>
          <w:bCs/>
          <w:szCs w:val="32"/>
        </w:rPr>
        <w:t>”</w:t>
      </w:r>
      <w:r>
        <w:rPr>
          <w:rFonts w:cs="Times New Roman"/>
          <w:b/>
          <w:bCs/>
          <w:szCs w:val="32"/>
        </w:rPr>
        <w:t>建设宣传教育培训普及率</w:t>
      </w:r>
      <w:r>
        <w:rPr>
          <w:rFonts w:ascii="Segoe UI Symbol" w:hAnsi="Segoe UI Symbol" w:cs="Segoe UI Symbol"/>
          <w:b/>
          <w:bCs/>
          <w:szCs w:val="32"/>
        </w:rPr>
        <w:t>☆</w:t>
      </w:r>
    </w:p>
    <w:p w14:paraId="4888153C">
      <w:pPr>
        <w:ind w:firstLine="643" w:firstLineChars="200"/>
        <w:rPr>
          <w:rFonts w:cs="Times New Roman"/>
          <w:b/>
          <w:bCs/>
          <w:szCs w:val="32"/>
        </w:rPr>
      </w:pPr>
      <w:r>
        <w:rPr>
          <w:rFonts w:cs="Times New Roman"/>
          <w:b/>
          <w:bCs/>
          <w:szCs w:val="32"/>
        </w:rPr>
        <w:t>（1）指标解释</w:t>
      </w:r>
    </w:p>
    <w:p w14:paraId="3BB90FF6">
      <w:pPr>
        <w:ind w:firstLine="640" w:firstLineChars="200"/>
        <w:rPr>
          <w:rFonts w:cs="Times New Roman"/>
          <w:szCs w:val="32"/>
        </w:rPr>
      </w:pPr>
      <w:r>
        <w:rPr>
          <w:rFonts w:cs="Times New Roman"/>
          <w:szCs w:val="32"/>
        </w:rPr>
        <w:t>指</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宣传教育培训开展情况，包括通过电视、广播、网络、客户端等方式，对党政机关、学校、企事业单位、社会公众等开展宣传教育培训等的情况；城市固体废物利用处置基础设施向公众开放情况等。该指标用于促进各地加强公众对</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建设的了解程度。</w:t>
      </w:r>
    </w:p>
    <w:p w14:paraId="2A1933D2">
      <w:pPr>
        <w:ind w:firstLine="643" w:firstLineChars="200"/>
        <w:rPr>
          <w:rFonts w:cs="Times New Roman"/>
          <w:b/>
          <w:bCs/>
          <w:szCs w:val="32"/>
        </w:rPr>
      </w:pPr>
      <w:r>
        <w:rPr>
          <w:rFonts w:cs="Times New Roman"/>
          <w:b/>
          <w:bCs/>
          <w:szCs w:val="32"/>
        </w:rPr>
        <w:t>（2）现状值说明</w:t>
      </w:r>
    </w:p>
    <w:p w14:paraId="20CB4EC1">
      <w:pPr>
        <w:ind w:firstLine="640" w:firstLineChars="200"/>
        <w:rPr>
          <w:rFonts w:cs="Times New Roman"/>
          <w:szCs w:val="32"/>
        </w:rPr>
      </w:pPr>
      <w:r>
        <w:rPr>
          <w:rFonts w:cs="Times New Roman"/>
          <w:szCs w:val="32"/>
        </w:rPr>
        <w:t>玄武区</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建设尚处于起步阶段，已对从事固废管理相关人员开展培训，尚未开展大规模宣传教育。</w:t>
      </w:r>
    </w:p>
    <w:p w14:paraId="1FA30546">
      <w:pPr>
        <w:ind w:firstLine="643" w:firstLineChars="200"/>
        <w:rPr>
          <w:rFonts w:cs="Times New Roman"/>
          <w:b/>
          <w:bCs/>
          <w:szCs w:val="32"/>
        </w:rPr>
      </w:pPr>
      <w:r>
        <w:rPr>
          <w:rFonts w:cs="Times New Roman"/>
          <w:b/>
          <w:bCs/>
          <w:szCs w:val="32"/>
        </w:rPr>
        <w:t>（3）目标可达性分析</w:t>
      </w:r>
    </w:p>
    <w:p w14:paraId="71EB4C35">
      <w:pPr>
        <w:ind w:firstLine="640" w:firstLineChars="200"/>
        <w:rPr>
          <w:rFonts w:cs="Times New Roman"/>
          <w:szCs w:val="32"/>
        </w:rPr>
      </w:pPr>
      <w:r>
        <w:rPr>
          <w:rFonts w:cs="Times New Roman"/>
          <w:szCs w:val="32"/>
        </w:rPr>
        <w:t>玄武区将依托</w:t>
      </w:r>
      <w:r>
        <w:rPr>
          <w:rFonts w:cs="Times New Roman"/>
        </w:rPr>
        <w:t>区内的大件垃圾分拣中心、玄武湖景区园林绿化废弃物场站等固废收集处理设施、锁金村垃圾分类宣传教育站</w:t>
      </w:r>
      <w:r>
        <w:rPr>
          <w:rFonts w:cs="Times New Roman"/>
          <w:shd w:val="clear" w:color="auto" w:fill="FFFFFF"/>
        </w:rPr>
        <w:t>等以及公园、广场、社区、学校等公共场所，</w:t>
      </w:r>
      <w:r>
        <w:rPr>
          <w:rFonts w:cs="Times New Roman"/>
        </w:rPr>
        <w:t>打造高品质、有特色的</w:t>
      </w:r>
      <w:r>
        <w:rPr>
          <w:rFonts w:hint="eastAsia" w:cs="Times New Roman"/>
        </w:rPr>
        <w:t>“</w:t>
      </w:r>
      <w:r>
        <w:rPr>
          <w:rFonts w:cs="Times New Roman"/>
        </w:rPr>
        <w:t>无废城市</w:t>
      </w:r>
      <w:r>
        <w:rPr>
          <w:rFonts w:hint="eastAsia" w:cs="Times New Roman"/>
        </w:rPr>
        <w:t>”</w:t>
      </w:r>
      <w:r>
        <w:rPr>
          <w:rFonts w:cs="Times New Roman"/>
        </w:rPr>
        <w:t>科普教育基地及载体</w:t>
      </w:r>
      <w:r>
        <w:rPr>
          <w:rFonts w:cs="Times New Roman"/>
          <w:szCs w:val="32"/>
        </w:rPr>
        <w:t>，促进公众的</w:t>
      </w:r>
      <w:r>
        <w:rPr>
          <w:rFonts w:hint="eastAsia" w:cs="Times New Roman"/>
          <w:szCs w:val="32"/>
        </w:rPr>
        <w:t>“</w:t>
      </w:r>
      <w:r>
        <w:rPr>
          <w:rFonts w:cs="Times New Roman"/>
          <w:szCs w:val="32"/>
        </w:rPr>
        <w:t>无废生活</w:t>
      </w:r>
      <w:r>
        <w:rPr>
          <w:rFonts w:hint="eastAsia" w:cs="Times New Roman"/>
          <w:szCs w:val="32"/>
        </w:rPr>
        <w:t>”</w:t>
      </w:r>
      <w:r>
        <w:rPr>
          <w:rFonts w:cs="Times New Roman"/>
          <w:szCs w:val="32"/>
        </w:rPr>
        <w:t>体验与宣传，确保</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建设宣传教育培训普及率达到100%。</w:t>
      </w:r>
    </w:p>
    <w:p w14:paraId="068E634D">
      <w:pPr>
        <w:pStyle w:val="36"/>
        <w:numPr>
          <w:ilvl w:val="0"/>
          <w:numId w:val="34"/>
        </w:numPr>
        <w:ind w:left="0" w:firstLine="0" w:firstLineChars="0"/>
        <w:rPr>
          <w:rFonts w:cs="Times New Roman"/>
          <w:b/>
          <w:bCs/>
          <w:szCs w:val="32"/>
        </w:rPr>
      </w:pPr>
      <w:r>
        <w:rPr>
          <w:rFonts w:cs="Times New Roman"/>
          <w:b/>
          <w:bCs/>
          <w:szCs w:val="32"/>
        </w:rPr>
        <w:t>政府、企事业单位、非政府环境组织、公众对</w:t>
      </w:r>
      <w:r>
        <w:rPr>
          <w:rFonts w:hint="eastAsia" w:cs="Times New Roman"/>
          <w:b/>
          <w:bCs/>
          <w:szCs w:val="32"/>
        </w:rPr>
        <w:t>“</w:t>
      </w:r>
      <w:r>
        <w:rPr>
          <w:rFonts w:cs="Times New Roman"/>
          <w:b/>
          <w:bCs/>
          <w:szCs w:val="32"/>
        </w:rPr>
        <w:t>无废城市</w:t>
      </w:r>
      <w:r>
        <w:rPr>
          <w:rFonts w:hint="eastAsia" w:cs="Times New Roman"/>
          <w:b/>
          <w:bCs/>
          <w:szCs w:val="32"/>
        </w:rPr>
        <w:t>”</w:t>
      </w:r>
      <w:r>
        <w:rPr>
          <w:rFonts w:cs="Times New Roman"/>
          <w:b/>
          <w:bCs/>
          <w:szCs w:val="32"/>
        </w:rPr>
        <w:t>建设的参与程度</w:t>
      </w:r>
      <w:r>
        <w:rPr>
          <w:rFonts w:ascii="Segoe UI Symbol" w:hAnsi="Segoe UI Symbol" w:cs="Segoe UI Symbol"/>
          <w:b/>
          <w:bCs/>
          <w:szCs w:val="32"/>
        </w:rPr>
        <w:t>☆</w:t>
      </w:r>
    </w:p>
    <w:p w14:paraId="1A0AF751">
      <w:pPr>
        <w:ind w:firstLine="643" w:firstLineChars="200"/>
        <w:rPr>
          <w:rFonts w:cs="Times New Roman"/>
          <w:b/>
          <w:bCs/>
          <w:szCs w:val="32"/>
        </w:rPr>
      </w:pPr>
      <w:r>
        <w:rPr>
          <w:rFonts w:cs="Times New Roman"/>
          <w:b/>
          <w:bCs/>
          <w:szCs w:val="32"/>
        </w:rPr>
        <w:t>（1）指标解释</w:t>
      </w:r>
    </w:p>
    <w:p w14:paraId="485B88D4">
      <w:pPr>
        <w:ind w:firstLine="640" w:firstLineChars="200"/>
        <w:rPr>
          <w:rFonts w:cs="Times New Roman"/>
          <w:szCs w:val="32"/>
        </w:rPr>
      </w:pPr>
      <w:r>
        <w:rPr>
          <w:rFonts w:cs="Times New Roman"/>
          <w:szCs w:val="32"/>
        </w:rPr>
        <w:t>指政府、企事业单位、非政府环境组织、公众参与</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建设的程度，例如参加生活垃圾分类、塑料制品的减量替代、厨余垃圾减量等情况。该指标用于促进各地不断提升</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建设的全民参与程度。</w:t>
      </w:r>
    </w:p>
    <w:p w14:paraId="3FBCEFE8">
      <w:pPr>
        <w:ind w:firstLine="643" w:firstLineChars="200"/>
        <w:rPr>
          <w:rFonts w:cs="Times New Roman"/>
          <w:b/>
          <w:bCs/>
          <w:szCs w:val="32"/>
        </w:rPr>
      </w:pPr>
      <w:r>
        <w:rPr>
          <w:rFonts w:cs="Times New Roman"/>
          <w:b/>
          <w:bCs/>
          <w:szCs w:val="32"/>
        </w:rPr>
        <w:t>（2）现状值说明</w:t>
      </w:r>
    </w:p>
    <w:p w14:paraId="122C6CCA">
      <w:pPr>
        <w:ind w:firstLine="640" w:firstLineChars="200"/>
        <w:rPr>
          <w:rFonts w:cs="Times New Roman"/>
          <w:szCs w:val="32"/>
        </w:rPr>
      </w:pPr>
      <w:r>
        <w:rPr>
          <w:rFonts w:cs="Times New Roman"/>
          <w:szCs w:val="32"/>
        </w:rPr>
        <w:t>玄武区</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建设尚处于起步阶段，暂未对该指标进行统计。</w:t>
      </w:r>
    </w:p>
    <w:p w14:paraId="0147ECF1">
      <w:pPr>
        <w:ind w:firstLine="643" w:firstLineChars="200"/>
        <w:rPr>
          <w:rFonts w:cs="Times New Roman"/>
          <w:b/>
          <w:bCs/>
          <w:szCs w:val="32"/>
        </w:rPr>
      </w:pPr>
      <w:r>
        <w:rPr>
          <w:rFonts w:cs="Times New Roman"/>
          <w:b/>
          <w:bCs/>
          <w:szCs w:val="32"/>
        </w:rPr>
        <w:t>（3）目标可达性分析</w:t>
      </w:r>
    </w:p>
    <w:p w14:paraId="6211F1BD">
      <w:pPr>
        <w:ind w:firstLine="640" w:firstLineChars="200"/>
        <w:rPr>
          <w:rFonts w:cs="Times New Roman"/>
          <w:szCs w:val="32"/>
        </w:rPr>
      </w:pPr>
      <w:r>
        <w:rPr>
          <w:rFonts w:cs="Times New Roman"/>
          <w:szCs w:val="32"/>
        </w:rPr>
        <w:t>玄武区将制定系统高效的宣传教育方案，定期向社区、家庭开展</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w:t>
      </w:r>
      <w:r>
        <w:rPr>
          <w:rFonts w:hint="eastAsia" w:cs="Times New Roman"/>
          <w:szCs w:val="32"/>
        </w:rPr>
        <w:t>宣传</w:t>
      </w:r>
      <w:r>
        <w:rPr>
          <w:rFonts w:cs="Times New Roman"/>
          <w:szCs w:val="32"/>
        </w:rPr>
        <w:t>教育，构建党委领导、政府主导、企业主体、社会组织和公众共同参与的</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宣传体系，确保政府、企事业单位、非政府环境组织、公众对</w:t>
      </w:r>
      <w:r>
        <w:rPr>
          <w:rFonts w:hint="eastAsia" w:cs="Times New Roman"/>
          <w:szCs w:val="32"/>
        </w:rPr>
        <w:t>“</w:t>
      </w:r>
      <w:r>
        <w:rPr>
          <w:rFonts w:cs="Times New Roman"/>
          <w:szCs w:val="32"/>
        </w:rPr>
        <w:t>无废城市</w:t>
      </w:r>
      <w:r>
        <w:rPr>
          <w:rFonts w:hint="eastAsia" w:cs="Times New Roman"/>
          <w:szCs w:val="32"/>
        </w:rPr>
        <w:t>”</w:t>
      </w:r>
      <w:r>
        <w:rPr>
          <w:rFonts w:cs="Times New Roman"/>
          <w:szCs w:val="32"/>
        </w:rPr>
        <w:t>建设的参与程度达到90%。</w:t>
      </w:r>
    </w:p>
    <w:p w14:paraId="54B3ABA4">
      <w:pPr>
        <w:ind w:firstLine="640" w:firstLineChars="200"/>
        <w:rPr>
          <w:rFonts w:cs="Times New Roman"/>
          <w:szCs w:val="32"/>
        </w:rPr>
      </w:pPr>
    </w:p>
    <w:p w14:paraId="2F18A55D">
      <w:pPr>
        <w:ind w:firstLine="640" w:firstLineChars="200"/>
        <w:rPr>
          <w:rFonts w:cs="Times New Roman"/>
          <w:szCs w:val="32"/>
        </w:rPr>
      </w:pPr>
    </w:p>
    <w:p w14:paraId="6B34C603">
      <w:pPr>
        <w:ind w:firstLine="640" w:firstLineChars="200"/>
        <w:rPr>
          <w:rFonts w:cs="Times New Roman"/>
          <w:szCs w:val="32"/>
        </w:rPr>
      </w:pPr>
    </w:p>
    <w:p w14:paraId="269023FA">
      <w:pPr>
        <w:ind w:firstLine="640" w:firstLineChars="200"/>
        <w:rPr>
          <w:rFonts w:cs="Times New Roman"/>
          <w:szCs w:val="32"/>
        </w:rPr>
      </w:pPr>
    </w:p>
    <w:p w14:paraId="1686B6EC">
      <w:pPr>
        <w:ind w:firstLine="640" w:firstLineChars="200"/>
        <w:rPr>
          <w:rFonts w:cs="Times New Roman"/>
          <w:szCs w:val="32"/>
        </w:rPr>
      </w:pPr>
    </w:p>
    <w:p w14:paraId="2BB067D5">
      <w:pPr>
        <w:ind w:firstLine="640" w:firstLineChars="200"/>
        <w:rPr>
          <w:rFonts w:cs="Times New Roman"/>
          <w:szCs w:val="32"/>
        </w:rPr>
      </w:pPr>
    </w:p>
    <w:p w14:paraId="12734F35">
      <w:pPr>
        <w:ind w:firstLine="640" w:firstLineChars="200"/>
        <w:rPr>
          <w:rFonts w:cs="Times New Roman"/>
          <w:szCs w:val="32"/>
        </w:rPr>
      </w:pPr>
    </w:p>
    <w:p w14:paraId="0B154D9E">
      <w:pPr>
        <w:ind w:firstLine="640" w:firstLineChars="200"/>
        <w:rPr>
          <w:rFonts w:cs="Times New Roman"/>
          <w:szCs w:val="32"/>
        </w:rPr>
      </w:pPr>
    </w:p>
    <w:p w14:paraId="457C7F5F">
      <w:pPr>
        <w:ind w:firstLine="640" w:firstLineChars="200"/>
        <w:rPr>
          <w:rFonts w:cs="Times New Roman"/>
          <w:szCs w:val="32"/>
        </w:rPr>
      </w:pPr>
    </w:p>
    <w:p w14:paraId="0436F612">
      <w:pPr>
        <w:ind w:firstLine="640" w:firstLineChars="200"/>
        <w:rPr>
          <w:rFonts w:cs="Times New Roman"/>
          <w:szCs w:val="32"/>
        </w:rPr>
      </w:pPr>
    </w:p>
    <w:p w14:paraId="6A6BDBC6">
      <w:pPr>
        <w:ind w:firstLine="640" w:firstLineChars="200"/>
        <w:rPr>
          <w:rFonts w:cs="Times New Roman"/>
          <w:szCs w:val="32"/>
        </w:rPr>
      </w:pPr>
    </w:p>
    <w:p w14:paraId="62DEF780">
      <w:pPr>
        <w:ind w:firstLine="640" w:firstLineChars="200"/>
        <w:rPr>
          <w:rFonts w:cs="Times New Roman"/>
          <w:szCs w:val="32"/>
        </w:rPr>
      </w:pPr>
    </w:p>
    <w:p w14:paraId="0830B134">
      <w:pPr>
        <w:ind w:firstLine="640" w:firstLineChars="200"/>
        <w:rPr>
          <w:rFonts w:cs="Times New Roman"/>
          <w:szCs w:val="32"/>
        </w:rPr>
      </w:pPr>
    </w:p>
    <w:p w14:paraId="5D586D33">
      <w:pPr>
        <w:ind w:firstLine="640" w:firstLineChars="200"/>
        <w:rPr>
          <w:rFonts w:hint="eastAsia" w:cs="Times New Roman"/>
          <w:szCs w:val="32"/>
        </w:rPr>
      </w:pPr>
    </w:p>
    <w:p w14:paraId="6511FD90">
      <w:pPr>
        <w:ind w:firstLine="640" w:firstLineChars="200"/>
        <w:rPr>
          <w:rFonts w:hint="eastAsia" w:cs="Times New Roman"/>
          <w:szCs w:val="32"/>
        </w:rPr>
      </w:pPr>
    </w:p>
    <w:p w14:paraId="27A3CFB4">
      <w:pPr>
        <w:pBdr>
          <w:top w:val="single" w:color="auto" w:sz="6" w:space="1"/>
          <w:bottom w:val="single" w:color="auto" w:sz="6" w:space="1"/>
        </w:pBdr>
        <w:adjustRightInd w:val="0"/>
        <w:snapToGrid w:val="0"/>
        <w:spacing w:line="520" w:lineRule="exact"/>
        <w:rPr>
          <w:rFonts w:hint="eastAsia" w:ascii="方正黑体_GBK" w:hAnsi="方正黑体_GBK" w:eastAsia="方正黑体_GBK" w:cs="方正黑体_GBK"/>
          <w:szCs w:val="32"/>
        </w:rPr>
      </w:pPr>
      <w:r>
        <w:rPr>
          <w:sz w:val="28"/>
          <w:szCs w:val="28"/>
        </w:rPr>
        <w:t>南京市玄武区人民政府办公室                                2023年</w:t>
      </w:r>
      <w:r>
        <w:rPr>
          <w:rFonts w:hint="eastAsia"/>
          <w:sz w:val="28"/>
          <w:szCs w:val="28"/>
        </w:rPr>
        <w:t>1</w:t>
      </w:r>
      <w:r>
        <w:rPr>
          <w:sz w:val="28"/>
          <w:szCs w:val="28"/>
        </w:rPr>
        <w:t>0月</w:t>
      </w:r>
      <w:r>
        <w:rPr>
          <w:rFonts w:hint="eastAsia"/>
          <w:sz w:val="28"/>
          <w:szCs w:val="28"/>
        </w:rPr>
        <w:t>1</w:t>
      </w:r>
      <w:r>
        <w:rPr>
          <w:sz w:val="28"/>
          <w:szCs w:val="28"/>
        </w:rPr>
        <w:t>7日印发</w:t>
      </w:r>
    </w:p>
    <w:p w14:paraId="5AE6DF93">
      <w:pPr>
        <w:ind w:firstLine="482" w:firstLineChars="200"/>
        <w:rPr>
          <w:rFonts w:hint="eastAsia" w:cs="Times New Roman"/>
          <w:b/>
          <w:bCs/>
          <w:sz w:val="24"/>
          <w:szCs w:val="21"/>
        </w:rPr>
      </w:pPr>
    </w:p>
    <w:sectPr>
      <w:pgSz w:w="11906" w:h="16838"/>
      <w:pgMar w:top="2098" w:right="1474" w:bottom="1701" w:left="1588" w:header="851" w:footer="1247"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方正楷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FED14">
    <w:pPr>
      <w:autoSpaceDE w:val="0"/>
      <w:autoSpaceDN w:val="0"/>
      <w:snapToGrid w:val="0"/>
      <w:spacing w:line="400" w:lineRule="exact"/>
      <w:ind w:left="320" w:leftChars="100" w:right="320" w:rightChars="100"/>
      <w:jc w:val="center"/>
      <w:rPr>
        <w:rFonts w:cs="Times New Roman"/>
        <w:kern w:val="0"/>
        <w:sz w:val="28"/>
        <w:szCs w:val="28"/>
      </w:rPr>
    </w:pPr>
    <w:r>
      <w:rPr>
        <w:rFonts w:cs="Times New Roman"/>
        <w:kern w:val="0"/>
        <w:sz w:val="28"/>
        <w:szCs w:val="28"/>
      </w:rPr>
      <w:t xml:space="preserve">—  </w:t>
    </w:r>
    <w:r>
      <w:rPr>
        <w:rFonts w:cs="Times New Roman"/>
        <w:kern w:val="0"/>
        <w:sz w:val="28"/>
        <w:szCs w:val="28"/>
      </w:rPr>
      <w:fldChar w:fldCharType="begin"/>
    </w:r>
    <w:r>
      <w:rPr>
        <w:rFonts w:cs="Times New Roman"/>
        <w:kern w:val="0"/>
        <w:sz w:val="28"/>
        <w:szCs w:val="28"/>
      </w:rPr>
      <w:instrText xml:space="preserve"> PAGE </w:instrText>
    </w:r>
    <w:r>
      <w:rPr>
        <w:rFonts w:cs="Times New Roman"/>
        <w:kern w:val="0"/>
        <w:sz w:val="28"/>
        <w:szCs w:val="28"/>
      </w:rPr>
      <w:fldChar w:fldCharType="separate"/>
    </w:r>
    <w:r>
      <w:rPr>
        <w:rFonts w:cs="Times New Roman"/>
        <w:kern w:val="0"/>
        <w:sz w:val="28"/>
        <w:szCs w:val="28"/>
      </w:rPr>
      <w:t>106</w:t>
    </w:r>
    <w:r>
      <w:rPr>
        <w:rFonts w:cs="Times New Roman"/>
        <w:kern w:val="0"/>
        <w:sz w:val="28"/>
        <w:szCs w:val="28"/>
      </w:rPr>
      <w:fldChar w:fldCharType="end"/>
    </w:r>
    <w:r>
      <w:rPr>
        <w:rFonts w:cs="Times New Roman"/>
        <w:kern w:val="0"/>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CBFDFE"/>
    <w:multiLevelType w:val="singleLevel"/>
    <w:tmpl w:val="D5CBFDFE"/>
    <w:lvl w:ilvl="0" w:tentative="0">
      <w:start w:val="7"/>
      <w:numFmt w:val="chineseCounting"/>
      <w:suff w:val="space"/>
      <w:lvlText w:val="第%1章"/>
      <w:lvlJc w:val="left"/>
      <w:rPr>
        <w:rFonts w:hint="eastAsia"/>
      </w:rPr>
    </w:lvl>
  </w:abstractNum>
  <w:abstractNum w:abstractNumId="1">
    <w:nsid w:val="012A5976"/>
    <w:multiLevelType w:val="multilevel"/>
    <w:tmpl w:val="012A5976"/>
    <w:lvl w:ilvl="0" w:tentative="0">
      <w:start w:val="1"/>
      <w:numFmt w:val="decimal"/>
      <w:suff w:val="nothing"/>
      <w:lvlText w:val="C2-%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1C2294F"/>
    <w:multiLevelType w:val="multilevel"/>
    <w:tmpl w:val="01C2294F"/>
    <w:lvl w:ilvl="0" w:tentative="0">
      <w:start w:val="1"/>
      <w:numFmt w:val="decimal"/>
      <w:lvlText w:val="图8.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6494947"/>
    <w:multiLevelType w:val="multilevel"/>
    <w:tmpl w:val="06494947"/>
    <w:lvl w:ilvl="0" w:tentative="0">
      <w:start w:val="1"/>
      <w:numFmt w:val="decimal"/>
      <w:suff w:val="nothing"/>
      <w:lvlText w:val="A1-%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75041A4"/>
    <w:multiLevelType w:val="multilevel"/>
    <w:tmpl w:val="075041A4"/>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ind w:left="1400" w:hanging="420"/>
      </w:pPr>
      <w:rPr>
        <w:rFonts w:hint="eastAsia"/>
      </w:rPr>
    </w:lvl>
    <w:lvl w:ilvl="2" w:tentative="0">
      <w:start w:val="1"/>
      <w:numFmt w:val="lowerRoman"/>
      <w:lvlText w:val="%3."/>
      <w:lvlJc w:val="right"/>
      <w:pPr>
        <w:ind w:left="1820" w:hanging="420"/>
      </w:pPr>
      <w:rPr>
        <w:rFonts w:hint="eastAsia"/>
      </w:rPr>
    </w:lvl>
    <w:lvl w:ilvl="3" w:tentative="0">
      <w:start w:val="1"/>
      <w:numFmt w:val="decimal"/>
      <w:lvlText w:val="%4."/>
      <w:lvlJc w:val="left"/>
      <w:pPr>
        <w:ind w:left="2240" w:hanging="420"/>
      </w:pPr>
      <w:rPr>
        <w:rFonts w:hint="eastAsia"/>
      </w:rPr>
    </w:lvl>
    <w:lvl w:ilvl="4" w:tentative="0">
      <w:start w:val="1"/>
      <w:numFmt w:val="lowerLetter"/>
      <w:lvlText w:val="%5)"/>
      <w:lvlJc w:val="left"/>
      <w:pPr>
        <w:ind w:left="2660" w:hanging="420"/>
      </w:pPr>
      <w:rPr>
        <w:rFonts w:hint="eastAsia"/>
      </w:rPr>
    </w:lvl>
    <w:lvl w:ilvl="5" w:tentative="0">
      <w:start w:val="1"/>
      <w:numFmt w:val="lowerRoman"/>
      <w:lvlText w:val="%6."/>
      <w:lvlJc w:val="right"/>
      <w:pPr>
        <w:ind w:left="3080" w:hanging="420"/>
      </w:pPr>
      <w:rPr>
        <w:rFonts w:hint="eastAsia"/>
      </w:rPr>
    </w:lvl>
    <w:lvl w:ilvl="6" w:tentative="0">
      <w:start w:val="1"/>
      <w:numFmt w:val="decimal"/>
      <w:lvlText w:val="%7."/>
      <w:lvlJc w:val="left"/>
      <w:pPr>
        <w:ind w:left="3500" w:hanging="420"/>
      </w:pPr>
      <w:rPr>
        <w:rFonts w:hint="eastAsia"/>
      </w:rPr>
    </w:lvl>
    <w:lvl w:ilvl="7" w:tentative="0">
      <w:start w:val="1"/>
      <w:numFmt w:val="lowerLetter"/>
      <w:lvlText w:val="%8)"/>
      <w:lvlJc w:val="left"/>
      <w:pPr>
        <w:ind w:left="3920" w:hanging="420"/>
      </w:pPr>
      <w:rPr>
        <w:rFonts w:hint="eastAsia"/>
      </w:rPr>
    </w:lvl>
    <w:lvl w:ilvl="8" w:tentative="0">
      <w:start w:val="1"/>
      <w:numFmt w:val="lowerRoman"/>
      <w:lvlText w:val="%9."/>
      <w:lvlJc w:val="right"/>
      <w:pPr>
        <w:ind w:left="4340" w:hanging="420"/>
      </w:pPr>
      <w:rPr>
        <w:rFonts w:hint="eastAsia"/>
      </w:rPr>
    </w:lvl>
  </w:abstractNum>
  <w:abstractNum w:abstractNumId="5">
    <w:nsid w:val="0CA37528"/>
    <w:multiLevelType w:val="multilevel"/>
    <w:tmpl w:val="0CA37528"/>
    <w:lvl w:ilvl="0" w:tentative="0">
      <w:start w:val="1"/>
      <w:numFmt w:val="decimal"/>
      <w:suff w:val="nothing"/>
      <w:lvlText w:val="（%1）"/>
      <w:lvlJc w:val="left"/>
      <w:pPr>
        <w:ind w:left="0" w:firstLine="480"/>
      </w:pPr>
      <w:rPr>
        <w:rFonts w:hint="default" w:ascii="Times New Roman" w:hAnsi="Times New Roman" w:eastAsia="方正仿宋_GBK"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9B26D0F"/>
    <w:multiLevelType w:val="multilevel"/>
    <w:tmpl w:val="19B26D0F"/>
    <w:lvl w:ilvl="0" w:tentative="0">
      <w:start w:val="1"/>
      <w:numFmt w:val="decimal"/>
      <w:suff w:val="nothing"/>
      <w:lvlText w:val="C3-%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1C46697B"/>
    <w:multiLevelType w:val="multilevel"/>
    <w:tmpl w:val="1C46697B"/>
    <w:lvl w:ilvl="0" w:tentative="0">
      <w:start w:val="1"/>
      <w:numFmt w:val="decimal"/>
      <w:lvlText w:val="图8.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6164F10"/>
    <w:multiLevelType w:val="multilevel"/>
    <w:tmpl w:val="26164F10"/>
    <w:lvl w:ilvl="0" w:tentative="0">
      <w:start w:val="1"/>
      <w:numFmt w:val="decimal"/>
      <w:lvlText w:val="图2.1-%1 "/>
      <w:lvlJc w:val="left"/>
      <w:pPr>
        <w:ind w:left="420" w:hanging="420"/>
      </w:pPr>
      <w:rPr>
        <w:rFonts w:hint="default" w:ascii="Times New Roman" w:hAnsi="Times New Roman" w:eastAsia="方正仿宋_GBK"/>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6501423"/>
    <w:multiLevelType w:val="multilevel"/>
    <w:tmpl w:val="26501423"/>
    <w:lvl w:ilvl="0" w:tentative="0">
      <w:start w:val="4"/>
      <w:numFmt w:val="decimal"/>
      <w:lvlText w:val="表2.2-%1"/>
      <w:lvlJc w:val="left"/>
      <w:pPr>
        <w:ind w:left="420" w:hanging="420"/>
      </w:pPr>
      <w:rPr>
        <w:rFonts w:hint="default" w:ascii="Times New Roman" w:hAnsi="Times New Roman" w:eastAsia="仿宋_GB2312"/>
        <w:b/>
        <w:bCs w: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26CE6441"/>
    <w:multiLevelType w:val="multilevel"/>
    <w:tmpl w:val="26CE6441"/>
    <w:lvl w:ilvl="0" w:tentative="0">
      <w:start w:val="1"/>
      <w:numFmt w:val="decimal"/>
      <w:suff w:val="nothing"/>
      <w:lvlText w:val="B1-%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29B37D16"/>
    <w:multiLevelType w:val="multilevel"/>
    <w:tmpl w:val="29B37D16"/>
    <w:lvl w:ilvl="0" w:tentative="0">
      <w:start w:val="1"/>
      <w:numFmt w:val="decimal"/>
      <w:suff w:val="nothing"/>
      <w:lvlText w:val="E2-%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2EFE0A29"/>
    <w:multiLevelType w:val="multilevel"/>
    <w:tmpl w:val="2EFE0A29"/>
    <w:lvl w:ilvl="0" w:tentative="0">
      <w:start w:val="1"/>
      <w:numFmt w:val="decimal"/>
      <w:suff w:val="nothing"/>
      <w:lvlText w:val="B2-%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308638A4"/>
    <w:multiLevelType w:val="multilevel"/>
    <w:tmpl w:val="308638A4"/>
    <w:lvl w:ilvl="0" w:tentative="0">
      <w:start w:val="1"/>
      <w:numFmt w:val="decimal"/>
      <w:suff w:val="space"/>
      <w:lvlText w:val="图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34755B2"/>
    <w:multiLevelType w:val="multilevel"/>
    <w:tmpl w:val="334755B2"/>
    <w:lvl w:ilvl="0" w:tentative="0">
      <w:start w:val="1"/>
      <w:numFmt w:val="decimal"/>
      <w:suff w:val="nothing"/>
      <w:lvlText w:val="D1-%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1260C1E"/>
    <w:multiLevelType w:val="multilevel"/>
    <w:tmpl w:val="41260C1E"/>
    <w:lvl w:ilvl="0" w:tentative="0">
      <w:start w:val="1"/>
      <w:numFmt w:val="decimal"/>
      <w:suff w:val="nothing"/>
      <w:lvlText w:val="指标%1："/>
      <w:lvlJc w:val="left"/>
      <w:pPr>
        <w:ind w:left="420" w:hanging="420"/>
      </w:pPr>
      <w:rPr>
        <w:rFonts w:hint="eastAsia"/>
        <w:lang w:val="en-US"/>
      </w:rPr>
    </w:lvl>
    <w:lvl w:ilvl="1" w:tentative="0">
      <w:start w:val="1"/>
      <w:numFmt w:val="lowerLetter"/>
      <w:lvlText w:val="%2)"/>
      <w:lvlJc w:val="left"/>
      <w:pPr>
        <w:ind w:left="-11" w:hanging="420"/>
      </w:pPr>
    </w:lvl>
    <w:lvl w:ilvl="2" w:tentative="0">
      <w:start w:val="1"/>
      <w:numFmt w:val="lowerRoman"/>
      <w:lvlText w:val="%3."/>
      <w:lvlJc w:val="right"/>
      <w:pPr>
        <w:ind w:left="409" w:hanging="420"/>
      </w:pPr>
    </w:lvl>
    <w:lvl w:ilvl="3" w:tentative="0">
      <w:start w:val="1"/>
      <w:numFmt w:val="decimal"/>
      <w:lvlText w:val="%4."/>
      <w:lvlJc w:val="left"/>
      <w:pPr>
        <w:ind w:left="829" w:hanging="420"/>
      </w:pPr>
    </w:lvl>
    <w:lvl w:ilvl="4" w:tentative="0">
      <w:start w:val="1"/>
      <w:numFmt w:val="lowerLetter"/>
      <w:lvlText w:val="%5)"/>
      <w:lvlJc w:val="left"/>
      <w:pPr>
        <w:ind w:left="1249" w:hanging="420"/>
      </w:pPr>
    </w:lvl>
    <w:lvl w:ilvl="5" w:tentative="0">
      <w:start w:val="1"/>
      <w:numFmt w:val="lowerRoman"/>
      <w:lvlText w:val="%6."/>
      <w:lvlJc w:val="right"/>
      <w:pPr>
        <w:ind w:left="1669" w:hanging="420"/>
      </w:pPr>
    </w:lvl>
    <w:lvl w:ilvl="6" w:tentative="0">
      <w:start w:val="1"/>
      <w:numFmt w:val="decimal"/>
      <w:lvlText w:val="%7."/>
      <w:lvlJc w:val="left"/>
      <w:pPr>
        <w:ind w:left="2089" w:hanging="420"/>
      </w:pPr>
    </w:lvl>
    <w:lvl w:ilvl="7" w:tentative="0">
      <w:start w:val="1"/>
      <w:numFmt w:val="lowerLetter"/>
      <w:lvlText w:val="%8)"/>
      <w:lvlJc w:val="left"/>
      <w:pPr>
        <w:ind w:left="2509" w:hanging="420"/>
      </w:pPr>
    </w:lvl>
    <w:lvl w:ilvl="8" w:tentative="0">
      <w:start w:val="1"/>
      <w:numFmt w:val="lowerRoman"/>
      <w:lvlText w:val="%9."/>
      <w:lvlJc w:val="right"/>
      <w:pPr>
        <w:ind w:left="2929" w:hanging="420"/>
      </w:pPr>
    </w:lvl>
  </w:abstractNum>
  <w:abstractNum w:abstractNumId="16">
    <w:nsid w:val="420E4E1E"/>
    <w:multiLevelType w:val="multilevel"/>
    <w:tmpl w:val="420E4E1E"/>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2D94DDE"/>
    <w:multiLevelType w:val="multilevel"/>
    <w:tmpl w:val="42D94DDE"/>
    <w:lvl w:ilvl="0" w:tentative="0">
      <w:start w:val="1"/>
      <w:numFmt w:val="decimal"/>
      <w:suff w:val="nothing"/>
      <w:lvlText w:val="E1-%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501E4308"/>
    <w:multiLevelType w:val="multilevel"/>
    <w:tmpl w:val="501E4308"/>
    <w:lvl w:ilvl="0" w:tentative="0">
      <w:start w:val="1"/>
      <w:numFmt w:val="decimal"/>
      <w:suff w:val="nothing"/>
      <w:lvlText w:val="A2-%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54A344F8"/>
    <w:multiLevelType w:val="multilevel"/>
    <w:tmpl w:val="54A344F8"/>
    <w:lvl w:ilvl="0" w:tentative="0">
      <w:start w:val="1"/>
      <w:numFmt w:val="decimal"/>
      <w:suff w:val="nothing"/>
      <w:lvlText w:val="D3-%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59880E06"/>
    <w:multiLevelType w:val="multilevel"/>
    <w:tmpl w:val="59880E06"/>
    <w:lvl w:ilvl="0" w:tentative="0">
      <w:start w:val="1"/>
      <w:numFmt w:val="chineseCountingThousand"/>
      <w:pStyle w:val="2"/>
      <w:suff w:val="space"/>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E187F26"/>
    <w:multiLevelType w:val="multilevel"/>
    <w:tmpl w:val="5E187F26"/>
    <w:lvl w:ilvl="0" w:tentative="0">
      <w:start w:val="1"/>
      <w:numFmt w:val="decimal"/>
      <w:lvlText w:val="图3.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1F24870"/>
    <w:multiLevelType w:val="multilevel"/>
    <w:tmpl w:val="61F24870"/>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630A3F68"/>
    <w:multiLevelType w:val="multilevel"/>
    <w:tmpl w:val="630A3F68"/>
    <w:lvl w:ilvl="0" w:tentative="0">
      <w:start w:val="1"/>
      <w:numFmt w:val="decimal"/>
      <w:suff w:val="nothing"/>
      <w:lvlText w:val="C1-%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68AC6468"/>
    <w:multiLevelType w:val="multilevel"/>
    <w:tmpl w:val="68AC6468"/>
    <w:lvl w:ilvl="0" w:tentative="0">
      <w:start w:val="1"/>
      <w:numFmt w:val="decimal"/>
      <w:lvlText w:val="图8.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B9B699F"/>
    <w:multiLevelType w:val="multilevel"/>
    <w:tmpl w:val="6B9B699F"/>
    <w:lvl w:ilvl="0" w:tentative="0">
      <w:start w:val="1"/>
      <w:numFmt w:val="decimal"/>
      <w:suff w:val="nothing"/>
      <w:lvlText w:val="E3-%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C780530"/>
    <w:multiLevelType w:val="multilevel"/>
    <w:tmpl w:val="6C780530"/>
    <w:lvl w:ilvl="0" w:tentative="0">
      <w:start w:val="4"/>
      <w:numFmt w:val="decimal"/>
      <w:lvlText w:val="图2.1-%1 "/>
      <w:lvlJc w:val="left"/>
      <w:pPr>
        <w:ind w:left="420" w:hanging="420"/>
      </w:pPr>
      <w:rPr>
        <w:rFonts w:hint="default" w:ascii="Times New Roman" w:hAnsi="Times New Roman" w:eastAsia="方正仿宋_GBK"/>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E186696"/>
    <w:multiLevelType w:val="multilevel"/>
    <w:tmpl w:val="6E186696"/>
    <w:lvl w:ilvl="0" w:tentative="0">
      <w:start w:val="1"/>
      <w:numFmt w:val="decimal"/>
      <w:lvlText w:val="表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17F6F88"/>
    <w:multiLevelType w:val="multilevel"/>
    <w:tmpl w:val="717F6F88"/>
    <w:lvl w:ilvl="0" w:tentative="0">
      <w:start w:val="1"/>
      <w:numFmt w:val="japaneseCounting"/>
      <w:lvlText w:val="第%1章"/>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746F1DC0"/>
    <w:multiLevelType w:val="multilevel"/>
    <w:tmpl w:val="746F1DC0"/>
    <w:lvl w:ilvl="0" w:tentative="0">
      <w:start w:val="1"/>
      <w:numFmt w:val="decimal"/>
      <w:suff w:val="nothing"/>
      <w:lvlText w:val="A3-%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74F51C88"/>
    <w:multiLevelType w:val="multilevel"/>
    <w:tmpl w:val="74F51C88"/>
    <w:lvl w:ilvl="0" w:tentative="0">
      <w:start w:val="1"/>
      <w:numFmt w:val="decimal"/>
      <w:suff w:val="nothing"/>
      <w:lvlText w:val="（%1）"/>
      <w:lvlJc w:val="left"/>
      <w:pPr>
        <w:ind w:left="0" w:firstLine="480"/>
      </w:pPr>
      <w:rPr>
        <w:rFonts w:hint="default" w:ascii="Times New Roman" w:hAnsi="Times New Roman" w:cs="Times New Roman"/>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75B911F1"/>
    <w:multiLevelType w:val="multilevel"/>
    <w:tmpl w:val="75B911F1"/>
    <w:lvl w:ilvl="0" w:tentative="0">
      <w:start w:val="1"/>
      <w:numFmt w:val="decimal"/>
      <w:suff w:val="nothing"/>
      <w:lvlText w:val="D2-%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
    <w:nsid w:val="76A03602"/>
    <w:multiLevelType w:val="multilevel"/>
    <w:tmpl w:val="76A03602"/>
    <w:lvl w:ilvl="0" w:tentative="0">
      <w:start w:val="1"/>
      <w:numFmt w:val="decimal"/>
      <w:suff w:val="nothing"/>
      <w:lvlText w:val="（%1）"/>
      <w:lvlJc w:val="left"/>
      <w:pPr>
        <w:ind w:left="0" w:firstLine="48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780D6B7E"/>
    <w:multiLevelType w:val="multilevel"/>
    <w:tmpl w:val="780D6B7E"/>
    <w:lvl w:ilvl="0" w:tentative="0">
      <w:start w:val="3"/>
      <w:numFmt w:val="decimal"/>
      <w:lvlText w:val="图2.2-%1"/>
      <w:lvlJc w:val="lef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0"/>
  </w:num>
  <w:num w:numId="2">
    <w:abstractNumId w:val="28"/>
  </w:num>
  <w:num w:numId="3">
    <w:abstractNumId w:val="30"/>
  </w:num>
  <w:num w:numId="4">
    <w:abstractNumId w:val="32"/>
  </w:num>
  <w:num w:numId="5">
    <w:abstractNumId w:val="22"/>
  </w:num>
  <w:num w:numId="6">
    <w:abstractNumId w:val="5"/>
  </w:num>
  <w:num w:numId="7">
    <w:abstractNumId w:val="4"/>
  </w:num>
  <w:num w:numId="8">
    <w:abstractNumId w:val="8"/>
  </w:num>
  <w:num w:numId="9">
    <w:abstractNumId w:val="26"/>
  </w:num>
  <w:num w:numId="10">
    <w:abstractNumId w:val="27"/>
  </w:num>
  <w:num w:numId="11">
    <w:abstractNumId w:val="13"/>
  </w:num>
  <w:num w:numId="12">
    <w:abstractNumId w:val="9"/>
  </w:num>
  <w:num w:numId="13">
    <w:abstractNumId w:val="33"/>
  </w:num>
  <w:num w:numId="14">
    <w:abstractNumId w:val="21"/>
  </w:num>
  <w:num w:numId="15">
    <w:abstractNumId w:val="16"/>
  </w:num>
  <w:num w:numId="16">
    <w:abstractNumId w:val="3"/>
  </w:num>
  <w:num w:numId="17">
    <w:abstractNumId w:val="18"/>
  </w:num>
  <w:num w:numId="18">
    <w:abstractNumId w:val="29"/>
  </w:num>
  <w:num w:numId="19">
    <w:abstractNumId w:val="10"/>
  </w:num>
  <w:num w:numId="20">
    <w:abstractNumId w:val="12"/>
  </w:num>
  <w:num w:numId="21">
    <w:abstractNumId w:val="23"/>
  </w:num>
  <w:num w:numId="22">
    <w:abstractNumId w:val="1"/>
  </w:num>
  <w:num w:numId="23">
    <w:abstractNumId w:val="6"/>
  </w:num>
  <w:num w:numId="24">
    <w:abstractNumId w:val="14"/>
  </w:num>
  <w:num w:numId="25">
    <w:abstractNumId w:val="31"/>
  </w:num>
  <w:num w:numId="26">
    <w:abstractNumId w:val="19"/>
  </w:num>
  <w:num w:numId="27">
    <w:abstractNumId w:val="17"/>
  </w:num>
  <w:num w:numId="28">
    <w:abstractNumId w:val="11"/>
  </w:num>
  <w:num w:numId="29">
    <w:abstractNumId w:val="25"/>
  </w:num>
  <w:num w:numId="30">
    <w:abstractNumId w:val="0"/>
  </w:num>
  <w:num w:numId="31">
    <w:abstractNumId w:val="7"/>
  </w:num>
  <w:num w:numId="32">
    <w:abstractNumId w:val="2"/>
  </w:num>
  <w:num w:numId="33">
    <w:abstractNumId w:val="24"/>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141"/>
  <w:drawingGridHorizontalSpacing w:val="160"/>
  <w:drawingGridVerticalSpacing w:val="435"/>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xYWY5Y2ZjZmUyNGVkYjc2Y2RhZGQwMGYyZjk0ODAifQ=="/>
  </w:docVars>
  <w:rsids>
    <w:rsidRoot w:val="00D8163C"/>
    <w:rsid w:val="00000071"/>
    <w:rsid w:val="00000539"/>
    <w:rsid w:val="000006C9"/>
    <w:rsid w:val="000007A6"/>
    <w:rsid w:val="00000CD0"/>
    <w:rsid w:val="00000D81"/>
    <w:rsid w:val="00000DD3"/>
    <w:rsid w:val="00001DB1"/>
    <w:rsid w:val="00001E5D"/>
    <w:rsid w:val="00002068"/>
    <w:rsid w:val="00002309"/>
    <w:rsid w:val="00002DAE"/>
    <w:rsid w:val="0000302A"/>
    <w:rsid w:val="0000416E"/>
    <w:rsid w:val="00004428"/>
    <w:rsid w:val="00004D48"/>
    <w:rsid w:val="000052D9"/>
    <w:rsid w:val="000054BE"/>
    <w:rsid w:val="000065AF"/>
    <w:rsid w:val="00006C38"/>
    <w:rsid w:val="00006EFB"/>
    <w:rsid w:val="0000725D"/>
    <w:rsid w:val="00007C41"/>
    <w:rsid w:val="00007F70"/>
    <w:rsid w:val="00010872"/>
    <w:rsid w:val="000108DB"/>
    <w:rsid w:val="000118D8"/>
    <w:rsid w:val="00012028"/>
    <w:rsid w:val="000121CE"/>
    <w:rsid w:val="00012280"/>
    <w:rsid w:val="00012EE5"/>
    <w:rsid w:val="00012F8B"/>
    <w:rsid w:val="000132EC"/>
    <w:rsid w:val="00013537"/>
    <w:rsid w:val="0001387E"/>
    <w:rsid w:val="00013D6D"/>
    <w:rsid w:val="0001462E"/>
    <w:rsid w:val="00014B94"/>
    <w:rsid w:val="00014BA6"/>
    <w:rsid w:val="00015176"/>
    <w:rsid w:val="00015242"/>
    <w:rsid w:val="000152AB"/>
    <w:rsid w:val="00015560"/>
    <w:rsid w:val="00015819"/>
    <w:rsid w:val="000158FC"/>
    <w:rsid w:val="00015C00"/>
    <w:rsid w:val="0001601A"/>
    <w:rsid w:val="000161DA"/>
    <w:rsid w:val="00016949"/>
    <w:rsid w:val="00016EB4"/>
    <w:rsid w:val="00017154"/>
    <w:rsid w:val="00017494"/>
    <w:rsid w:val="00017C2D"/>
    <w:rsid w:val="00017E8F"/>
    <w:rsid w:val="00020096"/>
    <w:rsid w:val="000200F0"/>
    <w:rsid w:val="00020107"/>
    <w:rsid w:val="00020F53"/>
    <w:rsid w:val="00020FA9"/>
    <w:rsid w:val="000213DE"/>
    <w:rsid w:val="000220B1"/>
    <w:rsid w:val="0002278D"/>
    <w:rsid w:val="000229ED"/>
    <w:rsid w:val="00022A48"/>
    <w:rsid w:val="00022F2F"/>
    <w:rsid w:val="00023064"/>
    <w:rsid w:val="000231A8"/>
    <w:rsid w:val="00023AA5"/>
    <w:rsid w:val="00024083"/>
    <w:rsid w:val="0002432F"/>
    <w:rsid w:val="0002500F"/>
    <w:rsid w:val="00025055"/>
    <w:rsid w:val="00025790"/>
    <w:rsid w:val="0002579A"/>
    <w:rsid w:val="00025864"/>
    <w:rsid w:val="00025FD6"/>
    <w:rsid w:val="000260F6"/>
    <w:rsid w:val="00026368"/>
    <w:rsid w:val="000263C9"/>
    <w:rsid w:val="00026446"/>
    <w:rsid w:val="00026671"/>
    <w:rsid w:val="0003016D"/>
    <w:rsid w:val="000301BF"/>
    <w:rsid w:val="00030638"/>
    <w:rsid w:val="00030CC2"/>
    <w:rsid w:val="00030CFD"/>
    <w:rsid w:val="000314FE"/>
    <w:rsid w:val="000317E2"/>
    <w:rsid w:val="00031AC3"/>
    <w:rsid w:val="00031B6F"/>
    <w:rsid w:val="00032267"/>
    <w:rsid w:val="0003240D"/>
    <w:rsid w:val="0003253D"/>
    <w:rsid w:val="000325DA"/>
    <w:rsid w:val="00032B87"/>
    <w:rsid w:val="00033469"/>
    <w:rsid w:val="0003346B"/>
    <w:rsid w:val="00033646"/>
    <w:rsid w:val="00034453"/>
    <w:rsid w:val="000344D2"/>
    <w:rsid w:val="000347E4"/>
    <w:rsid w:val="00034DE2"/>
    <w:rsid w:val="000355D4"/>
    <w:rsid w:val="00036662"/>
    <w:rsid w:val="00036C11"/>
    <w:rsid w:val="000378C4"/>
    <w:rsid w:val="00040ADD"/>
    <w:rsid w:val="00040C5C"/>
    <w:rsid w:val="00041580"/>
    <w:rsid w:val="00042794"/>
    <w:rsid w:val="00042C7F"/>
    <w:rsid w:val="00043796"/>
    <w:rsid w:val="000438B6"/>
    <w:rsid w:val="00043B33"/>
    <w:rsid w:val="00043EA6"/>
    <w:rsid w:val="000441EC"/>
    <w:rsid w:val="0004460E"/>
    <w:rsid w:val="000446D3"/>
    <w:rsid w:val="0004477C"/>
    <w:rsid w:val="00044DB7"/>
    <w:rsid w:val="000451E8"/>
    <w:rsid w:val="000452A4"/>
    <w:rsid w:val="0004539C"/>
    <w:rsid w:val="000453DE"/>
    <w:rsid w:val="000454BA"/>
    <w:rsid w:val="0004614B"/>
    <w:rsid w:val="00046370"/>
    <w:rsid w:val="00046825"/>
    <w:rsid w:val="000474F5"/>
    <w:rsid w:val="0004766F"/>
    <w:rsid w:val="00047BEA"/>
    <w:rsid w:val="00047C38"/>
    <w:rsid w:val="0005006F"/>
    <w:rsid w:val="000501F3"/>
    <w:rsid w:val="000506F0"/>
    <w:rsid w:val="000507A1"/>
    <w:rsid w:val="000509FF"/>
    <w:rsid w:val="0005121B"/>
    <w:rsid w:val="0005127A"/>
    <w:rsid w:val="000514C2"/>
    <w:rsid w:val="000519C5"/>
    <w:rsid w:val="00051DB0"/>
    <w:rsid w:val="00052307"/>
    <w:rsid w:val="000535CA"/>
    <w:rsid w:val="00053ABB"/>
    <w:rsid w:val="00053B3E"/>
    <w:rsid w:val="00053C2F"/>
    <w:rsid w:val="00054356"/>
    <w:rsid w:val="00054B47"/>
    <w:rsid w:val="00054DE7"/>
    <w:rsid w:val="00054EC9"/>
    <w:rsid w:val="00055637"/>
    <w:rsid w:val="00055792"/>
    <w:rsid w:val="00056914"/>
    <w:rsid w:val="00057389"/>
    <w:rsid w:val="000577BA"/>
    <w:rsid w:val="00057C14"/>
    <w:rsid w:val="00057D12"/>
    <w:rsid w:val="000604A7"/>
    <w:rsid w:val="000606A1"/>
    <w:rsid w:val="000614B8"/>
    <w:rsid w:val="00061519"/>
    <w:rsid w:val="0006160B"/>
    <w:rsid w:val="000616DD"/>
    <w:rsid w:val="00061B30"/>
    <w:rsid w:val="000624ED"/>
    <w:rsid w:val="00062B68"/>
    <w:rsid w:val="00062F37"/>
    <w:rsid w:val="000633A8"/>
    <w:rsid w:val="00063682"/>
    <w:rsid w:val="0006496B"/>
    <w:rsid w:val="00064F96"/>
    <w:rsid w:val="000656B2"/>
    <w:rsid w:val="00065BDF"/>
    <w:rsid w:val="0006669F"/>
    <w:rsid w:val="0006696B"/>
    <w:rsid w:val="000673E5"/>
    <w:rsid w:val="0006754E"/>
    <w:rsid w:val="0006768E"/>
    <w:rsid w:val="000679AC"/>
    <w:rsid w:val="00067F26"/>
    <w:rsid w:val="00070CB9"/>
    <w:rsid w:val="00070ED1"/>
    <w:rsid w:val="00071182"/>
    <w:rsid w:val="00071486"/>
    <w:rsid w:val="000716A2"/>
    <w:rsid w:val="00071EEC"/>
    <w:rsid w:val="000723A6"/>
    <w:rsid w:val="0007297F"/>
    <w:rsid w:val="000730A2"/>
    <w:rsid w:val="000731E5"/>
    <w:rsid w:val="00073D09"/>
    <w:rsid w:val="00073F3F"/>
    <w:rsid w:val="00074112"/>
    <w:rsid w:val="00074235"/>
    <w:rsid w:val="000748D3"/>
    <w:rsid w:val="00074C2A"/>
    <w:rsid w:val="00074CCF"/>
    <w:rsid w:val="00074D12"/>
    <w:rsid w:val="00075EF0"/>
    <w:rsid w:val="00076155"/>
    <w:rsid w:val="000764FD"/>
    <w:rsid w:val="000767E2"/>
    <w:rsid w:val="00076B7A"/>
    <w:rsid w:val="00076FE6"/>
    <w:rsid w:val="00077482"/>
    <w:rsid w:val="00077604"/>
    <w:rsid w:val="00077905"/>
    <w:rsid w:val="00077D46"/>
    <w:rsid w:val="00077E5B"/>
    <w:rsid w:val="00077E79"/>
    <w:rsid w:val="00077F2C"/>
    <w:rsid w:val="0008008F"/>
    <w:rsid w:val="00080A2C"/>
    <w:rsid w:val="00080E33"/>
    <w:rsid w:val="0008104D"/>
    <w:rsid w:val="00081514"/>
    <w:rsid w:val="00081A52"/>
    <w:rsid w:val="000826B5"/>
    <w:rsid w:val="00082CBB"/>
    <w:rsid w:val="00082D5C"/>
    <w:rsid w:val="00083646"/>
    <w:rsid w:val="00083767"/>
    <w:rsid w:val="00083B58"/>
    <w:rsid w:val="00084127"/>
    <w:rsid w:val="00084E17"/>
    <w:rsid w:val="000850D4"/>
    <w:rsid w:val="0008529E"/>
    <w:rsid w:val="00085571"/>
    <w:rsid w:val="00085C88"/>
    <w:rsid w:val="00085C9A"/>
    <w:rsid w:val="0008612D"/>
    <w:rsid w:val="00086359"/>
    <w:rsid w:val="00086EED"/>
    <w:rsid w:val="000877F0"/>
    <w:rsid w:val="00087807"/>
    <w:rsid w:val="00090229"/>
    <w:rsid w:val="000904CD"/>
    <w:rsid w:val="00090748"/>
    <w:rsid w:val="00090C90"/>
    <w:rsid w:val="000911FC"/>
    <w:rsid w:val="00091330"/>
    <w:rsid w:val="00091DA9"/>
    <w:rsid w:val="0009234F"/>
    <w:rsid w:val="0009321F"/>
    <w:rsid w:val="000939BB"/>
    <w:rsid w:val="0009412D"/>
    <w:rsid w:val="000950C6"/>
    <w:rsid w:val="0009545B"/>
    <w:rsid w:val="00095808"/>
    <w:rsid w:val="00095A18"/>
    <w:rsid w:val="0009678B"/>
    <w:rsid w:val="000979E2"/>
    <w:rsid w:val="00097B04"/>
    <w:rsid w:val="000A0929"/>
    <w:rsid w:val="000A0CAB"/>
    <w:rsid w:val="000A1554"/>
    <w:rsid w:val="000A15AC"/>
    <w:rsid w:val="000A27EE"/>
    <w:rsid w:val="000A30E4"/>
    <w:rsid w:val="000A34BC"/>
    <w:rsid w:val="000A3951"/>
    <w:rsid w:val="000A3F23"/>
    <w:rsid w:val="000A4644"/>
    <w:rsid w:val="000A4894"/>
    <w:rsid w:val="000A4921"/>
    <w:rsid w:val="000A4AF6"/>
    <w:rsid w:val="000A4CE0"/>
    <w:rsid w:val="000A4E09"/>
    <w:rsid w:val="000A4EA0"/>
    <w:rsid w:val="000A5F20"/>
    <w:rsid w:val="000A5F4D"/>
    <w:rsid w:val="000A620C"/>
    <w:rsid w:val="000A6B2F"/>
    <w:rsid w:val="000A6C60"/>
    <w:rsid w:val="000A6F1C"/>
    <w:rsid w:val="000A727E"/>
    <w:rsid w:val="000A74DE"/>
    <w:rsid w:val="000A78A9"/>
    <w:rsid w:val="000B0208"/>
    <w:rsid w:val="000B02BB"/>
    <w:rsid w:val="000B0AEF"/>
    <w:rsid w:val="000B173E"/>
    <w:rsid w:val="000B1BE0"/>
    <w:rsid w:val="000B237C"/>
    <w:rsid w:val="000B247B"/>
    <w:rsid w:val="000B284D"/>
    <w:rsid w:val="000B2D05"/>
    <w:rsid w:val="000B321C"/>
    <w:rsid w:val="000B3569"/>
    <w:rsid w:val="000B3812"/>
    <w:rsid w:val="000B3C68"/>
    <w:rsid w:val="000B3D96"/>
    <w:rsid w:val="000B3E69"/>
    <w:rsid w:val="000B4233"/>
    <w:rsid w:val="000B4307"/>
    <w:rsid w:val="000B4FED"/>
    <w:rsid w:val="000B61D7"/>
    <w:rsid w:val="000B65DD"/>
    <w:rsid w:val="000B745C"/>
    <w:rsid w:val="000B7A78"/>
    <w:rsid w:val="000C01B0"/>
    <w:rsid w:val="000C0A0F"/>
    <w:rsid w:val="000C0B26"/>
    <w:rsid w:val="000C0D04"/>
    <w:rsid w:val="000C1353"/>
    <w:rsid w:val="000C13BE"/>
    <w:rsid w:val="000C1692"/>
    <w:rsid w:val="000C185F"/>
    <w:rsid w:val="000C221B"/>
    <w:rsid w:val="000C24B0"/>
    <w:rsid w:val="000C2629"/>
    <w:rsid w:val="000C34CA"/>
    <w:rsid w:val="000C35BC"/>
    <w:rsid w:val="000C39F6"/>
    <w:rsid w:val="000C3C5C"/>
    <w:rsid w:val="000C3C99"/>
    <w:rsid w:val="000C4E50"/>
    <w:rsid w:val="000C4FCE"/>
    <w:rsid w:val="000C5894"/>
    <w:rsid w:val="000C5D54"/>
    <w:rsid w:val="000C5D58"/>
    <w:rsid w:val="000C636D"/>
    <w:rsid w:val="000C6391"/>
    <w:rsid w:val="000C64B3"/>
    <w:rsid w:val="000C6757"/>
    <w:rsid w:val="000C6A96"/>
    <w:rsid w:val="000C6DF5"/>
    <w:rsid w:val="000C6E14"/>
    <w:rsid w:val="000C7B52"/>
    <w:rsid w:val="000C7CFE"/>
    <w:rsid w:val="000D0158"/>
    <w:rsid w:val="000D04E4"/>
    <w:rsid w:val="000D09AE"/>
    <w:rsid w:val="000D0B97"/>
    <w:rsid w:val="000D0C4D"/>
    <w:rsid w:val="000D0C89"/>
    <w:rsid w:val="000D147A"/>
    <w:rsid w:val="000D1A92"/>
    <w:rsid w:val="000D1AC2"/>
    <w:rsid w:val="000D2C2C"/>
    <w:rsid w:val="000D2F6F"/>
    <w:rsid w:val="000D2F73"/>
    <w:rsid w:val="000D325C"/>
    <w:rsid w:val="000D3A8D"/>
    <w:rsid w:val="000D3F3A"/>
    <w:rsid w:val="000D460F"/>
    <w:rsid w:val="000D4613"/>
    <w:rsid w:val="000D4852"/>
    <w:rsid w:val="000D499F"/>
    <w:rsid w:val="000D4A6A"/>
    <w:rsid w:val="000D4CDD"/>
    <w:rsid w:val="000D5149"/>
    <w:rsid w:val="000D5201"/>
    <w:rsid w:val="000D5DCE"/>
    <w:rsid w:val="000D6158"/>
    <w:rsid w:val="000D6CAC"/>
    <w:rsid w:val="000D73B8"/>
    <w:rsid w:val="000D7C9B"/>
    <w:rsid w:val="000E06B7"/>
    <w:rsid w:val="000E07D1"/>
    <w:rsid w:val="000E09D2"/>
    <w:rsid w:val="000E0D98"/>
    <w:rsid w:val="000E2699"/>
    <w:rsid w:val="000E2847"/>
    <w:rsid w:val="000E2AAC"/>
    <w:rsid w:val="000E2B29"/>
    <w:rsid w:val="000E3633"/>
    <w:rsid w:val="000E3735"/>
    <w:rsid w:val="000E4115"/>
    <w:rsid w:val="000E46CF"/>
    <w:rsid w:val="000E54C9"/>
    <w:rsid w:val="000E5800"/>
    <w:rsid w:val="000E5998"/>
    <w:rsid w:val="000E5E8C"/>
    <w:rsid w:val="000E6E79"/>
    <w:rsid w:val="000E72BC"/>
    <w:rsid w:val="000E761A"/>
    <w:rsid w:val="000E7A48"/>
    <w:rsid w:val="000E7D38"/>
    <w:rsid w:val="000F01AA"/>
    <w:rsid w:val="000F025F"/>
    <w:rsid w:val="000F0415"/>
    <w:rsid w:val="000F076E"/>
    <w:rsid w:val="000F0F98"/>
    <w:rsid w:val="000F1A9C"/>
    <w:rsid w:val="000F1C72"/>
    <w:rsid w:val="000F22EA"/>
    <w:rsid w:val="000F2457"/>
    <w:rsid w:val="000F25A0"/>
    <w:rsid w:val="000F29D9"/>
    <w:rsid w:val="000F2D5C"/>
    <w:rsid w:val="000F2F97"/>
    <w:rsid w:val="000F3BFC"/>
    <w:rsid w:val="000F3C6E"/>
    <w:rsid w:val="000F3FB3"/>
    <w:rsid w:val="000F45B3"/>
    <w:rsid w:val="000F4A18"/>
    <w:rsid w:val="000F4AF2"/>
    <w:rsid w:val="000F5155"/>
    <w:rsid w:val="000F5763"/>
    <w:rsid w:val="000F58DE"/>
    <w:rsid w:val="000F6314"/>
    <w:rsid w:val="000F6537"/>
    <w:rsid w:val="000F68BB"/>
    <w:rsid w:val="000F6ADE"/>
    <w:rsid w:val="000F6B22"/>
    <w:rsid w:val="000F6D34"/>
    <w:rsid w:val="000F6FA5"/>
    <w:rsid w:val="000F6FAF"/>
    <w:rsid w:val="000F7FE3"/>
    <w:rsid w:val="001004AE"/>
    <w:rsid w:val="0010087D"/>
    <w:rsid w:val="00100FB9"/>
    <w:rsid w:val="00101016"/>
    <w:rsid w:val="00101E76"/>
    <w:rsid w:val="00102C60"/>
    <w:rsid w:val="001038FB"/>
    <w:rsid w:val="00103F0C"/>
    <w:rsid w:val="00104202"/>
    <w:rsid w:val="0010442A"/>
    <w:rsid w:val="00104600"/>
    <w:rsid w:val="0010531A"/>
    <w:rsid w:val="0010619C"/>
    <w:rsid w:val="00106486"/>
    <w:rsid w:val="00106714"/>
    <w:rsid w:val="00106851"/>
    <w:rsid w:val="00106DF8"/>
    <w:rsid w:val="00107330"/>
    <w:rsid w:val="00107335"/>
    <w:rsid w:val="0010789A"/>
    <w:rsid w:val="00110BBB"/>
    <w:rsid w:val="00110E00"/>
    <w:rsid w:val="001116FF"/>
    <w:rsid w:val="0011171B"/>
    <w:rsid w:val="0011191A"/>
    <w:rsid w:val="00111A1E"/>
    <w:rsid w:val="00112092"/>
    <w:rsid w:val="00112609"/>
    <w:rsid w:val="00112AF7"/>
    <w:rsid w:val="00113319"/>
    <w:rsid w:val="001134F7"/>
    <w:rsid w:val="0011475D"/>
    <w:rsid w:val="001149E9"/>
    <w:rsid w:val="00114BBF"/>
    <w:rsid w:val="00114CC7"/>
    <w:rsid w:val="00115247"/>
    <w:rsid w:val="00115947"/>
    <w:rsid w:val="00115C04"/>
    <w:rsid w:val="00116265"/>
    <w:rsid w:val="001162AF"/>
    <w:rsid w:val="001170D8"/>
    <w:rsid w:val="00117168"/>
    <w:rsid w:val="00117295"/>
    <w:rsid w:val="0011774F"/>
    <w:rsid w:val="00117BFF"/>
    <w:rsid w:val="00117F8B"/>
    <w:rsid w:val="00120827"/>
    <w:rsid w:val="00120B23"/>
    <w:rsid w:val="001231FA"/>
    <w:rsid w:val="001233F8"/>
    <w:rsid w:val="00123693"/>
    <w:rsid w:val="001237EB"/>
    <w:rsid w:val="001239C5"/>
    <w:rsid w:val="00123B8D"/>
    <w:rsid w:val="00123E5F"/>
    <w:rsid w:val="00124359"/>
    <w:rsid w:val="001248F7"/>
    <w:rsid w:val="001257D9"/>
    <w:rsid w:val="00125C84"/>
    <w:rsid w:val="00125F6C"/>
    <w:rsid w:val="001263F4"/>
    <w:rsid w:val="00126572"/>
    <w:rsid w:val="0012670E"/>
    <w:rsid w:val="00126BEA"/>
    <w:rsid w:val="0012724C"/>
    <w:rsid w:val="001277E3"/>
    <w:rsid w:val="0012788D"/>
    <w:rsid w:val="00127CAD"/>
    <w:rsid w:val="0013005E"/>
    <w:rsid w:val="0013047E"/>
    <w:rsid w:val="001307CC"/>
    <w:rsid w:val="00130CA0"/>
    <w:rsid w:val="00131422"/>
    <w:rsid w:val="00131A1E"/>
    <w:rsid w:val="00131A8D"/>
    <w:rsid w:val="00131C88"/>
    <w:rsid w:val="00131E0C"/>
    <w:rsid w:val="001322FE"/>
    <w:rsid w:val="00132C9C"/>
    <w:rsid w:val="00132ED8"/>
    <w:rsid w:val="001334AC"/>
    <w:rsid w:val="0013381C"/>
    <w:rsid w:val="00133AF9"/>
    <w:rsid w:val="001341CD"/>
    <w:rsid w:val="00134256"/>
    <w:rsid w:val="00134955"/>
    <w:rsid w:val="00135917"/>
    <w:rsid w:val="00136336"/>
    <w:rsid w:val="00136528"/>
    <w:rsid w:val="001368DF"/>
    <w:rsid w:val="00136DA1"/>
    <w:rsid w:val="0013754A"/>
    <w:rsid w:val="00137804"/>
    <w:rsid w:val="00137B51"/>
    <w:rsid w:val="00137D04"/>
    <w:rsid w:val="001402F4"/>
    <w:rsid w:val="001403C9"/>
    <w:rsid w:val="0014084C"/>
    <w:rsid w:val="00141FCF"/>
    <w:rsid w:val="001420CA"/>
    <w:rsid w:val="00142EE5"/>
    <w:rsid w:val="00143162"/>
    <w:rsid w:val="0014382F"/>
    <w:rsid w:val="00143B43"/>
    <w:rsid w:val="00144A99"/>
    <w:rsid w:val="00144F94"/>
    <w:rsid w:val="0014501F"/>
    <w:rsid w:val="00145D7D"/>
    <w:rsid w:val="00145FF7"/>
    <w:rsid w:val="00146BCB"/>
    <w:rsid w:val="00146D3C"/>
    <w:rsid w:val="0014708B"/>
    <w:rsid w:val="00147B1D"/>
    <w:rsid w:val="00147DE3"/>
    <w:rsid w:val="00150062"/>
    <w:rsid w:val="001507CA"/>
    <w:rsid w:val="0015090B"/>
    <w:rsid w:val="0015180F"/>
    <w:rsid w:val="0015195C"/>
    <w:rsid w:val="00151A71"/>
    <w:rsid w:val="0015208F"/>
    <w:rsid w:val="00152A22"/>
    <w:rsid w:val="00152AC8"/>
    <w:rsid w:val="0015315A"/>
    <w:rsid w:val="00153A69"/>
    <w:rsid w:val="00153A98"/>
    <w:rsid w:val="00153CEE"/>
    <w:rsid w:val="00153D90"/>
    <w:rsid w:val="00154134"/>
    <w:rsid w:val="001543FA"/>
    <w:rsid w:val="0015475F"/>
    <w:rsid w:val="00154799"/>
    <w:rsid w:val="001553C6"/>
    <w:rsid w:val="001554E7"/>
    <w:rsid w:val="00155C51"/>
    <w:rsid w:val="001566F7"/>
    <w:rsid w:val="00156889"/>
    <w:rsid w:val="00156C14"/>
    <w:rsid w:val="00157192"/>
    <w:rsid w:val="001572BF"/>
    <w:rsid w:val="001574CB"/>
    <w:rsid w:val="001577A6"/>
    <w:rsid w:val="00157A2C"/>
    <w:rsid w:val="00157DDC"/>
    <w:rsid w:val="00157ED9"/>
    <w:rsid w:val="00157FB6"/>
    <w:rsid w:val="0016028A"/>
    <w:rsid w:val="001605AD"/>
    <w:rsid w:val="00160661"/>
    <w:rsid w:val="001608B9"/>
    <w:rsid w:val="001614BE"/>
    <w:rsid w:val="00161AAA"/>
    <w:rsid w:val="0016260A"/>
    <w:rsid w:val="00162799"/>
    <w:rsid w:val="0016321E"/>
    <w:rsid w:val="00163C76"/>
    <w:rsid w:val="00163D1B"/>
    <w:rsid w:val="0016456B"/>
    <w:rsid w:val="0016457B"/>
    <w:rsid w:val="00164A5D"/>
    <w:rsid w:val="00164BDF"/>
    <w:rsid w:val="001651D7"/>
    <w:rsid w:val="00165665"/>
    <w:rsid w:val="001662E8"/>
    <w:rsid w:val="0016651B"/>
    <w:rsid w:val="00166895"/>
    <w:rsid w:val="00166CDB"/>
    <w:rsid w:val="001675E1"/>
    <w:rsid w:val="00167796"/>
    <w:rsid w:val="00167D40"/>
    <w:rsid w:val="00167F53"/>
    <w:rsid w:val="00170060"/>
    <w:rsid w:val="00170259"/>
    <w:rsid w:val="001706DF"/>
    <w:rsid w:val="00170914"/>
    <w:rsid w:val="00170ABC"/>
    <w:rsid w:val="0017192B"/>
    <w:rsid w:val="00171BF7"/>
    <w:rsid w:val="00171C6E"/>
    <w:rsid w:val="00171C95"/>
    <w:rsid w:val="00171DB3"/>
    <w:rsid w:val="00172A65"/>
    <w:rsid w:val="00172E5E"/>
    <w:rsid w:val="00172F88"/>
    <w:rsid w:val="0017381F"/>
    <w:rsid w:val="00173979"/>
    <w:rsid w:val="00174204"/>
    <w:rsid w:val="001742D8"/>
    <w:rsid w:val="00174324"/>
    <w:rsid w:val="001745D3"/>
    <w:rsid w:val="00174668"/>
    <w:rsid w:val="00174BE1"/>
    <w:rsid w:val="00174F72"/>
    <w:rsid w:val="00175222"/>
    <w:rsid w:val="001758FF"/>
    <w:rsid w:val="00175DD4"/>
    <w:rsid w:val="00176137"/>
    <w:rsid w:val="00176570"/>
    <w:rsid w:val="0017672E"/>
    <w:rsid w:val="001773AD"/>
    <w:rsid w:val="00177832"/>
    <w:rsid w:val="00177A92"/>
    <w:rsid w:val="0018058B"/>
    <w:rsid w:val="00180C81"/>
    <w:rsid w:val="00181857"/>
    <w:rsid w:val="001818B0"/>
    <w:rsid w:val="00181B77"/>
    <w:rsid w:val="00181C5C"/>
    <w:rsid w:val="00182BC9"/>
    <w:rsid w:val="00182D17"/>
    <w:rsid w:val="00182D75"/>
    <w:rsid w:val="00183141"/>
    <w:rsid w:val="00183564"/>
    <w:rsid w:val="001839E0"/>
    <w:rsid w:val="00183D3F"/>
    <w:rsid w:val="001840D8"/>
    <w:rsid w:val="0018461C"/>
    <w:rsid w:val="00184E00"/>
    <w:rsid w:val="00184FF2"/>
    <w:rsid w:val="0018547E"/>
    <w:rsid w:val="001855D0"/>
    <w:rsid w:val="0018586F"/>
    <w:rsid w:val="00185B83"/>
    <w:rsid w:val="00186DB6"/>
    <w:rsid w:val="00187227"/>
    <w:rsid w:val="0018724C"/>
    <w:rsid w:val="001873D1"/>
    <w:rsid w:val="00187428"/>
    <w:rsid w:val="00187BF1"/>
    <w:rsid w:val="00190F89"/>
    <w:rsid w:val="001935AE"/>
    <w:rsid w:val="00193836"/>
    <w:rsid w:val="001938FB"/>
    <w:rsid w:val="00193D8E"/>
    <w:rsid w:val="00193E25"/>
    <w:rsid w:val="00194200"/>
    <w:rsid w:val="00194473"/>
    <w:rsid w:val="00194579"/>
    <w:rsid w:val="0019470C"/>
    <w:rsid w:val="00194EAD"/>
    <w:rsid w:val="0019569F"/>
    <w:rsid w:val="00195C13"/>
    <w:rsid w:val="00195E4A"/>
    <w:rsid w:val="00195E51"/>
    <w:rsid w:val="00195F3B"/>
    <w:rsid w:val="0019611D"/>
    <w:rsid w:val="001967A2"/>
    <w:rsid w:val="00196900"/>
    <w:rsid w:val="00196AF0"/>
    <w:rsid w:val="00196E62"/>
    <w:rsid w:val="001971F5"/>
    <w:rsid w:val="00197372"/>
    <w:rsid w:val="00197415"/>
    <w:rsid w:val="00197D04"/>
    <w:rsid w:val="00197D8A"/>
    <w:rsid w:val="001A0047"/>
    <w:rsid w:val="001A0363"/>
    <w:rsid w:val="001A03DC"/>
    <w:rsid w:val="001A04C0"/>
    <w:rsid w:val="001A0D23"/>
    <w:rsid w:val="001A10BD"/>
    <w:rsid w:val="001A230C"/>
    <w:rsid w:val="001A2682"/>
    <w:rsid w:val="001A38EC"/>
    <w:rsid w:val="001A3FDE"/>
    <w:rsid w:val="001A4AA4"/>
    <w:rsid w:val="001A504E"/>
    <w:rsid w:val="001A543B"/>
    <w:rsid w:val="001A59D9"/>
    <w:rsid w:val="001A5B0C"/>
    <w:rsid w:val="001A5ED9"/>
    <w:rsid w:val="001A61C5"/>
    <w:rsid w:val="001A6248"/>
    <w:rsid w:val="001A62B0"/>
    <w:rsid w:val="001A6988"/>
    <w:rsid w:val="001A7028"/>
    <w:rsid w:val="001A7B3A"/>
    <w:rsid w:val="001B0312"/>
    <w:rsid w:val="001B07B2"/>
    <w:rsid w:val="001B0A1D"/>
    <w:rsid w:val="001B0C64"/>
    <w:rsid w:val="001B0FF6"/>
    <w:rsid w:val="001B1227"/>
    <w:rsid w:val="001B1312"/>
    <w:rsid w:val="001B168B"/>
    <w:rsid w:val="001B1CB8"/>
    <w:rsid w:val="001B2224"/>
    <w:rsid w:val="001B27D9"/>
    <w:rsid w:val="001B2947"/>
    <w:rsid w:val="001B2AA2"/>
    <w:rsid w:val="001B2B88"/>
    <w:rsid w:val="001B2C26"/>
    <w:rsid w:val="001B32F1"/>
    <w:rsid w:val="001B3477"/>
    <w:rsid w:val="001B3589"/>
    <w:rsid w:val="001B4063"/>
    <w:rsid w:val="001B4438"/>
    <w:rsid w:val="001B5368"/>
    <w:rsid w:val="001B552E"/>
    <w:rsid w:val="001B6313"/>
    <w:rsid w:val="001B6522"/>
    <w:rsid w:val="001B6B79"/>
    <w:rsid w:val="001B75BF"/>
    <w:rsid w:val="001B7623"/>
    <w:rsid w:val="001B7A33"/>
    <w:rsid w:val="001B7A60"/>
    <w:rsid w:val="001C0255"/>
    <w:rsid w:val="001C041A"/>
    <w:rsid w:val="001C0AA9"/>
    <w:rsid w:val="001C0DA3"/>
    <w:rsid w:val="001C103F"/>
    <w:rsid w:val="001C156D"/>
    <w:rsid w:val="001C171E"/>
    <w:rsid w:val="001C1BF0"/>
    <w:rsid w:val="001C1EEB"/>
    <w:rsid w:val="001C26F6"/>
    <w:rsid w:val="001C2EEE"/>
    <w:rsid w:val="001C32A9"/>
    <w:rsid w:val="001C32FD"/>
    <w:rsid w:val="001C3BED"/>
    <w:rsid w:val="001C3C9B"/>
    <w:rsid w:val="001C3E11"/>
    <w:rsid w:val="001C3F80"/>
    <w:rsid w:val="001C4007"/>
    <w:rsid w:val="001C51F9"/>
    <w:rsid w:val="001C5906"/>
    <w:rsid w:val="001C5A4D"/>
    <w:rsid w:val="001C5C11"/>
    <w:rsid w:val="001C6DFB"/>
    <w:rsid w:val="001C790D"/>
    <w:rsid w:val="001C7FDA"/>
    <w:rsid w:val="001D097A"/>
    <w:rsid w:val="001D1059"/>
    <w:rsid w:val="001D1141"/>
    <w:rsid w:val="001D1B1E"/>
    <w:rsid w:val="001D2E73"/>
    <w:rsid w:val="001D2F43"/>
    <w:rsid w:val="001D3B53"/>
    <w:rsid w:val="001D3CF4"/>
    <w:rsid w:val="001D3F82"/>
    <w:rsid w:val="001D4A61"/>
    <w:rsid w:val="001D4CFF"/>
    <w:rsid w:val="001D4F62"/>
    <w:rsid w:val="001D5B3A"/>
    <w:rsid w:val="001D5BD6"/>
    <w:rsid w:val="001D6BF9"/>
    <w:rsid w:val="001D735D"/>
    <w:rsid w:val="001D78FB"/>
    <w:rsid w:val="001D7A99"/>
    <w:rsid w:val="001E0175"/>
    <w:rsid w:val="001E1B8D"/>
    <w:rsid w:val="001E1F5F"/>
    <w:rsid w:val="001E2287"/>
    <w:rsid w:val="001E2B00"/>
    <w:rsid w:val="001E3714"/>
    <w:rsid w:val="001E3CCD"/>
    <w:rsid w:val="001E3D23"/>
    <w:rsid w:val="001E3F35"/>
    <w:rsid w:val="001E452C"/>
    <w:rsid w:val="001E4B9C"/>
    <w:rsid w:val="001E543D"/>
    <w:rsid w:val="001E5804"/>
    <w:rsid w:val="001E5C65"/>
    <w:rsid w:val="001E5D83"/>
    <w:rsid w:val="001E627E"/>
    <w:rsid w:val="001E628E"/>
    <w:rsid w:val="001E6A66"/>
    <w:rsid w:val="001E6DBA"/>
    <w:rsid w:val="001E6DDC"/>
    <w:rsid w:val="001E70B3"/>
    <w:rsid w:val="001E72E4"/>
    <w:rsid w:val="001E7950"/>
    <w:rsid w:val="001E799C"/>
    <w:rsid w:val="001F144E"/>
    <w:rsid w:val="001F1C41"/>
    <w:rsid w:val="001F2A6F"/>
    <w:rsid w:val="001F2C45"/>
    <w:rsid w:val="001F2FE0"/>
    <w:rsid w:val="001F352E"/>
    <w:rsid w:val="001F35E5"/>
    <w:rsid w:val="001F423E"/>
    <w:rsid w:val="001F54DE"/>
    <w:rsid w:val="001F54EF"/>
    <w:rsid w:val="001F57AF"/>
    <w:rsid w:val="001F7DED"/>
    <w:rsid w:val="002007FF"/>
    <w:rsid w:val="0020098A"/>
    <w:rsid w:val="002015F4"/>
    <w:rsid w:val="002018D3"/>
    <w:rsid w:val="00201EFF"/>
    <w:rsid w:val="002025AF"/>
    <w:rsid w:val="00203035"/>
    <w:rsid w:val="002031DF"/>
    <w:rsid w:val="00203A66"/>
    <w:rsid w:val="00203E48"/>
    <w:rsid w:val="00204070"/>
    <w:rsid w:val="0020470B"/>
    <w:rsid w:val="00204D45"/>
    <w:rsid w:val="0020571A"/>
    <w:rsid w:val="00206775"/>
    <w:rsid w:val="00207494"/>
    <w:rsid w:val="002074C2"/>
    <w:rsid w:val="0020777F"/>
    <w:rsid w:val="00210008"/>
    <w:rsid w:val="002116DC"/>
    <w:rsid w:val="002117BC"/>
    <w:rsid w:val="0021188B"/>
    <w:rsid w:val="00211892"/>
    <w:rsid w:val="00211B2B"/>
    <w:rsid w:val="00211FB6"/>
    <w:rsid w:val="002135E3"/>
    <w:rsid w:val="002136FC"/>
    <w:rsid w:val="00213D31"/>
    <w:rsid w:val="00213FA5"/>
    <w:rsid w:val="002142B3"/>
    <w:rsid w:val="00214431"/>
    <w:rsid w:val="002154A7"/>
    <w:rsid w:val="002157AC"/>
    <w:rsid w:val="00215E34"/>
    <w:rsid w:val="00216041"/>
    <w:rsid w:val="002164A5"/>
    <w:rsid w:val="00217559"/>
    <w:rsid w:val="00217DF8"/>
    <w:rsid w:val="0022001F"/>
    <w:rsid w:val="00220264"/>
    <w:rsid w:val="00221324"/>
    <w:rsid w:val="002215D2"/>
    <w:rsid w:val="00221610"/>
    <w:rsid w:val="002217C6"/>
    <w:rsid w:val="00221BE7"/>
    <w:rsid w:val="00221E9D"/>
    <w:rsid w:val="00221FC7"/>
    <w:rsid w:val="00222079"/>
    <w:rsid w:val="00222579"/>
    <w:rsid w:val="0022267D"/>
    <w:rsid w:val="00222783"/>
    <w:rsid w:val="00222D73"/>
    <w:rsid w:val="00222F92"/>
    <w:rsid w:val="002235DF"/>
    <w:rsid w:val="00225450"/>
    <w:rsid w:val="002255AC"/>
    <w:rsid w:val="00225776"/>
    <w:rsid w:val="00225E81"/>
    <w:rsid w:val="002263F5"/>
    <w:rsid w:val="00226C59"/>
    <w:rsid w:val="00227396"/>
    <w:rsid w:val="00227C0C"/>
    <w:rsid w:val="00227C7C"/>
    <w:rsid w:val="00227F1D"/>
    <w:rsid w:val="00230736"/>
    <w:rsid w:val="00230F12"/>
    <w:rsid w:val="00231031"/>
    <w:rsid w:val="00231620"/>
    <w:rsid w:val="002317A8"/>
    <w:rsid w:val="00231D0C"/>
    <w:rsid w:val="002321A5"/>
    <w:rsid w:val="00232451"/>
    <w:rsid w:val="00232537"/>
    <w:rsid w:val="00232583"/>
    <w:rsid w:val="002328B0"/>
    <w:rsid w:val="00232EBB"/>
    <w:rsid w:val="002338AB"/>
    <w:rsid w:val="00233C56"/>
    <w:rsid w:val="00233D6C"/>
    <w:rsid w:val="00234057"/>
    <w:rsid w:val="0023444E"/>
    <w:rsid w:val="00234520"/>
    <w:rsid w:val="0023457D"/>
    <w:rsid w:val="0023511F"/>
    <w:rsid w:val="00235211"/>
    <w:rsid w:val="002355EB"/>
    <w:rsid w:val="002356E5"/>
    <w:rsid w:val="00235A5F"/>
    <w:rsid w:val="00236810"/>
    <w:rsid w:val="00236A2A"/>
    <w:rsid w:val="00236DA1"/>
    <w:rsid w:val="0023777D"/>
    <w:rsid w:val="002400F2"/>
    <w:rsid w:val="002402AF"/>
    <w:rsid w:val="002404E5"/>
    <w:rsid w:val="002415FA"/>
    <w:rsid w:val="002416BE"/>
    <w:rsid w:val="00241D82"/>
    <w:rsid w:val="00241DE1"/>
    <w:rsid w:val="00241E01"/>
    <w:rsid w:val="002420E5"/>
    <w:rsid w:val="00242190"/>
    <w:rsid w:val="002421AE"/>
    <w:rsid w:val="0024223D"/>
    <w:rsid w:val="0024255E"/>
    <w:rsid w:val="002425AF"/>
    <w:rsid w:val="00242810"/>
    <w:rsid w:val="00242A86"/>
    <w:rsid w:val="00242D18"/>
    <w:rsid w:val="00243276"/>
    <w:rsid w:val="002435B7"/>
    <w:rsid w:val="00245027"/>
    <w:rsid w:val="0024511D"/>
    <w:rsid w:val="0024533D"/>
    <w:rsid w:val="002455A0"/>
    <w:rsid w:val="00245835"/>
    <w:rsid w:val="00245DDC"/>
    <w:rsid w:val="002478B5"/>
    <w:rsid w:val="00247DD3"/>
    <w:rsid w:val="00250080"/>
    <w:rsid w:val="00250C91"/>
    <w:rsid w:val="002510BE"/>
    <w:rsid w:val="0025136F"/>
    <w:rsid w:val="00251564"/>
    <w:rsid w:val="00251A11"/>
    <w:rsid w:val="00251D33"/>
    <w:rsid w:val="00251E74"/>
    <w:rsid w:val="00252AAD"/>
    <w:rsid w:val="00252B8A"/>
    <w:rsid w:val="00252EC7"/>
    <w:rsid w:val="0025369D"/>
    <w:rsid w:val="00253DE6"/>
    <w:rsid w:val="002546FC"/>
    <w:rsid w:val="002548E8"/>
    <w:rsid w:val="0025559D"/>
    <w:rsid w:val="00255A26"/>
    <w:rsid w:val="00255F09"/>
    <w:rsid w:val="0025691E"/>
    <w:rsid w:val="00256F54"/>
    <w:rsid w:val="00256FF2"/>
    <w:rsid w:val="00257812"/>
    <w:rsid w:val="00257B8F"/>
    <w:rsid w:val="00257EFB"/>
    <w:rsid w:val="00260262"/>
    <w:rsid w:val="00260905"/>
    <w:rsid w:val="00260F2E"/>
    <w:rsid w:val="00261073"/>
    <w:rsid w:val="00261125"/>
    <w:rsid w:val="00261524"/>
    <w:rsid w:val="00261683"/>
    <w:rsid w:val="00261708"/>
    <w:rsid w:val="002618EF"/>
    <w:rsid w:val="00262B12"/>
    <w:rsid w:val="00263F8C"/>
    <w:rsid w:val="00263FB5"/>
    <w:rsid w:val="002640CB"/>
    <w:rsid w:val="00264344"/>
    <w:rsid w:val="00264548"/>
    <w:rsid w:val="0026454A"/>
    <w:rsid w:val="00264A89"/>
    <w:rsid w:val="00264DEF"/>
    <w:rsid w:val="00266077"/>
    <w:rsid w:val="0026678D"/>
    <w:rsid w:val="00266A92"/>
    <w:rsid w:val="00266E0D"/>
    <w:rsid w:val="0026713F"/>
    <w:rsid w:val="0026719D"/>
    <w:rsid w:val="00267811"/>
    <w:rsid w:val="00267B74"/>
    <w:rsid w:val="002701F3"/>
    <w:rsid w:val="002704F3"/>
    <w:rsid w:val="0027076C"/>
    <w:rsid w:val="002708DB"/>
    <w:rsid w:val="00270B14"/>
    <w:rsid w:val="00271E97"/>
    <w:rsid w:val="00272761"/>
    <w:rsid w:val="00272907"/>
    <w:rsid w:val="002729FA"/>
    <w:rsid w:val="00272BA3"/>
    <w:rsid w:val="00273861"/>
    <w:rsid w:val="0027420E"/>
    <w:rsid w:val="00274788"/>
    <w:rsid w:val="002747E6"/>
    <w:rsid w:val="00274BA3"/>
    <w:rsid w:val="00275009"/>
    <w:rsid w:val="00275CD9"/>
    <w:rsid w:val="00275EC6"/>
    <w:rsid w:val="0027615F"/>
    <w:rsid w:val="00276161"/>
    <w:rsid w:val="0027664B"/>
    <w:rsid w:val="00276B46"/>
    <w:rsid w:val="00276C4B"/>
    <w:rsid w:val="0027748F"/>
    <w:rsid w:val="002775AE"/>
    <w:rsid w:val="002779D4"/>
    <w:rsid w:val="00277B6B"/>
    <w:rsid w:val="00277F4C"/>
    <w:rsid w:val="0028047F"/>
    <w:rsid w:val="002804B8"/>
    <w:rsid w:val="00280DF5"/>
    <w:rsid w:val="00280EC7"/>
    <w:rsid w:val="0028147B"/>
    <w:rsid w:val="0028176E"/>
    <w:rsid w:val="00281D72"/>
    <w:rsid w:val="00281DDA"/>
    <w:rsid w:val="00282400"/>
    <w:rsid w:val="002826C3"/>
    <w:rsid w:val="00282A62"/>
    <w:rsid w:val="00282BFB"/>
    <w:rsid w:val="00282C66"/>
    <w:rsid w:val="00282FE4"/>
    <w:rsid w:val="00284370"/>
    <w:rsid w:val="00284F07"/>
    <w:rsid w:val="00285187"/>
    <w:rsid w:val="002852E2"/>
    <w:rsid w:val="00285DC1"/>
    <w:rsid w:val="002861DF"/>
    <w:rsid w:val="0028672D"/>
    <w:rsid w:val="00286CFF"/>
    <w:rsid w:val="00287DD2"/>
    <w:rsid w:val="002909BA"/>
    <w:rsid w:val="00290DDD"/>
    <w:rsid w:val="00290FB6"/>
    <w:rsid w:val="00291F0F"/>
    <w:rsid w:val="0029251B"/>
    <w:rsid w:val="0029253B"/>
    <w:rsid w:val="0029256D"/>
    <w:rsid w:val="00292ADE"/>
    <w:rsid w:val="00292C76"/>
    <w:rsid w:val="00293D59"/>
    <w:rsid w:val="00293DE4"/>
    <w:rsid w:val="00293E34"/>
    <w:rsid w:val="002943E4"/>
    <w:rsid w:val="0029491E"/>
    <w:rsid w:val="00294F8D"/>
    <w:rsid w:val="0029522C"/>
    <w:rsid w:val="002953E3"/>
    <w:rsid w:val="0029588C"/>
    <w:rsid w:val="00295B3C"/>
    <w:rsid w:val="00295BF2"/>
    <w:rsid w:val="00295C07"/>
    <w:rsid w:val="0029653B"/>
    <w:rsid w:val="00296ED6"/>
    <w:rsid w:val="002972D4"/>
    <w:rsid w:val="0029749E"/>
    <w:rsid w:val="002974FB"/>
    <w:rsid w:val="00297EE8"/>
    <w:rsid w:val="002A07BC"/>
    <w:rsid w:val="002A0937"/>
    <w:rsid w:val="002A098A"/>
    <w:rsid w:val="002A0D26"/>
    <w:rsid w:val="002A1018"/>
    <w:rsid w:val="002A16AC"/>
    <w:rsid w:val="002A16D0"/>
    <w:rsid w:val="002A2654"/>
    <w:rsid w:val="002A27DA"/>
    <w:rsid w:val="002A2DCE"/>
    <w:rsid w:val="002A2EFF"/>
    <w:rsid w:val="002A2F7F"/>
    <w:rsid w:val="002A354F"/>
    <w:rsid w:val="002A35A2"/>
    <w:rsid w:val="002A36A4"/>
    <w:rsid w:val="002A4595"/>
    <w:rsid w:val="002A4692"/>
    <w:rsid w:val="002A5250"/>
    <w:rsid w:val="002A52D3"/>
    <w:rsid w:val="002A53E6"/>
    <w:rsid w:val="002A5695"/>
    <w:rsid w:val="002A5C62"/>
    <w:rsid w:val="002A608E"/>
    <w:rsid w:val="002A76A3"/>
    <w:rsid w:val="002A76BE"/>
    <w:rsid w:val="002A7E61"/>
    <w:rsid w:val="002B01AC"/>
    <w:rsid w:val="002B0FE8"/>
    <w:rsid w:val="002B1276"/>
    <w:rsid w:val="002B13E4"/>
    <w:rsid w:val="002B15A8"/>
    <w:rsid w:val="002B1C63"/>
    <w:rsid w:val="002B1DF4"/>
    <w:rsid w:val="002B258F"/>
    <w:rsid w:val="002B28D2"/>
    <w:rsid w:val="002B2E47"/>
    <w:rsid w:val="002B3766"/>
    <w:rsid w:val="002B3A0A"/>
    <w:rsid w:val="002B3CB5"/>
    <w:rsid w:val="002B42B4"/>
    <w:rsid w:val="002B4739"/>
    <w:rsid w:val="002B483E"/>
    <w:rsid w:val="002B4BA7"/>
    <w:rsid w:val="002B4E6E"/>
    <w:rsid w:val="002B5B74"/>
    <w:rsid w:val="002B6102"/>
    <w:rsid w:val="002B6314"/>
    <w:rsid w:val="002B67E1"/>
    <w:rsid w:val="002B6CB1"/>
    <w:rsid w:val="002B6E2E"/>
    <w:rsid w:val="002B709E"/>
    <w:rsid w:val="002B76B4"/>
    <w:rsid w:val="002B7AC7"/>
    <w:rsid w:val="002B7B14"/>
    <w:rsid w:val="002B7EE9"/>
    <w:rsid w:val="002B7F26"/>
    <w:rsid w:val="002C0EAA"/>
    <w:rsid w:val="002C0F6A"/>
    <w:rsid w:val="002C0FF3"/>
    <w:rsid w:val="002C12E5"/>
    <w:rsid w:val="002C18DB"/>
    <w:rsid w:val="002C28B6"/>
    <w:rsid w:val="002C2BDB"/>
    <w:rsid w:val="002C2D10"/>
    <w:rsid w:val="002C2DE0"/>
    <w:rsid w:val="002C3565"/>
    <w:rsid w:val="002C44CF"/>
    <w:rsid w:val="002C44F9"/>
    <w:rsid w:val="002C4645"/>
    <w:rsid w:val="002C46E7"/>
    <w:rsid w:val="002C5067"/>
    <w:rsid w:val="002C5358"/>
    <w:rsid w:val="002C64D1"/>
    <w:rsid w:val="002C65A0"/>
    <w:rsid w:val="002C7965"/>
    <w:rsid w:val="002D03CB"/>
    <w:rsid w:val="002D0B19"/>
    <w:rsid w:val="002D0DCD"/>
    <w:rsid w:val="002D0FB1"/>
    <w:rsid w:val="002D19DC"/>
    <w:rsid w:val="002D1B47"/>
    <w:rsid w:val="002D1D22"/>
    <w:rsid w:val="002D2152"/>
    <w:rsid w:val="002D26A9"/>
    <w:rsid w:val="002D3C0C"/>
    <w:rsid w:val="002D426F"/>
    <w:rsid w:val="002D4420"/>
    <w:rsid w:val="002D4421"/>
    <w:rsid w:val="002D49CC"/>
    <w:rsid w:val="002D4B08"/>
    <w:rsid w:val="002D4B51"/>
    <w:rsid w:val="002D505C"/>
    <w:rsid w:val="002D50D2"/>
    <w:rsid w:val="002D533B"/>
    <w:rsid w:val="002D5362"/>
    <w:rsid w:val="002D5A85"/>
    <w:rsid w:val="002D5B06"/>
    <w:rsid w:val="002D5D45"/>
    <w:rsid w:val="002D5D83"/>
    <w:rsid w:val="002D63F9"/>
    <w:rsid w:val="002D6522"/>
    <w:rsid w:val="002D6936"/>
    <w:rsid w:val="002D6AFD"/>
    <w:rsid w:val="002D6DD3"/>
    <w:rsid w:val="002D6EDF"/>
    <w:rsid w:val="002D7739"/>
    <w:rsid w:val="002E0461"/>
    <w:rsid w:val="002E07B4"/>
    <w:rsid w:val="002E08E7"/>
    <w:rsid w:val="002E0C7F"/>
    <w:rsid w:val="002E166E"/>
    <w:rsid w:val="002E1B01"/>
    <w:rsid w:val="002E1BD7"/>
    <w:rsid w:val="002E1F36"/>
    <w:rsid w:val="002E2CB9"/>
    <w:rsid w:val="002E3302"/>
    <w:rsid w:val="002E33FE"/>
    <w:rsid w:val="002E3B6D"/>
    <w:rsid w:val="002E3D09"/>
    <w:rsid w:val="002E3E9E"/>
    <w:rsid w:val="002E4C7F"/>
    <w:rsid w:val="002E5404"/>
    <w:rsid w:val="002E5932"/>
    <w:rsid w:val="002E5D01"/>
    <w:rsid w:val="002E6473"/>
    <w:rsid w:val="002E685A"/>
    <w:rsid w:val="002E6E36"/>
    <w:rsid w:val="002E7036"/>
    <w:rsid w:val="002E7875"/>
    <w:rsid w:val="002E7C41"/>
    <w:rsid w:val="002E7F65"/>
    <w:rsid w:val="002F007B"/>
    <w:rsid w:val="002F020D"/>
    <w:rsid w:val="002F0600"/>
    <w:rsid w:val="002F13DC"/>
    <w:rsid w:val="002F19BD"/>
    <w:rsid w:val="002F1A1B"/>
    <w:rsid w:val="002F1B1E"/>
    <w:rsid w:val="002F21F8"/>
    <w:rsid w:val="002F2952"/>
    <w:rsid w:val="002F29B4"/>
    <w:rsid w:val="002F350A"/>
    <w:rsid w:val="002F3F07"/>
    <w:rsid w:val="002F3F24"/>
    <w:rsid w:val="002F402F"/>
    <w:rsid w:val="002F438E"/>
    <w:rsid w:val="002F4601"/>
    <w:rsid w:val="002F4E45"/>
    <w:rsid w:val="002F55D9"/>
    <w:rsid w:val="002F5D76"/>
    <w:rsid w:val="002F61E8"/>
    <w:rsid w:val="002F6235"/>
    <w:rsid w:val="002F632F"/>
    <w:rsid w:val="002F669D"/>
    <w:rsid w:val="002F74CA"/>
    <w:rsid w:val="0030027C"/>
    <w:rsid w:val="00300298"/>
    <w:rsid w:val="00300FFE"/>
    <w:rsid w:val="00302129"/>
    <w:rsid w:val="003029A5"/>
    <w:rsid w:val="00302A2A"/>
    <w:rsid w:val="00302DA9"/>
    <w:rsid w:val="003032BF"/>
    <w:rsid w:val="003034CA"/>
    <w:rsid w:val="0030377E"/>
    <w:rsid w:val="003038F7"/>
    <w:rsid w:val="00303A5F"/>
    <w:rsid w:val="00303CD6"/>
    <w:rsid w:val="00303F80"/>
    <w:rsid w:val="003042DB"/>
    <w:rsid w:val="003047C4"/>
    <w:rsid w:val="00304A6D"/>
    <w:rsid w:val="00304AFD"/>
    <w:rsid w:val="00305518"/>
    <w:rsid w:val="00305729"/>
    <w:rsid w:val="00305C28"/>
    <w:rsid w:val="00305CFC"/>
    <w:rsid w:val="003060A4"/>
    <w:rsid w:val="003062CF"/>
    <w:rsid w:val="00306674"/>
    <w:rsid w:val="003068AF"/>
    <w:rsid w:val="00307621"/>
    <w:rsid w:val="00307FFA"/>
    <w:rsid w:val="00310050"/>
    <w:rsid w:val="003100B9"/>
    <w:rsid w:val="00310A3E"/>
    <w:rsid w:val="00310B84"/>
    <w:rsid w:val="00310C82"/>
    <w:rsid w:val="0031165D"/>
    <w:rsid w:val="0031186C"/>
    <w:rsid w:val="00312060"/>
    <w:rsid w:val="003120AB"/>
    <w:rsid w:val="0031254A"/>
    <w:rsid w:val="0031278C"/>
    <w:rsid w:val="003129EB"/>
    <w:rsid w:val="003131D4"/>
    <w:rsid w:val="0031372F"/>
    <w:rsid w:val="00314689"/>
    <w:rsid w:val="00314BCB"/>
    <w:rsid w:val="00314D0B"/>
    <w:rsid w:val="0031516B"/>
    <w:rsid w:val="003159B9"/>
    <w:rsid w:val="00315A87"/>
    <w:rsid w:val="00315EA9"/>
    <w:rsid w:val="00316243"/>
    <w:rsid w:val="0031634D"/>
    <w:rsid w:val="003169DF"/>
    <w:rsid w:val="00317A1A"/>
    <w:rsid w:val="00317E08"/>
    <w:rsid w:val="00321C3A"/>
    <w:rsid w:val="00323539"/>
    <w:rsid w:val="00323C32"/>
    <w:rsid w:val="00323CC1"/>
    <w:rsid w:val="00323D3F"/>
    <w:rsid w:val="0032458E"/>
    <w:rsid w:val="00324C74"/>
    <w:rsid w:val="00325026"/>
    <w:rsid w:val="00325224"/>
    <w:rsid w:val="0032574A"/>
    <w:rsid w:val="00325ABF"/>
    <w:rsid w:val="00325F74"/>
    <w:rsid w:val="00326145"/>
    <w:rsid w:val="003264ED"/>
    <w:rsid w:val="00326AE8"/>
    <w:rsid w:val="00326C32"/>
    <w:rsid w:val="00327034"/>
    <w:rsid w:val="00327127"/>
    <w:rsid w:val="00327143"/>
    <w:rsid w:val="003272EB"/>
    <w:rsid w:val="003273CE"/>
    <w:rsid w:val="003277B8"/>
    <w:rsid w:val="0033089F"/>
    <w:rsid w:val="0033135F"/>
    <w:rsid w:val="0033153C"/>
    <w:rsid w:val="00331646"/>
    <w:rsid w:val="00331EC8"/>
    <w:rsid w:val="00332532"/>
    <w:rsid w:val="0033298A"/>
    <w:rsid w:val="003329AD"/>
    <w:rsid w:val="0033317D"/>
    <w:rsid w:val="00333217"/>
    <w:rsid w:val="003335D8"/>
    <w:rsid w:val="00333804"/>
    <w:rsid w:val="00333AA1"/>
    <w:rsid w:val="00333BF9"/>
    <w:rsid w:val="00333FD5"/>
    <w:rsid w:val="00334460"/>
    <w:rsid w:val="00334A1C"/>
    <w:rsid w:val="00334A56"/>
    <w:rsid w:val="00335734"/>
    <w:rsid w:val="00335A9E"/>
    <w:rsid w:val="00336E02"/>
    <w:rsid w:val="003377C7"/>
    <w:rsid w:val="00337FBD"/>
    <w:rsid w:val="00340E38"/>
    <w:rsid w:val="00341188"/>
    <w:rsid w:val="00341351"/>
    <w:rsid w:val="0034141F"/>
    <w:rsid w:val="003416EC"/>
    <w:rsid w:val="003421FA"/>
    <w:rsid w:val="003428D5"/>
    <w:rsid w:val="00342D78"/>
    <w:rsid w:val="00343058"/>
    <w:rsid w:val="003431EF"/>
    <w:rsid w:val="003433E7"/>
    <w:rsid w:val="003437FF"/>
    <w:rsid w:val="00344068"/>
    <w:rsid w:val="003446DA"/>
    <w:rsid w:val="00345AB1"/>
    <w:rsid w:val="00346244"/>
    <w:rsid w:val="00346631"/>
    <w:rsid w:val="0034671F"/>
    <w:rsid w:val="00346944"/>
    <w:rsid w:val="00346CA0"/>
    <w:rsid w:val="00346D68"/>
    <w:rsid w:val="00346F4C"/>
    <w:rsid w:val="0034738A"/>
    <w:rsid w:val="003473A0"/>
    <w:rsid w:val="00347A3A"/>
    <w:rsid w:val="00347B75"/>
    <w:rsid w:val="0035038B"/>
    <w:rsid w:val="003511A0"/>
    <w:rsid w:val="003512FF"/>
    <w:rsid w:val="003515B1"/>
    <w:rsid w:val="003517AD"/>
    <w:rsid w:val="00351D43"/>
    <w:rsid w:val="00351EA9"/>
    <w:rsid w:val="00351F16"/>
    <w:rsid w:val="00351F94"/>
    <w:rsid w:val="00352039"/>
    <w:rsid w:val="0035219A"/>
    <w:rsid w:val="003521CA"/>
    <w:rsid w:val="003522D8"/>
    <w:rsid w:val="00352B16"/>
    <w:rsid w:val="00352C39"/>
    <w:rsid w:val="00352C3A"/>
    <w:rsid w:val="003535E3"/>
    <w:rsid w:val="003546F3"/>
    <w:rsid w:val="0035489D"/>
    <w:rsid w:val="003548C3"/>
    <w:rsid w:val="00354ABC"/>
    <w:rsid w:val="00354B05"/>
    <w:rsid w:val="0035565A"/>
    <w:rsid w:val="003557CD"/>
    <w:rsid w:val="00355A08"/>
    <w:rsid w:val="003565CE"/>
    <w:rsid w:val="003567D5"/>
    <w:rsid w:val="00356B0E"/>
    <w:rsid w:val="00356F24"/>
    <w:rsid w:val="003572EB"/>
    <w:rsid w:val="003575D0"/>
    <w:rsid w:val="0035770C"/>
    <w:rsid w:val="00357979"/>
    <w:rsid w:val="00357999"/>
    <w:rsid w:val="00360BE5"/>
    <w:rsid w:val="00360C2C"/>
    <w:rsid w:val="0036153D"/>
    <w:rsid w:val="00361862"/>
    <w:rsid w:val="00361AE2"/>
    <w:rsid w:val="00361B02"/>
    <w:rsid w:val="003627A0"/>
    <w:rsid w:val="00362835"/>
    <w:rsid w:val="00362C19"/>
    <w:rsid w:val="0036385B"/>
    <w:rsid w:val="003638D9"/>
    <w:rsid w:val="00363CD3"/>
    <w:rsid w:val="00363EA8"/>
    <w:rsid w:val="0036412A"/>
    <w:rsid w:val="0036426A"/>
    <w:rsid w:val="00364CA0"/>
    <w:rsid w:val="0036567B"/>
    <w:rsid w:val="003659DD"/>
    <w:rsid w:val="00365C30"/>
    <w:rsid w:val="00365D36"/>
    <w:rsid w:val="00365D5E"/>
    <w:rsid w:val="003664FD"/>
    <w:rsid w:val="00366D59"/>
    <w:rsid w:val="00367043"/>
    <w:rsid w:val="00367368"/>
    <w:rsid w:val="003675BC"/>
    <w:rsid w:val="003678EC"/>
    <w:rsid w:val="00367D97"/>
    <w:rsid w:val="00370F3C"/>
    <w:rsid w:val="00371142"/>
    <w:rsid w:val="0037127A"/>
    <w:rsid w:val="0037148D"/>
    <w:rsid w:val="00371CC2"/>
    <w:rsid w:val="00371FDA"/>
    <w:rsid w:val="0037206A"/>
    <w:rsid w:val="00372804"/>
    <w:rsid w:val="00374BCF"/>
    <w:rsid w:val="00374FCD"/>
    <w:rsid w:val="0037515F"/>
    <w:rsid w:val="00375171"/>
    <w:rsid w:val="003753F0"/>
    <w:rsid w:val="00375B4C"/>
    <w:rsid w:val="00376662"/>
    <w:rsid w:val="00376A4F"/>
    <w:rsid w:val="003775F1"/>
    <w:rsid w:val="00377713"/>
    <w:rsid w:val="00377A2D"/>
    <w:rsid w:val="00377D1E"/>
    <w:rsid w:val="00380168"/>
    <w:rsid w:val="00380DE8"/>
    <w:rsid w:val="00380E3E"/>
    <w:rsid w:val="0038123E"/>
    <w:rsid w:val="00381C86"/>
    <w:rsid w:val="00383ABD"/>
    <w:rsid w:val="00383C97"/>
    <w:rsid w:val="00383FA5"/>
    <w:rsid w:val="00384F0A"/>
    <w:rsid w:val="0038519F"/>
    <w:rsid w:val="00385C3C"/>
    <w:rsid w:val="00385EC1"/>
    <w:rsid w:val="003860F7"/>
    <w:rsid w:val="00386396"/>
    <w:rsid w:val="0038668F"/>
    <w:rsid w:val="003866E7"/>
    <w:rsid w:val="003870DB"/>
    <w:rsid w:val="003900EC"/>
    <w:rsid w:val="00390169"/>
    <w:rsid w:val="00390784"/>
    <w:rsid w:val="00391712"/>
    <w:rsid w:val="00391A7B"/>
    <w:rsid w:val="00391B43"/>
    <w:rsid w:val="00392288"/>
    <w:rsid w:val="003929EC"/>
    <w:rsid w:val="00393058"/>
    <w:rsid w:val="00393440"/>
    <w:rsid w:val="003934A5"/>
    <w:rsid w:val="0039398B"/>
    <w:rsid w:val="003943B4"/>
    <w:rsid w:val="003947F9"/>
    <w:rsid w:val="0039485F"/>
    <w:rsid w:val="003948EA"/>
    <w:rsid w:val="003953CF"/>
    <w:rsid w:val="00396462"/>
    <w:rsid w:val="00396A83"/>
    <w:rsid w:val="00396C61"/>
    <w:rsid w:val="00396DF4"/>
    <w:rsid w:val="00397453"/>
    <w:rsid w:val="00397515"/>
    <w:rsid w:val="00397615"/>
    <w:rsid w:val="003977CA"/>
    <w:rsid w:val="003A0181"/>
    <w:rsid w:val="003A0D84"/>
    <w:rsid w:val="003A13BA"/>
    <w:rsid w:val="003A1E7E"/>
    <w:rsid w:val="003A28B5"/>
    <w:rsid w:val="003A2D7D"/>
    <w:rsid w:val="003A2E58"/>
    <w:rsid w:val="003A45D8"/>
    <w:rsid w:val="003A4FDD"/>
    <w:rsid w:val="003A5169"/>
    <w:rsid w:val="003A5252"/>
    <w:rsid w:val="003A599B"/>
    <w:rsid w:val="003A5D33"/>
    <w:rsid w:val="003A5E00"/>
    <w:rsid w:val="003A5E71"/>
    <w:rsid w:val="003A6271"/>
    <w:rsid w:val="003A6828"/>
    <w:rsid w:val="003A6F0B"/>
    <w:rsid w:val="003A6F6C"/>
    <w:rsid w:val="003A7121"/>
    <w:rsid w:val="003A7307"/>
    <w:rsid w:val="003A7881"/>
    <w:rsid w:val="003A7CBF"/>
    <w:rsid w:val="003A7D94"/>
    <w:rsid w:val="003B02A6"/>
    <w:rsid w:val="003B02F6"/>
    <w:rsid w:val="003B1302"/>
    <w:rsid w:val="003B16DE"/>
    <w:rsid w:val="003B16EB"/>
    <w:rsid w:val="003B1FBE"/>
    <w:rsid w:val="003B29E9"/>
    <w:rsid w:val="003B2AD6"/>
    <w:rsid w:val="003B42A5"/>
    <w:rsid w:val="003B42FB"/>
    <w:rsid w:val="003B4FA7"/>
    <w:rsid w:val="003B546E"/>
    <w:rsid w:val="003B5591"/>
    <w:rsid w:val="003B5B46"/>
    <w:rsid w:val="003B5BD6"/>
    <w:rsid w:val="003B5DB9"/>
    <w:rsid w:val="003B60EC"/>
    <w:rsid w:val="003B6497"/>
    <w:rsid w:val="003B6833"/>
    <w:rsid w:val="003B686A"/>
    <w:rsid w:val="003B71B0"/>
    <w:rsid w:val="003B7A3B"/>
    <w:rsid w:val="003C04F8"/>
    <w:rsid w:val="003C07BC"/>
    <w:rsid w:val="003C0A89"/>
    <w:rsid w:val="003C1293"/>
    <w:rsid w:val="003C13E8"/>
    <w:rsid w:val="003C1872"/>
    <w:rsid w:val="003C1890"/>
    <w:rsid w:val="003C2278"/>
    <w:rsid w:val="003C2885"/>
    <w:rsid w:val="003C29C3"/>
    <w:rsid w:val="003C2C92"/>
    <w:rsid w:val="003C31CF"/>
    <w:rsid w:val="003C38AD"/>
    <w:rsid w:val="003C38FD"/>
    <w:rsid w:val="003C3A0D"/>
    <w:rsid w:val="003C3DD7"/>
    <w:rsid w:val="003C48E8"/>
    <w:rsid w:val="003C4B99"/>
    <w:rsid w:val="003C5068"/>
    <w:rsid w:val="003C5A6C"/>
    <w:rsid w:val="003C6039"/>
    <w:rsid w:val="003C68BF"/>
    <w:rsid w:val="003C6FBA"/>
    <w:rsid w:val="003C727E"/>
    <w:rsid w:val="003C756A"/>
    <w:rsid w:val="003C7611"/>
    <w:rsid w:val="003C79EC"/>
    <w:rsid w:val="003C7AEE"/>
    <w:rsid w:val="003D0345"/>
    <w:rsid w:val="003D0975"/>
    <w:rsid w:val="003D0A53"/>
    <w:rsid w:val="003D0EDE"/>
    <w:rsid w:val="003D1340"/>
    <w:rsid w:val="003D173D"/>
    <w:rsid w:val="003D1754"/>
    <w:rsid w:val="003D1F3C"/>
    <w:rsid w:val="003D2105"/>
    <w:rsid w:val="003D2515"/>
    <w:rsid w:val="003D2BF7"/>
    <w:rsid w:val="003D2C99"/>
    <w:rsid w:val="003D341A"/>
    <w:rsid w:val="003D3BC7"/>
    <w:rsid w:val="003D4156"/>
    <w:rsid w:val="003D41E9"/>
    <w:rsid w:val="003D49E1"/>
    <w:rsid w:val="003D4BF4"/>
    <w:rsid w:val="003D4EE7"/>
    <w:rsid w:val="003D519D"/>
    <w:rsid w:val="003D5C8A"/>
    <w:rsid w:val="003D5F2B"/>
    <w:rsid w:val="003D5F88"/>
    <w:rsid w:val="003D6420"/>
    <w:rsid w:val="003D6ADF"/>
    <w:rsid w:val="003D6E4F"/>
    <w:rsid w:val="003D7A93"/>
    <w:rsid w:val="003E0EA3"/>
    <w:rsid w:val="003E146D"/>
    <w:rsid w:val="003E217B"/>
    <w:rsid w:val="003E24F9"/>
    <w:rsid w:val="003E2691"/>
    <w:rsid w:val="003E2B51"/>
    <w:rsid w:val="003E2BCE"/>
    <w:rsid w:val="003E2DA0"/>
    <w:rsid w:val="003E31A0"/>
    <w:rsid w:val="003E45E0"/>
    <w:rsid w:val="003E466A"/>
    <w:rsid w:val="003E47EC"/>
    <w:rsid w:val="003E48E8"/>
    <w:rsid w:val="003E55E5"/>
    <w:rsid w:val="003E5870"/>
    <w:rsid w:val="003E6D6A"/>
    <w:rsid w:val="003E6F99"/>
    <w:rsid w:val="003E7246"/>
    <w:rsid w:val="003E7287"/>
    <w:rsid w:val="003E7E06"/>
    <w:rsid w:val="003E7EB3"/>
    <w:rsid w:val="003F02C1"/>
    <w:rsid w:val="003F0502"/>
    <w:rsid w:val="003F0C0A"/>
    <w:rsid w:val="003F0E89"/>
    <w:rsid w:val="003F0EFC"/>
    <w:rsid w:val="003F108E"/>
    <w:rsid w:val="003F1199"/>
    <w:rsid w:val="003F27AB"/>
    <w:rsid w:val="003F2C60"/>
    <w:rsid w:val="003F36BA"/>
    <w:rsid w:val="003F3FFF"/>
    <w:rsid w:val="003F403B"/>
    <w:rsid w:val="003F41FD"/>
    <w:rsid w:val="003F485D"/>
    <w:rsid w:val="003F4B61"/>
    <w:rsid w:val="003F58D8"/>
    <w:rsid w:val="003F5BDE"/>
    <w:rsid w:val="003F5CE8"/>
    <w:rsid w:val="003F6275"/>
    <w:rsid w:val="003F636B"/>
    <w:rsid w:val="003F6505"/>
    <w:rsid w:val="003F6CDA"/>
    <w:rsid w:val="003F6CE6"/>
    <w:rsid w:val="003F6D97"/>
    <w:rsid w:val="003F7368"/>
    <w:rsid w:val="003F79DB"/>
    <w:rsid w:val="00400041"/>
    <w:rsid w:val="00400372"/>
    <w:rsid w:val="00400683"/>
    <w:rsid w:val="00400CAC"/>
    <w:rsid w:val="00401153"/>
    <w:rsid w:val="004012A5"/>
    <w:rsid w:val="00401786"/>
    <w:rsid w:val="004021B5"/>
    <w:rsid w:val="00402B56"/>
    <w:rsid w:val="0040326B"/>
    <w:rsid w:val="00403394"/>
    <w:rsid w:val="004033D9"/>
    <w:rsid w:val="00403F37"/>
    <w:rsid w:val="004041AA"/>
    <w:rsid w:val="0040481F"/>
    <w:rsid w:val="0040494C"/>
    <w:rsid w:val="00405057"/>
    <w:rsid w:val="004052D6"/>
    <w:rsid w:val="0040541E"/>
    <w:rsid w:val="004059A1"/>
    <w:rsid w:val="00405F30"/>
    <w:rsid w:val="004068CC"/>
    <w:rsid w:val="00406D22"/>
    <w:rsid w:val="004074C7"/>
    <w:rsid w:val="00407562"/>
    <w:rsid w:val="00407701"/>
    <w:rsid w:val="00407BA7"/>
    <w:rsid w:val="00407C77"/>
    <w:rsid w:val="00407D63"/>
    <w:rsid w:val="0041025F"/>
    <w:rsid w:val="00411253"/>
    <w:rsid w:val="00411EB9"/>
    <w:rsid w:val="00412366"/>
    <w:rsid w:val="00414C81"/>
    <w:rsid w:val="00415221"/>
    <w:rsid w:val="0041537D"/>
    <w:rsid w:val="00415776"/>
    <w:rsid w:val="00416678"/>
    <w:rsid w:val="00416C41"/>
    <w:rsid w:val="00416D06"/>
    <w:rsid w:val="00416DF8"/>
    <w:rsid w:val="004170F1"/>
    <w:rsid w:val="004175F9"/>
    <w:rsid w:val="0041786B"/>
    <w:rsid w:val="00420255"/>
    <w:rsid w:val="00421628"/>
    <w:rsid w:val="00421C8C"/>
    <w:rsid w:val="00421D9B"/>
    <w:rsid w:val="00422311"/>
    <w:rsid w:val="004228F8"/>
    <w:rsid w:val="00422A80"/>
    <w:rsid w:val="00423111"/>
    <w:rsid w:val="004239F7"/>
    <w:rsid w:val="00423A86"/>
    <w:rsid w:val="0042415C"/>
    <w:rsid w:val="00424950"/>
    <w:rsid w:val="004267B5"/>
    <w:rsid w:val="00426A75"/>
    <w:rsid w:val="00426B7B"/>
    <w:rsid w:val="00427F28"/>
    <w:rsid w:val="004301CF"/>
    <w:rsid w:val="004303AF"/>
    <w:rsid w:val="004307C8"/>
    <w:rsid w:val="00431545"/>
    <w:rsid w:val="00431C96"/>
    <w:rsid w:val="00431E59"/>
    <w:rsid w:val="0043225C"/>
    <w:rsid w:val="004323F3"/>
    <w:rsid w:val="00432851"/>
    <w:rsid w:val="00432EBA"/>
    <w:rsid w:val="00432F4A"/>
    <w:rsid w:val="00433116"/>
    <w:rsid w:val="00433137"/>
    <w:rsid w:val="004332D7"/>
    <w:rsid w:val="00433632"/>
    <w:rsid w:val="004338E1"/>
    <w:rsid w:val="00433B75"/>
    <w:rsid w:val="00434246"/>
    <w:rsid w:val="00434700"/>
    <w:rsid w:val="004347E9"/>
    <w:rsid w:val="0043486E"/>
    <w:rsid w:val="0043491B"/>
    <w:rsid w:val="00434FD8"/>
    <w:rsid w:val="004354D4"/>
    <w:rsid w:val="004355C9"/>
    <w:rsid w:val="004355F2"/>
    <w:rsid w:val="004358EA"/>
    <w:rsid w:val="00435DAA"/>
    <w:rsid w:val="00436018"/>
    <w:rsid w:val="0043629B"/>
    <w:rsid w:val="004363DA"/>
    <w:rsid w:val="0043683E"/>
    <w:rsid w:val="00436E08"/>
    <w:rsid w:val="0043749E"/>
    <w:rsid w:val="004376B4"/>
    <w:rsid w:val="00437BAE"/>
    <w:rsid w:val="004405C9"/>
    <w:rsid w:val="004408DA"/>
    <w:rsid w:val="004408FE"/>
    <w:rsid w:val="00440B07"/>
    <w:rsid w:val="00440FD4"/>
    <w:rsid w:val="00441301"/>
    <w:rsid w:val="00441A98"/>
    <w:rsid w:val="00441BF6"/>
    <w:rsid w:val="004424D7"/>
    <w:rsid w:val="00442A91"/>
    <w:rsid w:val="004432D0"/>
    <w:rsid w:val="0044352A"/>
    <w:rsid w:val="004443B5"/>
    <w:rsid w:val="00445C07"/>
    <w:rsid w:val="004460F9"/>
    <w:rsid w:val="00446B3A"/>
    <w:rsid w:val="00447113"/>
    <w:rsid w:val="00447B0B"/>
    <w:rsid w:val="00447BFB"/>
    <w:rsid w:val="004504AA"/>
    <w:rsid w:val="004508A5"/>
    <w:rsid w:val="00450B1B"/>
    <w:rsid w:val="004514AE"/>
    <w:rsid w:val="004519B3"/>
    <w:rsid w:val="00452E66"/>
    <w:rsid w:val="00453185"/>
    <w:rsid w:val="0045385A"/>
    <w:rsid w:val="00453F21"/>
    <w:rsid w:val="00453FCE"/>
    <w:rsid w:val="004548B4"/>
    <w:rsid w:val="0045529B"/>
    <w:rsid w:val="00455546"/>
    <w:rsid w:val="00455BD6"/>
    <w:rsid w:val="004566E7"/>
    <w:rsid w:val="00456F38"/>
    <w:rsid w:val="00457125"/>
    <w:rsid w:val="00457C8E"/>
    <w:rsid w:val="00457D48"/>
    <w:rsid w:val="00457EF0"/>
    <w:rsid w:val="0046052F"/>
    <w:rsid w:val="00460A65"/>
    <w:rsid w:val="00460C7E"/>
    <w:rsid w:val="00461426"/>
    <w:rsid w:val="00461C4A"/>
    <w:rsid w:val="00462371"/>
    <w:rsid w:val="00462590"/>
    <w:rsid w:val="0046262C"/>
    <w:rsid w:val="00462913"/>
    <w:rsid w:val="00462B09"/>
    <w:rsid w:val="0046310C"/>
    <w:rsid w:val="0046328A"/>
    <w:rsid w:val="00463479"/>
    <w:rsid w:val="00463DD6"/>
    <w:rsid w:val="004640A3"/>
    <w:rsid w:val="00464667"/>
    <w:rsid w:val="004648DC"/>
    <w:rsid w:val="00464B99"/>
    <w:rsid w:val="00464F67"/>
    <w:rsid w:val="004652F4"/>
    <w:rsid w:val="0046652B"/>
    <w:rsid w:val="00466F18"/>
    <w:rsid w:val="004670B6"/>
    <w:rsid w:val="00467D0C"/>
    <w:rsid w:val="00470B7B"/>
    <w:rsid w:val="0047116B"/>
    <w:rsid w:val="004721E4"/>
    <w:rsid w:val="004722C3"/>
    <w:rsid w:val="004729DF"/>
    <w:rsid w:val="004731F0"/>
    <w:rsid w:val="00473548"/>
    <w:rsid w:val="00473D3D"/>
    <w:rsid w:val="00474644"/>
    <w:rsid w:val="004746C5"/>
    <w:rsid w:val="0047473B"/>
    <w:rsid w:val="004752F0"/>
    <w:rsid w:val="00475B72"/>
    <w:rsid w:val="00476726"/>
    <w:rsid w:val="00476A19"/>
    <w:rsid w:val="00477343"/>
    <w:rsid w:val="004773A7"/>
    <w:rsid w:val="004776D3"/>
    <w:rsid w:val="00477B64"/>
    <w:rsid w:val="00477D9A"/>
    <w:rsid w:val="00480A66"/>
    <w:rsid w:val="00480CC9"/>
    <w:rsid w:val="00480F4D"/>
    <w:rsid w:val="004813C6"/>
    <w:rsid w:val="00481712"/>
    <w:rsid w:val="00481A8E"/>
    <w:rsid w:val="004820C2"/>
    <w:rsid w:val="00482724"/>
    <w:rsid w:val="004829AC"/>
    <w:rsid w:val="00482B26"/>
    <w:rsid w:val="00482D72"/>
    <w:rsid w:val="00482D9F"/>
    <w:rsid w:val="00482DF6"/>
    <w:rsid w:val="00482EB8"/>
    <w:rsid w:val="00482F4A"/>
    <w:rsid w:val="004834EA"/>
    <w:rsid w:val="00483B54"/>
    <w:rsid w:val="00483BF2"/>
    <w:rsid w:val="004842D3"/>
    <w:rsid w:val="00484353"/>
    <w:rsid w:val="00484499"/>
    <w:rsid w:val="00484D4F"/>
    <w:rsid w:val="0048597A"/>
    <w:rsid w:val="00486934"/>
    <w:rsid w:val="00486A0B"/>
    <w:rsid w:val="00486FEA"/>
    <w:rsid w:val="0048712A"/>
    <w:rsid w:val="00487517"/>
    <w:rsid w:val="00487628"/>
    <w:rsid w:val="0049072F"/>
    <w:rsid w:val="00490915"/>
    <w:rsid w:val="00490AA5"/>
    <w:rsid w:val="0049111F"/>
    <w:rsid w:val="00491976"/>
    <w:rsid w:val="00492257"/>
    <w:rsid w:val="0049243D"/>
    <w:rsid w:val="00492A27"/>
    <w:rsid w:val="00492A63"/>
    <w:rsid w:val="00492E8F"/>
    <w:rsid w:val="0049381D"/>
    <w:rsid w:val="004939D9"/>
    <w:rsid w:val="00493C69"/>
    <w:rsid w:val="00493F1A"/>
    <w:rsid w:val="004947CB"/>
    <w:rsid w:val="00494896"/>
    <w:rsid w:val="0049548E"/>
    <w:rsid w:val="00495870"/>
    <w:rsid w:val="0049589B"/>
    <w:rsid w:val="00495C1C"/>
    <w:rsid w:val="00496330"/>
    <w:rsid w:val="00496613"/>
    <w:rsid w:val="00496F41"/>
    <w:rsid w:val="004972B4"/>
    <w:rsid w:val="0049733B"/>
    <w:rsid w:val="00497698"/>
    <w:rsid w:val="004978F5"/>
    <w:rsid w:val="00497A3E"/>
    <w:rsid w:val="00497C23"/>
    <w:rsid w:val="00497D50"/>
    <w:rsid w:val="004A045B"/>
    <w:rsid w:val="004A1021"/>
    <w:rsid w:val="004A12A0"/>
    <w:rsid w:val="004A1465"/>
    <w:rsid w:val="004A1D8B"/>
    <w:rsid w:val="004A1F75"/>
    <w:rsid w:val="004A1FA5"/>
    <w:rsid w:val="004A2528"/>
    <w:rsid w:val="004A2A58"/>
    <w:rsid w:val="004A2CEF"/>
    <w:rsid w:val="004A2DE7"/>
    <w:rsid w:val="004A394B"/>
    <w:rsid w:val="004A44AD"/>
    <w:rsid w:val="004A4C61"/>
    <w:rsid w:val="004A4D1E"/>
    <w:rsid w:val="004A4EFF"/>
    <w:rsid w:val="004A52B0"/>
    <w:rsid w:val="004A5DF7"/>
    <w:rsid w:val="004A5E51"/>
    <w:rsid w:val="004A5EB6"/>
    <w:rsid w:val="004A5F4B"/>
    <w:rsid w:val="004A6F71"/>
    <w:rsid w:val="004A7B47"/>
    <w:rsid w:val="004A7BE6"/>
    <w:rsid w:val="004A7C48"/>
    <w:rsid w:val="004A7E1E"/>
    <w:rsid w:val="004A7FB2"/>
    <w:rsid w:val="004B00A6"/>
    <w:rsid w:val="004B079F"/>
    <w:rsid w:val="004B0BF0"/>
    <w:rsid w:val="004B0DE5"/>
    <w:rsid w:val="004B1149"/>
    <w:rsid w:val="004B1198"/>
    <w:rsid w:val="004B1483"/>
    <w:rsid w:val="004B1750"/>
    <w:rsid w:val="004B1E9B"/>
    <w:rsid w:val="004B2287"/>
    <w:rsid w:val="004B3589"/>
    <w:rsid w:val="004B3DE9"/>
    <w:rsid w:val="004B50CA"/>
    <w:rsid w:val="004B5255"/>
    <w:rsid w:val="004B60B0"/>
    <w:rsid w:val="004B65DC"/>
    <w:rsid w:val="004B6633"/>
    <w:rsid w:val="004B6936"/>
    <w:rsid w:val="004B6AFD"/>
    <w:rsid w:val="004B6B11"/>
    <w:rsid w:val="004B7608"/>
    <w:rsid w:val="004B76CE"/>
    <w:rsid w:val="004B78BF"/>
    <w:rsid w:val="004C04A8"/>
    <w:rsid w:val="004C0AD2"/>
    <w:rsid w:val="004C0D42"/>
    <w:rsid w:val="004C0D78"/>
    <w:rsid w:val="004C0ECE"/>
    <w:rsid w:val="004C176F"/>
    <w:rsid w:val="004C1FD3"/>
    <w:rsid w:val="004C20D2"/>
    <w:rsid w:val="004C310C"/>
    <w:rsid w:val="004C3141"/>
    <w:rsid w:val="004C32D7"/>
    <w:rsid w:val="004C355B"/>
    <w:rsid w:val="004C3E60"/>
    <w:rsid w:val="004C435D"/>
    <w:rsid w:val="004C4E38"/>
    <w:rsid w:val="004C557A"/>
    <w:rsid w:val="004C6225"/>
    <w:rsid w:val="004C64AA"/>
    <w:rsid w:val="004C6C91"/>
    <w:rsid w:val="004C7006"/>
    <w:rsid w:val="004C76DA"/>
    <w:rsid w:val="004C7D2F"/>
    <w:rsid w:val="004C7E2E"/>
    <w:rsid w:val="004D063A"/>
    <w:rsid w:val="004D0A58"/>
    <w:rsid w:val="004D0C92"/>
    <w:rsid w:val="004D114A"/>
    <w:rsid w:val="004D142E"/>
    <w:rsid w:val="004D1CBB"/>
    <w:rsid w:val="004D1E3B"/>
    <w:rsid w:val="004D27B2"/>
    <w:rsid w:val="004D2826"/>
    <w:rsid w:val="004D2C65"/>
    <w:rsid w:val="004D2EB6"/>
    <w:rsid w:val="004D3053"/>
    <w:rsid w:val="004D329D"/>
    <w:rsid w:val="004D33C1"/>
    <w:rsid w:val="004D341B"/>
    <w:rsid w:val="004D356A"/>
    <w:rsid w:val="004D379A"/>
    <w:rsid w:val="004D3EFC"/>
    <w:rsid w:val="004D4CA1"/>
    <w:rsid w:val="004D4E3A"/>
    <w:rsid w:val="004D5110"/>
    <w:rsid w:val="004D546A"/>
    <w:rsid w:val="004D5556"/>
    <w:rsid w:val="004D5AA2"/>
    <w:rsid w:val="004D64D6"/>
    <w:rsid w:val="004D6B01"/>
    <w:rsid w:val="004D6B44"/>
    <w:rsid w:val="004D6F99"/>
    <w:rsid w:val="004D7700"/>
    <w:rsid w:val="004D7E41"/>
    <w:rsid w:val="004E0B26"/>
    <w:rsid w:val="004E0CCD"/>
    <w:rsid w:val="004E0EC6"/>
    <w:rsid w:val="004E1EEF"/>
    <w:rsid w:val="004E236D"/>
    <w:rsid w:val="004E275A"/>
    <w:rsid w:val="004E2970"/>
    <w:rsid w:val="004E2B46"/>
    <w:rsid w:val="004E2BBF"/>
    <w:rsid w:val="004E3194"/>
    <w:rsid w:val="004E4123"/>
    <w:rsid w:val="004E46FE"/>
    <w:rsid w:val="004E4786"/>
    <w:rsid w:val="004E50BB"/>
    <w:rsid w:val="004E5157"/>
    <w:rsid w:val="004E52B1"/>
    <w:rsid w:val="004E5489"/>
    <w:rsid w:val="004E5568"/>
    <w:rsid w:val="004E586E"/>
    <w:rsid w:val="004E6380"/>
    <w:rsid w:val="004E6E81"/>
    <w:rsid w:val="004E7A39"/>
    <w:rsid w:val="004E7BA0"/>
    <w:rsid w:val="004F08F4"/>
    <w:rsid w:val="004F0C70"/>
    <w:rsid w:val="004F1185"/>
    <w:rsid w:val="004F1637"/>
    <w:rsid w:val="004F19E0"/>
    <w:rsid w:val="004F1DBB"/>
    <w:rsid w:val="004F26A3"/>
    <w:rsid w:val="004F2D70"/>
    <w:rsid w:val="004F2EE3"/>
    <w:rsid w:val="004F30D0"/>
    <w:rsid w:val="004F41AF"/>
    <w:rsid w:val="004F4455"/>
    <w:rsid w:val="004F49B0"/>
    <w:rsid w:val="004F4C6D"/>
    <w:rsid w:val="004F4DC3"/>
    <w:rsid w:val="004F5A80"/>
    <w:rsid w:val="004F66E3"/>
    <w:rsid w:val="004F6729"/>
    <w:rsid w:val="004F6D64"/>
    <w:rsid w:val="004F783B"/>
    <w:rsid w:val="004F786D"/>
    <w:rsid w:val="0050043E"/>
    <w:rsid w:val="0050076B"/>
    <w:rsid w:val="00500B48"/>
    <w:rsid w:val="00501508"/>
    <w:rsid w:val="005016F2"/>
    <w:rsid w:val="0050222F"/>
    <w:rsid w:val="0050283B"/>
    <w:rsid w:val="0050346A"/>
    <w:rsid w:val="005037AF"/>
    <w:rsid w:val="00503A48"/>
    <w:rsid w:val="00503EE0"/>
    <w:rsid w:val="005045A3"/>
    <w:rsid w:val="00504A96"/>
    <w:rsid w:val="00505405"/>
    <w:rsid w:val="0050548E"/>
    <w:rsid w:val="0050596F"/>
    <w:rsid w:val="00505C35"/>
    <w:rsid w:val="0050600A"/>
    <w:rsid w:val="0050618F"/>
    <w:rsid w:val="00506761"/>
    <w:rsid w:val="00506DDB"/>
    <w:rsid w:val="005072B0"/>
    <w:rsid w:val="00507B77"/>
    <w:rsid w:val="00507F76"/>
    <w:rsid w:val="00510210"/>
    <w:rsid w:val="00510680"/>
    <w:rsid w:val="00510B4C"/>
    <w:rsid w:val="00510BF6"/>
    <w:rsid w:val="00510F80"/>
    <w:rsid w:val="005111CF"/>
    <w:rsid w:val="005114E3"/>
    <w:rsid w:val="00511576"/>
    <w:rsid w:val="00511A3C"/>
    <w:rsid w:val="00511AA1"/>
    <w:rsid w:val="0051280A"/>
    <w:rsid w:val="00512B31"/>
    <w:rsid w:val="00512C92"/>
    <w:rsid w:val="0051348E"/>
    <w:rsid w:val="00513C6E"/>
    <w:rsid w:val="00514213"/>
    <w:rsid w:val="00514BC9"/>
    <w:rsid w:val="00514BEC"/>
    <w:rsid w:val="00514D88"/>
    <w:rsid w:val="00515393"/>
    <w:rsid w:val="00515DD9"/>
    <w:rsid w:val="00515FD7"/>
    <w:rsid w:val="0051659F"/>
    <w:rsid w:val="0051671E"/>
    <w:rsid w:val="005171FE"/>
    <w:rsid w:val="0051758D"/>
    <w:rsid w:val="0051781E"/>
    <w:rsid w:val="00517A14"/>
    <w:rsid w:val="00517CFA"/>
    <w:rsid w:val="00520391"/>
    <w:rsid w:val="00520782"/>
    <w:rsid w:val="005212D0"/>
    <w:rsid w:val="005213BE"/>
    <w:rsid w:val="0052183B"/>
    <w:rsid w:val="00521B5D"/>
    <w:rsid w:val="005224B3"/>
    <w:rsid w:val="00522596"/>
    <w:rsid w:val="00523147"/>
    <w:rsid w:val="00523622"/>
    <w:rsid w:val="005242FC"/>
    <w:rsid w:val="0052450D"/>
    <w:rsid w:val="00524877"/>
    <w:rsid w:val="00524F14"/>
    <w:rsid w:val="005253CB"/>
    <w:rsid w:val="005256C1"/>
    <w:rsid w:val="00525CBD"/>
    <w:rsid w:val="005263CE"/>
    <w:rsid w:val="005265B6"/>
    <w:rsid w:val="005269A9"/>
    <w:rsid w:val="00527D7B"/>
    <w:rsid w:val="00527E6D"/>
    <w:rsid w:val="00527ED7"/>
    <w:rsid w:val="005302A7"/>
    <w:rsid w:val="005302F4"/>
    <w:rsid w:val="00530352"/>
    <w:rsid w:val="005313A1"/>
    <w:rsid w:val="005329F1"/>
    <w:rsid w:val="00533070"/>
    <w:rsid w:val="00533205"/>
    <w:rsid w:val="005338EA"/>
    <w:rsid w:val="00533A87"/>
    <w:rsid w:val="00533E9C"/>
    <w:rsid w:val="005344BE"/>
    <w:rsid w:val="00534A1B"/>
    <w:rsid w:val="00536121"/>
    <w:rsid w:val="005361CD"/>
    <w:rsid w:val="005365A7"/>
    <w:rsid w:val="00537920"/>
    <w:rsid w:val="005403E4"/>
    <w:rsid w:val="005407A8"/>
    <w:rsid w:val="0054147E"/>
    <w:rsid w:val="005426E0"/>
    <w:rsid w:val="005437DA"/>
    <w:rsid w:val="00543D21"/>
    <w:rsid w:val="00543DC1"/>
    <w:rsid w:val="00543DEF"/>
    <w:rsid w:val="00543E6C"/>
    <w:rsid w:val="00544535"/>
    <w:rsid w:val="0054453D"/>
    <w:rsid w:val="005445AC"/>
    <w:rsid w:val="0054471C"/>
    <w:rsid w:val="005447CA"/>
    <w:rsid w:val="0054493B"/>
    <w:rsid w:val="00544B8F"/>
    <w:rsid w:val="00544DBD"/>
    <w:rsid w:val="005456AF"/>
    <w:rsid w:val="00545B26"/>
    <w:rsid w:val="005468FA"/>
    <w:rsid w:val="00547036"/>
    <w:rsid w:val="005474B3"/>
    <w:rsid w:val="00547C3E"/>
    <w:rsid w:val="00550017"/>
    <w:rsid w:val="00550247"/>
    <w:rsid w:val="005505D9"/>
    <w:rsid w:val="00550A9F"/>
    <w:rsid w:val="00550C00"/>
    <w:rsid w:val="00551AEB"/>
    <w:rsid w:val="00551B34"/>
    <w:rsid w:val="00551C1F"/>
    <w:rsid w:val="00551D8E"/>
    <w:rsid w:val="00552295"/>
    <w:rsid w:val="005527C3"/>
    <w:rsid w:val="00552854"/>
    <w:rsid w:val="00552977"/>
    <w:rsid w:val="005530DA"/>
    <w:rsid w:val="005536B6"/>
    <w:rsid w:val="0055451E"/>
    <w:rsid w:val="00554D1B"/>
    <w:rsid w:val="00555536"/>
    <w:rsid w:val="00555594"/>
    <w:rsid w:val="00555897"/>
    <w:rsid w:val="00555F39"/>
    <w:rsid w:val="005569E8"/>
    <w:rsid w:val="00556D8D"/>
    <w:rsid w:val="00557221"/>
    <w:rsid w:val="00557782"/>
    <w:rsid w:val="0055778D"/>
    <w:rsid w:val="005579A4"/>
    <w:rsid w:val="005579B6"/>
    <w:rsid w:val="00560673"/>
    <w:rsid w:val="00560992"/>
    <w:rsid w:val="005617A2"/>
    <w:rsid w:val="00561DAC"/>
    <w:rsid w:val="00561E31"/>
    <w:rsid w:val="00562201"/>
    <w:rsid w:val="00562289"/>
    <w:rsid w:val="00562865"/>
    <w:rsid w:val="00562C61"/>
    <w:rsid w:val="0056328F"/>
    <w:rsid w:val="0056329B"/>
    <w:rsid w:val="00563E0F"/>
    <w:rsid w:val="005641EF"/>
    <w:rsid w:val="00564D90"/>
    <w:rsid w:val="0056508C"/>
    <w:rsid w:val="005652AC"/>
    <w:rsid w:val="0056541C"/>
    <w:rsid w:val="0056740E"/>
    <w:rsid w:val="005678A1"/>
    <w:rsid w:val="00567BEE"/>
    <w:rsid w:val="005708AA"/>
    <w:rsid w:val="00570AB7"/>
    <w:rsid w:val="00570D86"/>
    <w:rsid w:val="00571281"/>
    <w:rsid w:val="0057181D"/>
    <w:rsid w:val="00571AC2"/>
    <w:rsid w:val="005721AF"/>
    <w:rsid w:val="00572315"/>
    <w:rsid w:val="0057268E"/>
    <w:rsid w:val="005727C4"/>
    <w:rsid w:val="005727D7"/>
    <w:rsid w:val="00572EF3"/>
    <w:rsid w:val="0057303A"/>
    <w:rsid w:val="00573AE9"/>
    <w:rsid w:val="00573DC1"/>
    <w:rsid w:val="0057412C"/>
    <w:rsid w:val="00574B27"/>
    <w:rsid w:val="005755E2"/>
    <w:rsid w:val="005761BC"/>
    <w:rsid w:val="00576865"/>
    <w:rsid w:val="00576929"/>
    <w:rsid w:val="00576FFA"/>
    <w:rsid w:val="005773B7"/>
    <w:rsid w:val="00577517"/>
    <w:rsid w:val="005778AA"/>
    <w:rsid w:val="00577B92"/>
    <w:rsid w:val="00577D00"/>
    <w:rsid w:val="00577DF7"/>
    <w:rsid w:val="00577E6B"/>
    <w:rsid w:val="00577EDB"/>
    <w:rsid w:val="00580707"/>
    <w:rsid w:val="005809AF"/>
    <w:rsid w:val="00580A76"/>
    <w:rsid w:val="00580C3A"/>
    <w:rsid w:val="00581B2A"/>
    <w:rsid w:val="00581F38"/>
    <w:rsid w:val="00582239"/>
    <w:rsid w:val="005839A3"/>
    <w:rsid w:val="00583F97"/>
    <w:rsid w:val="005841BE"/>
    <w:rsid w:val="00584C7E"/>
    <w:rsid w:val="005855BA"/>
    <w:rsid w:val="005858C6"/>
    <w:rsid w:val="005868BD"/>
    <w:rsid w:val="00586DB3"/>
    <w:rsid w:val="005872B7"/>
    <w:rsid w:val="00587333"/>
    <w:rsid w:val="00587D27"/>
    <w:rsid w:val="005900EC"/>
    <w:rsid w:val="00590491"/>
    <w:rsid w:val="005905D6"/>
    <w:rsid w:val="00590D27"/>
    <w:rsid w:val="00591A11"/>
    <w:rsid w:val="00592CAE"/>
    <w:rsid w:val="00592D04"/>
    <w:rsid w:val="00592FC4"/>
    <w:rsid w:val="005932A9"/>
    <w:rsid w:val="00593627"/>
    <w:rsid w:val="005936BD"/>
    <w:rsid w:val="005939C0"/>
    <w:rsid w:val="00593B24"/>
    <w:rsid w:val="0059477B"/>
    <w:rsid w:val="005948AD"/>
    <w:rsid w:val="005955FD"/>
    <w:rsid w:val="00595974"/>
    <w:rsid w:val="00596B7D"/>
    <w:rsid w:val="0059741A"/>
    <w:rsid w:val="00597864"/>
    <w:rsid w:val="00597FF5"/>
    <w:rsid w:val="005A00F7"/>
    <w:rsid w:val="005A0195"/>
    <w:rsid w:val="005A0891"/>
    <w:rsid w:val="005A0DB8"/>
    <w:rsid w:val="005A0FB1"/>
    <w:rsid w:val="005A13D9"/>
    <w:rsid w:val="005A19E4"/>
    <w:rsid w:val="005A1EB6"/>
    <w:rsid w:val="005A2205"/>
    <w:rsid w:val="005A22B6"/>
    <w:rsid w:val="005A2A25"/>
    <w:rsid w:val="005A2BBB"/>
    <w:rsid w:val="005A2EB7"/>
    <w:rsid w:val="005A3CBA"/>
    <w:rsid w:val="005A4749"/>
    <w:rsid w:val="005A4C1F"/>
    <w:rsid w:val="005A584B"/>
    <w:rsid w:val="005A6040"/>
    <w:rsid w:val="005A6C91"/>
    <w:rsid w:val="005A6E55"/>
    <w:rsid w:val="005A7820"/>
    <w:rsid w:val="005A7C4B"/>
    <w:rsid w:val="005B03E2"/>
    <w:rsid w:val="005B11CF"/>
    <w:rsid w:val="005B1B4C"/>
    <w:rsid w:val="005B242E"/>
    <w:rsid w:val="005B2BCD"/>
    <w:rsid w:val="005B38D5"/>
    <w:rsid w:val="005B3C51"/>
    <w:rsid w:val="005B3EF2"/>
    <w:rsid w:val="005B4753"/>
    <w:rsid w:val="005B489E"/>
    <w:rsid w:val="005B4B4F"/>
    <w:rsid w:val="005B4D50"/>
    <w:rsid w:val="005B53C9"/>
    <w:rsid w:val="005B595F"/>
    <w:rsid w:val="005B5D16"/>
    <w:rsid w:val="005B6360"/>
    <w:rsid w:val="005B640B"/>
    <w:rsid w:val="005B7854"/>
    <w:rsid w:val="005C0280"/>
    <w:rsid w:val="005C0622"/>
    <w:rsid w:val="005C0AD4"/>
    <w:rsid w:val="005C0ED3"/>
    <w:rsid w:val="005C0F36"/>
    <w:rsid w:val="005C234A"/>
    <w:rsid w:val="005C2AFB"/>
    <w:rsid w:val="005C33E6"/>
    <w:rsid w:val="005C3A95"/>
    <w:rsid w:val="005C3D3F"/>
    <w:rsid w:val="005C4248"/>
    <w:rsid w:val="005C49D2"/>
    <w:rsid w:val="005C4ECC"/>
    <w:rsid w:val="005C5521"/>
    <w:rsid w:val="005C583F"/>
    <w:rsid w:val="005C58BC"/>
    <w:rsid w:val="005C62A1"/>
    <w:rsid w:val="005C64F4"/>
    <w:rsid w:val="005C6595"/>
    <w:rsid w:val="005C68FE"/>
    <w:rsid w:val="005C7B5E"/>
    <w:rsid w:val="005C7F0A"/>
    <w:rsid w:val="005D05CE"/>
    <w:rsid w:val="005D1A54"/>
    <w:rsid w:val="005D1C74"/>
    <w:rsid w:val="005D1EF3"/>
    <w:rsid w:val="005D2467"/>
    <w:rsid w:val="005D2470"/>
    <w:rsid w:val="005D2484"/>
    <w:rsid w:val="005D2E08"/>
    <w:rsid w:val="005D2EB3"/>
    <w:rsid w:val="005D2FAE"/>
    <w:rsid w:val="005D31C0"/>
    <w:rsid w:val="005D37DB"/>
    <w:rsid w:val="005D436C"/>
    <w:rsid w:val="005D4B87"/>
    <w:rsid w:val="005D572F"/>
    <w:rsid w:val="005D5BC6"/>
    <w:rsid w:val="005D5F11"/>
    <w:rsid w:val="005D6A9A"/>
    <w:rsid w:val="005D6C60"/>
    <w:rsid w:val="005D71F3"/>
    <w:rsid w:val="005D72BF"/>
    <w:rsid w:val="005D7497"/>
    <w:rsid w:val="005D74EE"/>
    <w:rsid w:val="005D78BE"/>
    <w:rsid w:val="005E03B3"/>
    <w:rsid w:val="005E04C1"/>
    <w:rsid w:val="005E0A21"/>
    <w:rsid w:val="005E0AE4"/>
    <w:rsid w:val="005E0D91"/>
    <w:rsid w:val="005E118D"/>
    <w:rsid w:val="005E1322"/>
    <w:rsid w:val="005E19B1"/>
    <w:rsid w:val="005E21E0"/>
    <w:rsid w:val="005E2DFB"/>
    <w:rsid w:val="005E3075"/>
    <w:rsid w:val="005E3EFE"/>
    <w:rsid w:val="005E4064"/>
    <w:rsid w:val="005E44EA"/>
    <w:rsid w:val="005E4D60"/>
    <w:rsid w:val="005E574A"/>
    <w:rsid w:val="005E577F"/>
    <w:rsid w:val="005E59F2"/>
    <w:rsid w:val="005E628C"/>
    <w:rsid w:val="005E654B"/>
    <w:rsid w:val="005E65DE"/>
    <w:rsid w:val="005E665F"/>
    <w:rsid w:val="005E680A"/>
    <w:rsid w:val="005E6C0B"/>
    <w:rsid w:val="005E6CFC"/>
    <w:rsid w:val="005E6FD0"/>
    <w:rsid w:val="005E7199"/>
    <w:rsid w:val="005E772D"/>
    <w:rsid w:val="005E7BE4"/>
    <w:rsid w:val="005E7DD1"/>
    <w:rsid w:val="005F02E8"/>
    <w:rsid w:val="005F0CC2"/>
    <w:rsid w:val="005F0D32"/>
    <w:rsid w:val="005F15BE"/>
    <w:rsid w:val="005F1922"/>
    <w:rsid w:val="005F1E03"/>
    <w:rsid w:val="005F2355"/>
    <w:rsid w:val="005F245F"/>
    <w:rsid w:val="005F247A"/>
    <w:rsid w:val="005F2AC4"/>
    <w:rsid w:val="005F3839"/>
    <w:rsid w:val="005F4577"/>
    <w:rsid w:val="005F48A1"/>
    <w:rsid w:val="005F4C55"/>
    <w:rsid w:val="005F547F"/>
    <w:rsid w:val="005F5633"/>
    <w:rsid w:val="005F592F"/>
    <w:rsid w:val="005F667D"/>
    <w:rsid w:val="005F69D6"/>
    <w:rsid w:val="005F6C76"/>
    <w:rsid w:val="005F6FC7"/>
    <w:rsid w:val="005F709D"/>
    <w:rsid w:val="005F7633"/>
    <w:rsid w:val="006001DE"/>
    <w:rsid w:val="006002C9"/>
    <w:rsid w:val="00600504"/>
    <w:rsid w:val="00600573"/>
    <w:rsid w:val="006009FB"/>
    <w:rsid w:val="00600CCF"/>
    <w:rsid w:val="00601444"/>
    <w:rsid w:val="00601935"/>
    <w:rsid w:val="00602BCB"/>
    <w:rsid w:val="00602E62"/>
    <w:rsid w:val="00602E81"/>
    <w:rsid w:val="00603148"/>
    <w:rsid w:val="0060338B"/>
    <w:rsid w:val="00603E7C"/>
    <w:rsid w:val="006040C9"/>
    <w:rsid w:val="00606400"/>
    <w:rsid w:val="006067B9"/>
    <w:rsid w:val="00607166"/>
    <w:rsid w:val="00607692"/>
    <w:rsid w:val="00610B0C"/>
    <w:rsid w:val="00610C16"/>
    <w:rsid w:val="00610DA8"/>
    <w:rsid w:val="006117B5"/>
    <w:rsid w:val="006118DB"/>
    <w:rsid w:val="00611B3A"/>
    <w:rsid w:val="006121BD"/>
    <w:rsid w:val="00612278"/>
    <w:rsid w:val="006130D0"/>
    <w:rsid w:val="0061359A"/>
    <w:rsid w:val="00613743"/>
    <w:rsid w:val="00613848"/>
    <w:rsid w:val="00613A30"/>
    <w:rsid w:val="00613F87"/>
    <w:rsid w:val="00614C51"/>
    <w:rsid w:val="006150FD"/>
    <w:rsid w:val="006157AD"/>
    <w:rsid w:val="006159FB"/>
    <w:rsid w:val="00615A00"/>
    <w:rsid w:val="0061622C"/>
    <w:rsid w:val="00616786"/>
    <w:rsid w:val="006169DD"/>
    <w:rsid w:val="006173E5"/>
    <w:rsid w:val="006204A2"/>
    <w:rsid w:val="00620788"/>
    <w:rsid w:val="00620A84"/>
    <w:rsid w:val="006211FB"/>
    <w:rsid w:val="006215C3"/>
    <w:rsid w:val="00621798"/>
    <w:rsid w:val="00621DBE"/>
    <w:rsid w:val="00622447"/>
    <w:rsid w:val="00622BA4"/>
    <w:rsid w:val="00624A00"/>
    <w:rsid w:val="00624E48"/>
    <w:rsid w:val="006258E6"/>
    <w:rsid w:val="00625EB3"/>
    <w:rsid w:val="00625FC9"/>
    <w:rsid w:val="00626795"/>
    <w:rsid w:val="00626A03"/>
    <w:rsid w:val="00627052"/>
    <w:rsid w:val="0062724A"/>
    <w:rsid w:val="006273FE"/>
    <w:rsid w:val="006275A1"/>
    <w:rsid w:val="00627BD1"/>
    <w:rsid w:val="00627C0C"/>
    <w:rsid w:val="006301B0"/>
    <w:rsid w:val="0063062C"/>
    <w:rsid w:val="00630FAB"/>
    <w:rsid w:val="006311C5"/>
    <w:rsid w:val="006318D6"/>
    <w:rsid w:val="00631D2C"/>
    <w:rsid w:val="00631D70"/>
    <w:rsid w:val="006321DA"/>
    <w:rsid w:val="0063235E"/>
    <w:rsid w:val="006325E7"/>
    <w:rsid w:val="0063311E"/>
    <w:rsid w:val="0063354B"/>
    <w:rsid w:val="00633F07"/>
    <w:rsid w:val="00634564"/>
    <w:rsid w:val="006345A4"/>
    <w:rsid w:val="00634BA7"/>
    <w:rsid w:val="00634F11"/>
    <w:rsid w:val="00636031"/>
    <w:rsid w:val="006374BC"/>
    <w:rsid w:val="00637726"/>
    <w:rsid w:val="0063772B"/>
    <w:rsid w:val="00637C01"/>
    <w:rsid w:val="0064033C"/>
    <w:rsid w:val="006405FC"/>
    <w:rsid w:val="00640785"/>
    <w:rsid w:val="0064080C"/>
    <w:rsid w:val="0064141D"/>
    <w:rsid w:val="00641A29"/>
    <w:rsid w:val="006421B2"/>
    <w:rsid w:val="006429EF"/>
    <w:rsid w:val="00642CC9"/>
    <w:rsid w:val="0064349D"/>
    <w:rsid w:val="006448D5"/>
    <w:rsid w:val="00644E53"/>
    <w:rsid w:val="0064504D"/>
    <w:rsid w:val="00645396"/>
    <w:rsid w:val="00645511"/>
    <w:rsid w:val="00645C7E"/>
    <w:rsid w:val="006469B4"/>
    <w:rsid w:val="00647150"/>
    <w:rsid w:val="0064744D"/>
    <w:rsid w:val="00647710"/>
    <w:rsid w:val="00650081"/>
    <w:rsid w:val="00650945"/>
    <w:rsid w:val="0065119C"/>
    <w:rsid w:val="006512F2"/>
    <w:rsid w:val="00652040"/>
    <w:rsid w:val="00652AED"/>
    <w:rsid w:val="006531D8"/>
    <w:rsid w:val="0065338A"/>
    <w:rsid w:val="006538BC"/>
    <w:rsid w:val="006547AF"/>
    <w:rsid w:val="00654D0F"/>
    <w:rsid w:val="0065532A"/>
    <w:rsid w:val="00655F33"/>
    <w:rsid w:val="00657046"/>
    <w:rsid w:val="00657F39"/>
    <w:rsid w:val="00660B9C"/>
    <w:rsid w:val="00660FD1"/>
    <w:rsid w:val="0066119E"/>
    <w:rsid w:val="00661245"/>
    <w:rsid w:val="006614AE"/>
    <w:rsid w:val="00661644"/>
    <w:rsid w:val="006624CD"/>
    <w:rsid w:val="0066267D"/>
    <w:rsid w:val="00662A6F"/>
    <w:rsid w:val="00662C26"/>
    <w:rsid w:val="00662CA8"/>
    <w:rsid w:val="00662E59"/>
    <w:rsid w:val="006630B2"/>
    <w:rsid w:val="0066350D"/>
    <w:rsid w:val="006636F1"/>
    <w:rsid w:val="00663709"/>
    <w:rsid w:val="00664C2F"/>
    <w:rsid w:val="006651F6"/>
    <w:rsid w:val="00665758"/>
    <w:rsid w:val="00666374"/>
    <w:rsid w:val="006675B5"/>
    <w:rsid w:val="006676CC"/>
    <w:rsid w:val="0066784F"/>
    <w:rsid w:val="006678AF"/>
    <w:rsid w:val="00667AD8"/>
    <w:rsid w:val="00667E98"/>
    <w:rsid w:val="006704FA"/>
    <w:rsid w:val="00670682"/>
    <w:rsid w:val="00671218"/>
    <w:rsid w:val="00671E70"/>
    <w:rsid w:val="0067204E"/>
    <w:rsid w:val="006720F5"/>
    <w:rsid w:val="00674994"/>
    <w:rsid w:val="0067537C"/>
    <w:rsid w:val="0067538E"/>
    <w:rsid w:val="00675737"/>
    <w:rsid w:val="00676668"/>
    <w:rsid w:val="006767FC"/>
    <w:rsid w:val="00677186"/>
    <w:rsid w:val="006773A6"/>
    <w:rsid w:val="00677E0B"/>
    <w:rsid w:val="00677E84"/>
    <w:rsid w:val="00677EFA"/>
    <w:rsid w:val="00680B31"/>
    <w:rsid w:val="0068114D"/>
    <w:rsid w:val="006812CC"/>
    <w:rsid w:val="006813FC"/>
    <w:rsid w:val="0068174D"/>
    <w:rsid w:val="00681D18"/>
    <w:rsid w:val="006827E3"/>
    <w:rsid w:val="00682822"/>
    <w:rsid w:val="0068285F"/>
    <w:rsid w:val="0068309C"/>
    <w:rsid w:val="00683D9A"/>
    <w:rsid w:val="00684CF1"/>
    <w:rsid w:val="006856C0"/>
    <w:rsid w:val="006873E9"/>
    <w:rsid w:val="00687FC6"/>
    <w:rsid w:val="0069005E"/>
    <w:rsid w:val="006900C7"/>
    <w:rsid w:val="00690799"/>
    <w:rsid w:val="00690A93"/>
    <w:rsid w:val="00690F1B"/>
    <w:rsid w:val="006913F0"/>
    <w:rsid w:val="00692A76"/>
    <w:rsid w:val="00692E15"/>
    <w:rsid w:val="0069326E"/>
    <w:rsid w:val="006933B0"/>
    <w:rsid w:val="006937EC"/>
    <w:rsid w:val="0069383E"/>
    <w:rsid w:val="006941DF"/>
    <w:rsid w:val="00694B2E"/>
    <w:rsid w:val="00695E6B"/>
    <w:rsid w:val="00695E94"/>
    <w:rsid w:val="00695F02"/>
    <w:rsid w:val="006966BA"/>
    <w:rsid w:val="00696B28"/>
    <w:rsid w:val="00696C7A"/>
    <w:rsid w:val="00696F6B"/>
    <w:rsid w:val="00697094"/>
    <w:rsid w:val="006A03B8"/>
    <w:rsid w:val="006A05A4"/>
    <w:rsid w:val="006A0792"/>
    <w:rsid w:val="006A0D85"/>
    <w:rsid w:val="006A1545"/>
    <w:rsid w:val="006A18A5"/>
    <w:rsid w:val="006A1F9A"/>
    <w:rsid w:val="006A210A"/>
    <w:rsid w:val="006A32DF"/>
    <w:rsid w:val="006A3741"/>
    <w:rsid w:val="006A392A"/>
    <w:rsid w:val="006A3FC2"/>
    <w:rsid w:val="006A47D4"/>
    <w:rsid w:val="006A57B0"/>
    <w:rsid w:val="006A58D3"/>
    <w:rsid w:val="006A5D64"/>
    <w:rsid w:val="006A63B5"/>
    <w:rsid w:val="006A65DA"/>
    <w:rsid w:val="006A6818"/>
    <w:rsid w:val="006A688B"/>
    <w:rsid w:val="006A71E1"/>
    <w:rsid w:val="006B009E"/>
    <w:rsid w:val="006B0A68"/>
    <w:rsid w:val="006B0BFC"/>
    <w:rsid w:val="006B0FFC"/>
    <w:rsid w:val="006B14E4"/>
    <w:rsid w:val="006B1F5A"/>
    <w:rsid w:val="006B1F84"/>
    <w:rsid w:val="006B1FC8"/>
    <w:rsid w:val="006B211E"/>
    <w:rsid w:val="006B2307"/>
    <w:rsid w:val="006B25CC"/>
    <w:rsid w:val="006B28B3"/>
    <w:rsid w:val="006B3414"/>
    <w:rsid w:val="006B3457"/>
    <w:rsid w:val="006B3458"/>
    <w:rsid w:val="006B3803"/>
    <w:rsid w:val="006B389B"/>
    <w:rsid w:val="006B3BD2"/>
    <w:rsid w:val="006B3F43"/>
    <w:rsid w:val="006B4064"/>
    <w:rsid w:val="006B4AA9"/>
    <w:rsid w:val="006B4B93"/>
    <w:rsid w:val="006B4E96"/>
    <w:rsid w:val="006B643D"/>
    <w:rsid w:val="006B6936"/>
    <w:rsid w:val="006B7101"/>
    <w:rsid w:val="006B788F"/>
    <w:rsid w:val="006B78CB"/>
    <w:rsid w:val="006B79E5"/>
    <w:rsid w:val="006B7DC5"/>
    <w:rsid w:val="006B7EC9"/>
    <w:rsid w:val="006C08FC"/>
    <w:rsid w:val="006C0E52"/>
    <w:rsid w:val="006C203D"/>
    <w:rsid w:val="006C2103"/>
    <w:rsid w:val="006C2260"/>
    <w:rsid w:val="006C22C0"/>
    <w:rsid w:val="006C2652"/>
    <w:rsid w:val="006C290D"/>
    <w:rsid w:val="006C2B86"/>
    <w:rsid w:val="006C2C7C"/>
    <w:rsid w:val="006C2D16"/>
    <w:rsid w:val="006C2F4A"/>
    <w:rsid w:val="006C3884"/>
    <w:rsid w:val="006C6DAF"/>
    <w:rsid w:val="006C6DE7"/>
    <w:rsid w:val="006C7093"/>
    <w:rsid w:val="006C71BD"/>
    <w:rsid w:val="006D03FA"/>
    <w:rsid w:val="006D040D"/>
    <w:rsid w:val="006D083E"/>
    <w:rsid w:val="006D0B0C"/>
    <w:rsid w:val="006D0C20"/>
    <w:rsid w:val="006D1309"/>
    <w:rsid w:val="006D14EC"/>
    <w:rsid w:val="006D18DA"/>
    <w:rsid w:val="006D211E"/>
    <w:rsid w:val="006D29FA"/>
    <w:rsid w:val="006D3047"/>
    <w:rsid w:val="006D3EB3"/>
    <w:rsid w:val="006D445E"/>
    <w:rsid w:val="006D4461"/>
    <w:rsid w:val="006D4845"/>
    <w:rsid w:val="006D4C6A"/>
    <w:rsid w:val="006D52F0"/>
    <w:rsid w:val="006D5384"/>
    <w:rsid w:val="006D650F"/>
    <w:rsid w:val="006D6834"/>
    <w:rsid w:val="006D6CDC"/>
    <w:rsid w:val="006D721C"/>
    <w:rsid w:val="006D7B29"/>
    <w:rsid w:val="006D7B3E"/>
    <w:rsid w:val="006D7BB3"/>
    <w:rsid w:val="006E029F"/>
    <w:rsid w:val="006E0EC5"/>
    <w:rsid w:val="006E10D2"/>
    <w:rsid w:val="006E1840"/>
    <w:rsid w:val="006E1975"/>
    <w:rsid w:val="006E2456"/>
    <w:rsid w:val="006E2C3E"/>
    <w:rsid w:val="006E2FEF"/>
    <w:rsid w:val="006E328D"/>
    <w:rsid w:val="006E331B"/>
    <w:rsid w:val="006E33F7"/>
    <w:rsid w:val="006E3A43"/>
    <w:rsid w:val="006E3BB1"/>
    <w:rsid w:val="006E3EE6"/>
    <w:rsid w:val="006E3F92"/>
    <w:rsid w:val="006E4360"/>
    <w:rsid w:val="006E44C7"/>
    <w:rsid w:val="006E4D5A"/>
    <w:rsid w:val="006E4ECD"/>
    <w:rsid w:val="006E4F88"/>
    <w:rsid w:val="006E5A71"/>
    <w:rsid w:val="006E5FF2"/>
    <w:rsid w:val="006E60D7"/>
    <w:rsid w:val="006E6377"/>
    <w:rsid w:val="006E6D75"/>
    <w:rsid w:val="006E70C4"/>
    <w:rsid w:val="006E7114"/>
    <w:rsid w:val="006E7B16"/>
    <w:rsid w:val="006E7E6B"/>
    <w:rsid w:val="006E7FBE"/>
    <w:rsid w:val="006F03ED"/>
    <w:rsid w:val="006F0C65"/>
    <w:rsid w:val="006F0E22"/>
    <w:rsid w:val="006F0FA7"/>
    <w:rsid w:val="006F174E"/>
    <w:rsid w:val="006F1F53"/>
    <w:rsid w:val="006F2237"/>
    <w:rsid w:val="006F2389"/>
    <w:rsid w:val="006F3015"/>
    <w:rsid w:val="006F318A"/>
    <w:rsid w:val="006F33F8"/>
    <w:rsid w:val="006F3444"/>
    <w:rsid w:val="006F3C90"/>
    <w:rsid w:val="006F44D0"/>
    <w:rsid w:val="006F47F6"/>
    <w:rsid w:val="006F49BC"/>
    <w:rsid w:val="006F49D5"/>
    <w:rsid w:val="006F49FB"/>
    <w:rsid w:val="006F4A8E"/>
    <w:rsid w:val="006F563E"/>
    <w:rsid w:val="006F5719"/>
    <w:rsid w:val="006F5AD0"/>
    <w:rsid w:val="006F60D1"/>
    <w:rsid w:val="006F6309"/>
    <w:rsid w:val="006F68E6"/>
    <w:rsid w:val="006F6BBC"/>
    <w:rsid w:val="006F6E09"/>
    <w:rsid w:val="006F78D1"/>
    <w:rsid w:val="006F7CF7"/>
    <w:rsid w:val="006F7DA2"/>
    <w:rsid w:val="006F7DEB"/>
    <w:rsid w:val="006F7FFE"/>
    <w:rsid w:val="00700E2C"/>
    <w:rsid w:val="00700F81"/>
    <w:rsid w:val="00700F9E"/>
    <w:rsid w:val="00701766"/>
    <w:rsid w:val="007022A6"/>
    <w:rsid w:val="00702CAD"/>
    <w:rsid w:val="00703809"/>
    <w:rsid w:val="007039D6"/>
    <w:rsid w:val="007039ED"/>
    <w:rsid w:val="00703AD4"/>
    <w:rsid w:val="00703F3E"/>
    <w:rsid w:val="00703FA5"/>
    <w:rsid w:val="00704DF2"/>
    <w:rsid w:val="00705283"/>
    <w:rsid w:val="00705EE9"/>
    <w:rsid w:val="00705FF6"/>
    <w:rsid w:val="007066A3"/>
    <w:rsid w:val="00706B63"/>
    <w:rsid w:val="00706D94"/>
    <w:rsid w:val="00706F07"/>
    <w:rsid w:val="0070768E"/>
    <w:rsid w:val="00707B05"/>
    <w:rsid w:val="00707EA1"/>
    <w:rsid w:val="007112CE"/>
    <w:rsid w:val="00711B20"/>
    <w:rsid w:val="00711E82"/>
    <w:rsid w:val="007124A8"/>
    <w:rsid w:val="00712DBF"/>
    <w:rsid w:val="0071333C"/>
    <w:rsid w:val="007134E4"/>
    <w:rsid w:val="00713C19"/>
    <w:rsid w:val="00713EE4"/>
    <w:rsid w:val="00714132"/>
    <w:rsid w:val="007145C1"/>
    <w:rsid w:val="00714E38"/>
    <w:rsid w:val="00715301"/>
    <w:rsid w:val="007158B9"/>
    <w:rsid w:val="00715B67"/>
    <w:rsid w:val="00715D22"/>
    <w:rsid w:val="00715EB7"/>
    <w:rsid w:val="00716B43"/>
    <w:rsid w:val="00716EB5"/>
    <w:rsid w:val="00716F57"/>
    <w:rsid w:val="00720D48"/>
    <w:rsid w:val="0072106D"/>
    <w:rsid w:val="00721B3C"/>
    <w:rsid w:val="00722413"/>
    <w:rsid w:val="007225C0"/>
    <w:rsid w:val="00722A1D"/>
    <w:rsid w:val="00722AD9"/>
    <w:rsid w:val="00723096"/>
    <w:rsid w:val="0072327E"/>
    <w:rsid w:val="00723A14"/>
    <w:rsid w:val="00723B46"/>
    <w:rsid w:val="00723DC0"/>
    <w:rsid w:val="007243DA"/>
    <w:rsid w:val="00724A2A"/>
    <w:rsid w:val="00724BA9"/>
    <w:rsid w:val="00724CFB"/>
    <w:rsid w:val="00725AFC"/>
    <w:rsid w:val="00726462"/>
    <w:rsid w:val="007264AE"/>
    <w:rsid w:val="00726694"/>
    <w:rsid w:val="00726A73"/>
    <w:rsid w:val="00726AA7"/>
    <w:rsid w:val="00726DDA"/>
    <w:rsid w:val="00727064"/>
    <w:rsid w:val="0072759C"/>
    <w:rsid w:val="00727C76"/>
    <w:rsid w:val="0073009D"/>
    <w:rsid w:val="00730963"/>
    <w:rsid w:val="00730A6A"/>
    <w:rsid w:val="0073162D"/>
    <w:rsid w:val="00731B2B"/>
    <w:rsid w:val="007321FD"/>
    <w:rsid w:val="00732547"/>
    <w:rsid w:val="00733957"/>
    <w:rsid w:val="00733CE7"/>
    <w:rsid w:val="007341AD"/>
    <w:rsid w:val="0073422F"/>
    <w:rsid w:val="0073476A"/>
    <w:rsid w:val="00734DE9"/>
    <w:rsid w:val="007356B1"/>
    <w:rsid w:val="00735C4E"/>
    <w:rsid w:val="007365A4"/>
    <w:rsid w:val="00736837"/>
    <w:rsid w:val="00736880"/>
    <w:rsid w:val="00736936"/>
    <w:rsid w:val="00736DE8"/>
    <w:rsid w:val="007373AA"/>
    <w:rsid w:val="00737940"/>
    <w:rsid w:val="00737E56"/>
    <w:rsid w:val="00737ED5"/>
    <w:rsid w:val="00740191"/>
    <w:rsid w:val="00740255"/>
    <w:rsid w:val="007408B3"/>
    <w:rsid w:val="00740C50"/>
    <w:rsid w:val="00741026"/>
    <w:rsid w:val="00741FAF"/>
    <w:rsid w:val="00742164"/>
    <w:rsid w:val="00742662"/>
    <w:rsid w:val="0074328C"/>
    <w:rsid w:val="00743745"/>
    <w:rsid w:val="00743BCE"/>
    <w:rsid w:val="00745304"/>
    <w:rsid w:val="007463FE"/>
    <w:rsid w:val="00746442"/>
    <w:rsid w:val="00747B01"/>
    <w:rsid w:val="00747BA6"/>
    <w:rsid w:val="007500DB"/>
    <w:rsid w:val="007501A2"/>
    <w:rsid w:val="00750A01"/>
    <w:rsid w:val="007512A8"/>
    <w:rsid w:val="00751793"/>
    <w:rsid w:val="00751999"/>
    <w:rsid w:val="00751C95"/>
    <w:rsid w:val="00752406"/>
    <w:rsid w:val="007533D8"/>
    <w:rsid w:val="0075395B"/>
    <w:rsid w:val="0075399D"/>
    <w:rsid w:val="00753D42"/>
    <w:rsid w:val="0075413A"/>
    <w:rsid w:val="007544D2"/>
    <w:rsid w:val="00754873"/>
    <w:rsid w:val="00754CAF"/>
    <w:rsid w:val="007551AA"/>
    <w:rsid w:val="00755E63"/>
    <w:rsid w:val="00756103"/>
    <w:rsid w:val="0075640E"/>
    <w:rsid w:val="00756A2D"/>
    <w:rsid w:val="00756BB6"/>
    <w:rsid w:val="00756C46"/>
    <w:rsid w:val="00756E0F"/>
    <w:rsid w:val="00757353"/>
    <w:rsid w:val="007577C8"/>
    <w:rsid w:val="007578AF"/>
    <w:rsid w:val="00757C29"/>
    <w:rsid w:val="00757E8B"/>
    <w:rsid w:val="00761174"/>
    <w:rsid w:val="0076172A"/>
    <w:rsid w:val="00761D96"/>
    <w:rsid w:val="00762092"/>
    <w:rsid w:val="00762497"/>
    <w:rsid w:val="00762D85"/>
    <w:rsid w:val="00763689"/>
    <w:rsid w:val="00763C76"/>
    <w:rsid w:val="0076429A"/>
    <w:rsid w:val="0076431D"/>
    <w:rsid w:val="0076452E"/>
    <w:rsid w:val="00764E7D"/>
    <w:rsid w:val="00764F6A"/>
    <w:rsid w:val="00765CCC"/>
    <w:rsid w:val="00766964"/>
    <w:rsid w:val="007673B6"/>
    <w:rsid w:val="00767EFD"/>
    <w:rsid w:val="00770231"/>
    <w:rsid w:val="0077038E"/>
    <w:rsid w:val="00770580"/>
    <w:rsid w:val="00770A08"/>
    <w:rsid w:val="00771035"/>
    <w:rsid w:val="0077108C"/>
    <w:rsid w:val="00771219"/>
    <w:rsid w:val="00771B49"/>
    <w:rsid w:val="007721FB"/>
    <w:rsid w:val="0077223D"/>
    <w:rsid w:val="007729C4"/>
    <w:rsid w:val="00772ACD"/>
    <w:rsid w:val="00772D97"/>
    <w:rsid w:val="00772EC5"/>
    <w:rsid w:val="00773AEE"/>
    <w:rsid w:val="00773D1D"/>
    <w:rsid w:val="0077404E"/>
    <w:rsid w:val="007743C0"/>
    <w:rsid w:val="007748AC"/>
    <w:rsid w:val="00774CFB"/>
    <w:rsid w:val="00775425"/>
    <w:rsid w:val="007757DF"/>
    <w:rsid w:val="007761FD"/>
    <w:rsid w:val="0077647A"/>
    <w:rsid w:val="007769F1"/>
    <w:rsid w:val="00776F66"/>
    <w:rsid w:val="00776FAC"/>
    <w:rsid w:val="00777336"/>
    <w:rsid w:val="00780443"/>
    <w:rsid w:val="007813CC"/>
    <w:rsid w:val="00781611"/>
    <w:rsid w:val="0078180F"/>
    <w:rsid w:val="00781F57"/>
    <w:rsid w:val="007829EE"/>
    <w:rsid w:val="00783001"/>
    <w:rsid w:val="0078348B"/>
    <w:rsid w:val="0078353A"/>
    <w:rsid w:val="00783AAB"/>
    <w:rsid w:val="00783C16"/>
    <w:rsid w:val="007841B5"/>
    <w:rsid w:val="0078482C"/>
    <w:rsid w:val="00784A32"/>
    <w:rsid w:val="00785DFD"/>
    <w:rsid w:val="00785EBA"/>
    <w:rsid w:val="0078606C"/>
    <w:rsid w:val="0078624D"/>
    <w:rsid w:val="00786385"/>
    <w:rsid w:val="0078707D"/>
    <w:rsid w:val="007876C5"/>
    <w:rsid w:val="0078785C"/>
    <w:rsid w:val="00787DEF"/>
    <w:rsid w:val="007901B8"/>
    <w:rsid w:val="00790D8B"/>
    <w:rsid w:val="00791B53"/>
    <w:rsid w:val="00791DD1"/>
    <w:rsid w:val="00792034"/>
    <w:rsid w:val="007926D6"/>
    <w:rsid w:val="00792A98"/>
    <w:rsid w:val="00792AA0"/>
    <w:rsid w:val="00793245"/>
    <w:rsid w:val="00793D4A"/>
    <w:rsid w:val="007947F5"/>
    <w:rsid w:val="00794880"/>
    <w:rsid w:val="0079506F"/>
    <w:rsid w:val="0079521A"/>
    <w:rsid w:val="007959D5"/>
    <w:rsid w:val="007959F5"/>
    <w:rsid w:val="00795BED"/>
    <w:rsid w:val="00795E1A"/>
    <w:rsid w:val="00795E91"/>
    <w:rsid w:val="00796B09"/>
    <w:rsid w:val="00796DD5"/>
    <w:rsid w:val="00796F9A"/>
    <w:rsid w:val="00797265"/>
    <w:rsid w:val="00797BE3"/>
    <w:rsid w:val="00797C42"/>
    <w:rsid w:val="00797FD8"/>
    <w:rsid w:val="007A02BC"/>
    <w:rsid w:val="007A0B8F"/>
    <w:rsid w:val="007A0C28"/>
    <w:rsid w:val="007A0CCD"/>
    <w:rsid w:val="007A0D1A"/>
    <w:rsid w:val="007A0DE4"/>
    <w:rsid w:val="007A137D"/>
    <w:rsid w:val="007A19E3"/>
    <w:rsid w:val="007A1B43"/>
    <w:rsid w:val="007A1F3A"/>
    <w:rsid w:val="007A21D2"/>
    <w:rsid w:val="007A2416"/>
    <w:rsid w:val="007A2ECD"/>
    <w:rsid w:val="007A4071"/>
    <w:rsid w:val="007A443C"/>
    <w:rsid w:val="007A4793"/>
    <w:rsid w:val="007A47A0"/>
    <w:rsid w:val="007A4A13"/>
    <w:rsid w:val="007A4B46"/>
    <w:rsid w:val="007A4EE4"/>
    <w:rsid w:val="007A5412"/>
    <w:rsid w:val="007A56B1"/>
    <w:rsid w:val="007A581C"/>
    <w:rsid w:val="007A587E"/>
    <w:rsid w:val="007A58F1"/>
    <w:rsid w:val="007A59E3"/>
    <w:rsid w:val="007A62F9"/>
    <w:rsid w:val="007A67F3"/>
    <w:rsid w:val="007A6DF3"/>
    <w:rsid w:val="007A7692"/>
    <w:rsid w:val="007A7B6E"/>
    <w:rsid w:val="007A7EEC"/>
    <w:rsid w:val="007B06AD"/>
    <w:rsid w:val="007B15DB"/>
    <w:rsid w:val="007B2AB7"/>
    <w:rsid w:val="007B2C83"/>
    <w:rsid w:val="007B308B"/>
    <w:rsid w:val="007B3831"/>
    <w:rsid w:val="007B3D98"/>
    <w:rsid w:val="007B496B"/>
    <w:rsid w:val="007B4EBE"/>
    <w:rsid w:val="007B526A"/>
    <w:rsid w:val="007B557A"/>
    <w:rsid w:val="007B559E"/>
    <w:rsid w:val="007B57B6"/>
    <w:rsid w:val="007B57C4"/>
    <w:rsid w:val="007B5EE7"/>
    <w:rsid w:val="007B63B4"/>
    <w:rsid w:val="007B6C07"/>
    <w:rsid w:val="007B7091"/>
    <w:rsid w:val="007B735D"/>
    <w:rsid w:val="007B75B3"/>
    <w:rsid w:val="007B75FC"/>
    <w:rsid w:val="007C01B7"/>
    <w:rsid w:val="007C0B38"/>
    <w:rsid w:val="007C0C64"/>
    <w:rsid w:val="007C1187"/>
    <w:rsid w:val="007C1CBC"/>
    <w:rsid w:val="007C2278"/>
    <w:rsid w:val="007C23BC"/>
    <w:rsid w:val="007C23D0"/>
    <w:rsid w:val="007C243C"/>
    <w:rsid w:val="007C2498"/>
    <w:rsid w:val="007C33A4"/>
    <w:rsid w:val="007C3AE4"/>
    <w:rsid w:val="007C3B42"/>
    <w:rsid w:val="007C3CA4"/>
    <w:rsid w:val="007C3FA6"/>
    <w:rsid w:val="007C47B8"/>
    <w:rsid w:val="007C4E60"/>
    <w:rsid w:val="007C5193"/>
    <w:rsid w:val="007C5690"/>
    <w:rsid w:val="007C56B6"/>
    <w:rsid w:val="007C6179"/>
    <w:rsid w:val="007C620E"/>
    <w:rsid w:val="007C62B5"/>
    <w:rsid w:val="007C6469"/>
    <w:rsid w:val="007C6A86"/>
    <w:rsid w:val="007D0925"/>
    <w:rsid w:val="007D2724"/>
    <w:rsid w:val="007D2922"/>
    <w:rsid w:val="007D2934"/>
    <w:rsid w:val="007D2B8D"/>
    <w:rsid w:val="007D2C67"/>
    <w:rsid w:val="007D2C75"/>
    <w:rsid w:val="007D3179"/>
    <w:rsid w:val="007D387F"/>
    <w:rsid w:val="007D3A5A"/>
    <w:rsid w:val="007D3A63"/>
    <w:rsid w:val="007D3A96"/>
    <w:rsid w:val="007D3B57"/>
    <w:rsid w:val="007D3CB1"/>
    <w:rsid w:val="007D3DC5"/>
    <w:rsid w:val="007D4115"/>
    <w:rsid w:val="007D420E"/>
    <w:rsid w:val="007D46FD"/>
    <w:rsid w:val="007D4E06"/>
    <w:rsid w:val="007D4F0F"/>
    <w:rsid w:val="007D5A84"/>
    <w:rsid w:val="007D676C"/>
    <w:rsid w:val="007E09BD"/>
    <w:rsid w:val="007E1322"/>
    <w:rsid w:val="007E16B6"/>
    <w:rsid w:val="007E17E4"/>
    <w:rsid w:val="007E3787"/>
    <w:rsid w:val="007E440F"/>
    <w:rsid w:val="007E4AD8"/>
    <w:rsid w:val="007E5E91"/>
    <w:rsid w:val="007E5F11"/>
    <w:rsid w:val="007E6180"/>
    <w:rsid w:val="007E66EF"/>
    <w:rsid w:val="007E69A2"/>
    <w:rsid w:val="007E6B69"/>
    <w:rsid w:val="007E6E92"/>
    <w:rsid w:val="007E70C5"/>
    <w:rsid w:val="007E784F"/>
    <w:rsid w:val="007E7E03"/>
    <w:rsid w:val="007F026C"/>
    <w:rsid w:val="007F034C"/>
    <w:rsid w:val="007F0B40"/>
    <w:rsid w:val="007F0E62"/>
    <w:rsid w:val="007F10A0"/>
    <w:rsid w:val="007F14BF"/>
    <w:rsid w:val="007F1B1F"/>
    <w:rsid w:val="007F1D3F"/>
    <w:rsid w:val="007F2169"/>
    <w:rsid w:val="007F27DC"/>
    <w:rsid w:val="007F2BBE"/>
    <w:rsid w:val="007F2ED1"/>
    <w:rsid w:val="007F30DB"/>
    <w:rsid w:val="007F44A9"/>
    <w:rsid w:val="007F44FD"/>
    <w:rsid w:val="007F464E"/>
    <w:rsid w:val="007F4849"/>
    <w:rsid w:val="007F495D"/>
    <w:rsid w:val="007F4A98"/>
    <w:rsid w:val="007F547A"/>
    <w:rsid w:val="007F6611"/>
    <w:rsid w:val="007F6B3D"/>
    <w:rsid w:val="007F6D96"/>
    <w:rsid w:val="007F7659"/>
    <w:rsid w:val="007F7A2B"/>
    <w:rsid w:val="00800C61"/>
    <w:rsid w:val="00801952"/>
    <w:rsid w:val="00801A56"/>
    <w:rsid w:val="00801F98"/>
    <w:rsid w:val="008025A2"/>
    <w:rsid w:val="00802B35"/>
    <w:rsid w:val="00803D34"/>
    <w:rsid w:val="008041F9"/>
    <w:rsid w:val="00804490"/>
    <w:rsid w:val="0080490A"/>
    <w:rsid w:val="00804F7C"/>
    <w:rsid w:val="00805209"/>
    <w:rsid w:val="008061E3"/>
    <w:rsid w:val="008065A5"/>
    <w:rsid w:val="00806697"/>
    <w:rsid w:val="008069FA"/>
    <w:rsid w:val="00806EF7"/>
    <w:rsid w:val="0080706B"/>
    <w:rsid w:val="00807748"/>
    <w:rsid w:val="00807A11"/>
    <w:rsid w:val="0081015D"/>
    <w:rsid w:val="00810848"/>
    <w:rsid w:val="008109E1"/>
    <w:rsid w:val="008113F0"/>
    <w:rsid w:val="0081181A"/>
    <w:rsid w:val="00812077"/>
    <w:rsid w:val="00812431"/>
    <w:rsid w:val="0081281D"/>
    <w:rsid w:val="00812AF6"/>
    <w:rsid w:val="00812FE4"/>
    <w:rsid w:val="00813658"/>
    <w:rsid w:val="008147DA"/>
    <w:rsid w:val="0081546D"/>
    <w:rsid w:val="008156FB"/>
    <w:rsid w:val="00815C81"/>
    <w:rsid w:val="00816632"/>
    <w:rsid w:val="008168A3"/>
    <w:rsid w:val="00816E23"/>
    <w:rsid w:val="00817CF5"/>
    <w:rsid w:val="00820E41"/>
    <w:rsid w:val="008216BA"/>
    <w:rsid w:val="0082182C"/>
    <w:rsid w:val="00821AC8"/>
    <w:rsid w:val="00821ACE"/>
    <w:rsid w:val="00822121"/>
    <w:rsid w:val="00822988"/>
    <w:rsid w:val="00822BA0"/>
    <w:rsid w:val="00822BCE"/>
    <w:rsid w:val="00823BB1"/>
    <w:rsid w:val="00823D33"/>
    <w:rsid w:val="008249EA"/>
    <w:rsid w:val="00824FEA"/>
    <w:rsid w:val="00825F6B"/>
    <w:rsid w:val="00826117"/>
    <w:rsid w:val="008266C5"/>
    <w:rsid w:val="0082670B"/>
    <w:rsid w:val="008276E9"/>
    <w:rsid w:val="008276FA"/>
    <w:rsid w:val="008278BF"/>
    <w:rsid w:val="00827C30"/>
    <w:rsid w:val="00827ECC"/>
    <w:rsid w:val="008307E8"/>
    <w:rsid w:val="008307FE"/>
    <w:rsid w:val="00830FDD"/>
    <w:rsid w:val="008310A9"/>
    <w:rsid w:val="008317C3"/>
    <w:rsid w:val="0083196A"/>
    <w:rsid w:val="00831D9E"/>
    <w:rsid w:val="008329D6"/>
    <w:rsid w:val="00833219"/>
    <w:rsid w:val="00833572"/>
    <w:rsid w:val="0083388E"/>
    <w:rsid w:val="00833CDC"/>
    <w:rsid w:val="00834048"/>
    <w:rsid w:val="00834402"/>
    <w:rsid w:val="008344BE"/>
    <w:rsid w:val="0083458B"/>
    <w:rsid w:val="008348B9"/>
    <w:rsid w:val="008348C1"/>
    <w:rsid w:val="00835234"/>
    <w:rsid w:val="00835263"/>
    <w:rsid w:val="00835840"/>
    <w:rsid w:val="00835F57"/>
    <w:rsid w:val="008361BE"/>
    <w:rsid w:val="0083712B"/>
    <w:rsid w:val="0083738E"/>
    <w:rsid w:val="00840826"/>
    <w:rsid w:val="00840950"/>
    <w:rsid w:val="00840B4F"/>
    <w:rsid w:val="00841E6F"/>
    <w:rsid w:val="0084204E"/>
    <w:rsid w:val="0084262E"/>
    <w:rsid w:val="008427DE"/>
    <w:rsid w:val="00842AF6"/>
    <w:rsid w:val="00842C2C"/>
    <w:rsid w:val="0084327E"/>
    <w:rsid w:val="0084331C"/>
    <w:rsid w:val="00843450"/>
    <w:rsid w:val="008435B2"/>
    <w:rsid w:val="008439F0"/>
    <w:rsid w:val="00844015"/>
    <w:rsid w:val="008444C3"/>
    <w:rsid w:val="00844555"/>
    <w:rsid w:val="0084594D"/>
    <w:rsid w:val="00845BB6"/>
    <w:rsid w:val="0084655A"/>
    <w:rsid w:val="00846620"/>
    <w:rsid w:val="00846708"/>
    <w:rsid w:val="00846759"/>
    <w:rsid w:val="008469B8"/>
    <w:rsid w:val="00846A24"/>
    <w:rsid w:val="00846CB0"/>
    <w:rsid w:val="00846ECB"/>
    <w:rsid w:val="00847492"/>
    <w:rsid w:val="008474E5"/>
    <w:rsid w:val="0084757A"/>
    <w:rsid w:val="00847D04"/>
    <w:rsid w:val="00847EE3"/>
    <w:rsid w:val="008502F5"/>
    <w:rsid w:val="008510C4"/>
    <w:rsid w:val="00851979"/>
    <w:rsid w:val="00851F2B"/>
    <w:rsid w:val="0085227D"/>
    <w:rsid w:val="0085251D"/>
    <w:rsid w:val="0085265B"/>
    <w:rsid w:val="008531EC"/>
    <w:rsid w:val="00853515"/>
    <w:rsid w:val="00853BBD"/>
    <w:rsid w:val="00855563"/>
    <w:rsid w:val="0085566C"/>
    <w:rsid w:val="00855C92"/>
    <w:rsid w:val="008563BB"/>
    <w:rsid w:val="00856D02"/>
    <w:rsid w:val="00856FED"/>
    <w:rsid w:val="00857E91"/>
    <w:rsid w:val="00860508"/>
    <w:rsid w:val="008609C8"/>
    <w:rsid w:val="00861567"/>
    <w:rsid w:val="00861692"/>
    <w:rsid w:val="00861BBE"/>
    <w:rsid w:val="00861BE4"/>
    <w:rsid w:val="008622A4"/>
    <w:rsid w:val="00862926"/>
    <w:rsid w:val="008633F1"/>
    <w:rsid w:val="008637E4"/>
    <w:rsid w:val="008638C5"/>
    <w:rsid w:val="00863A12"/>
    <w:rsid w:val="008642AA"/>
    <w:rsid w:val="00864415"/>
    <w:rsid w:val="008644C8"/>
    <w:rsid w:val="008647B1"/>
    <w:rsid w:val="008649E5"/>
    <w:rsid w:val="00864A5A"/>
    <w:rsid w:val="008655B3"/>
    <w:rsid w:val="00865858"/>
    <w:rsid w:val="00866D71"/>
    <w:rsid w:val="00866FBB"/>
    <w:rsid w:val="00867661"/>
    <w:rsid w:val="00870110"/>
    <w:rsid w:val="008701B8"/>
    <w:rsid w:val="0087109E"/>
    <w:rsid w:val="00871582"/>
    <w:rsid w:val="0087264D"/>
    <w:rsid w:val="00872A5B"/>
    <w:rsid w:val="00872D14"/>
    <w:rsid w:val="00873009"/>
    <w:rsid w:val="0087312F"/>
    <w:rsid w:val="00873847"/>
    <w:rsid w:val="00873856"/>
    <w:rsid w:val="00874A17"/>
    <w:rsid w:val="00874C45"/>
    <w:rsid w:val="00875570"/>
    <w:rsid w:val="0087626D"/>
    <w:rsid w:val="00876FBA"/>
    <w:rsid w:val="008771E8"/>
    <w:rsid w:val="008775B9"/>
    <w:rsid w:val="00880172"/>
    <w:rsid w:val="00880253"/>
    <w:rsid w:val="00880276"/>
    <w:rsid w:val="008805F9"/>
    <w:rsid w:val="0088085A"/>
    <w:rsid w:val="008809D8"/>
    <w:rsid w:val="00880AC7"/>
    <w:rsid w:val="00881573"/>
    <w:rsid w:val="00881AFB"/>
    <w:rsid w:val="008822D4"/>
    <w:rsid w:val="00882634"/>
    <w:rsid w:val="00882AFC"/>
    <w:rsid w:val="00882EBE"/>
    <w:rsid w:val="0088328A"/>
    <w:rsid w:val="00883C68"/>
    <w:rsid w:val="0088476A"/>
    <w:rsid w:val="00884A14"/>
    <w:rsid w:val="00884A22"/>
    <w:rsid w:val="008853F0"/>
    <w:rsid w:val="00885B9E"/>
    <w:rsid w:val="00885D69"/>
    <w:rsid w:val="0088630F"/>
    <w:rsid w:val="00887F17"/>
    <w:rsid w:val="0089062C"/>
    <w:rsid w:val="00890B9E"/>
    <w:rsid w:val="0089119A"/>
    <w:rsid w:val="00891C35"/>
    <w:rsid w:val="00891D4B"/>
    <w:rsid w:val="00892041"/>
    <w:rsid w:val="0089209B"/>
    <w:rsid w:val="00892285"/>
    <w:rsid w:val="00892A24"/>
    <w:rsid w:val="00892B8C"/>
    <w:rsid w:val="008943D8"/>
    <w:rsid w:val="008948E5"/>
    <w:rsid w:val="00894924"/>
    <w:rsid w:val="008949FE"/>
    <w:rsid w:val="00894B63"/>
    <w:rsid w:val="00895476"/>
    <w:rsid w:val="008956F3"/>
    <w:rsid w:val="00895D49"/>
    <w:rsid w:val="00896524"/>
    <w:rsid w:val="0089666C"/>
    <w:rsid w:val="0089694B"/>
    <w:rsid w:val="00896BE4"/>
    <w:rsid w:val="00896BFE"/>
    <w:rsid w:val="00897051"/>
    <w:rsid w:val="008978C3"/>
    <w:rsid w:val="00897954"/>
    <w:rsid w:val="008A03A4"/>
    <w:rsid w:val="008A03F2"/>
    <w:rsid w:val="008A0E31"/>
    <w:rsid w:val="008A1F05"/>
    <w:rsid w:val="008A26D0"/>
    <w:rsid w:val="008A2C36"/>
    <w:rsid w:val="008A3782"/>
    <w:rsid w:val="008A40B1"/>
    <w:rsid w:val="008A4382"/>
    <w:rsid w:val="008A4E63"/>
    <w:rsid w:val="008A5920"/>
    <w:rsid w:val="008A5B7A"/>
    <w:rsid w:val="008A6305"/>
    <w:rsid w:val="008A643A"/>
    <w:rsid w:val="008A70B4"/>
    <w:rsid w:val="008A76A6"/>
    <w:rsid w:val="008A7847"/>
    <w:rsid w:val="008A7CA8"/>
    <w:rsid w:val="008B0BE2"/>
    <w:rsid w:val="008B0F6E"/>
    <w:rsid w:val="008B100E"/>
    <w:rsid w:val="008B28DE"/>
    <w:rsid w:val="008B2BB1"/>
    <w:rsid w:val="008B2BC2"/>
    <w:rsid w:val="008B31D7"/>
    <w:rsid w:val="008B32D3"/>
    <w:rsid w:val="008B348E"/>
    <w:rsid w:val="008B3C5D"/>
    <w:rsid w:val="008B3D7D"/>
    <w:rsid w:val="008B41FF"/>
    <w:rsid w:val="008B4C88"/>
    <w:rsid w:val="008B4DF2"/>
    <w:rsid w:val="008B545F"/>
    <w:rsid w:val="008B551E"/>
    <w:rsid w:val="008B57CA"/>
    <w:rsid w:val="008B67D9"/>
    <w:rsid w:val="008B6C25"/>
    <w:rsid w:val="008B73EF"/>
    <w:rsid w:val="008B7F6E"/>
    <w:rsid w:val="008C05F6"/>
    <w:rsid w:val="008C069F"/>
    <w:rsid w:val="008C0B1E"/>
    <w:rsid w:val="008C1260"/>
    <w:rsid w:val="008C1A04"/>
    <w:rsid w:val="008C1DE1"/>
    <w:rsid w:val="008C2559"/>
    <w:rsid w:val="008C35E5"/>
    <w:rsid w:val="008C3BF4"/>
    <w:rsid w:val="008C3CFA"/>
    <w:rsid w:val="008C3D4B"/>
    <w:rsid w:val="008C3D7C"/>
    <w:rsid w:val="008C4066"/>
    <w:rsid w:val="008C4247"/>
    <w:rsid w:val="008C44BA"/>
    <w:rsid w:val="008C4DB3"/>
    <w:rsid w:val="008C5033"/>
    <w:rsid w:val="008C5530"/>
    <w:rsid w:val="008C554E"/>
    <w:rsid w:val="008C5ABA"/>
    <w:rsid w:val="008C5B50"/>
    <w:rsid w:val="008C606A"/>
    <w:rsid w:val="008C6368"/>
    <w:rsid w:val="008C6F30"/>
    <w:rsid w:val="008C7619"/>
    <w:rsid w:val="008C7743"/>
    <w:rsid w:val="008D03AF"/>
    <w:rsid w:val="008D063D"/>
    <w:rsid w:val="008D0D6E"/>
    <w:rsid w:val="008D0EB2"/>
    <w:rsid w:val="008D10CB"/>
    <w:rsid w:val="008D1113"/>
    <w:rsid w:val="008D11D8"/>
    <w:rsid w:val="008D168B"/>
    <w:rsid w:val="008D1E6F"/>
    <w:rsid w:val="008D2364"/>
    <w:rsid w:val="008D252C"/>
    <w:rsid w:val="008D284D"/>
    <w:rsid w:val="008D299D"/>
    <w:rsid w:val="008D34E8"/>
    <w:rsid w:val="008D379A"/>
    <w:rsid w:val="008D3ED8"/>
    <w:rsid w:val="008D4AD5"/>
    <w:rsid w:val="008D4BA5"/>
    <w:rsid w:val="008D4C93"/>
    <w:rsid w:val="008D4EBF"/>
    <w:rsid w:val="008D4F03"/>
    <w:rsid w:val="008D5D04"/>
    <w:rsid w:val="008D5F76"/>
    <w:rsid w:val="008D6706"/>
    <w:rsid w:val="008D677A"/>
    <w:rsid w:val="008D6D22"/>
    <w:rsid w:val="008D7730"/>
    <w:rsid w:val="008D7B61"/>
    <w:rsid w:val="008D7D36"/>
    <w:rsid w:val="008E0366"/>
    <w:rsid w:val="008E0626"/>
    <w:rsid w:val="008E0D2A"/>
    <w:rsid w:val="008E15B9"/>
    <w:rsid w:val="008E1C0C"/>
    <w:rsid w:val="008E1E75"/>
    <w:rsid w:val="008E29DB"/>
    <w:rsid w:val="008E2D69"/>
    <w:rsid w:val="008E3A36"/>
    <w:rsid w:val="008E42CB"/>
    <w:rsid w:val="008E42E0"/>
    <w:rsid w:val="008E4BE0"/>
    <w:rsid w:val="008E5642"/>
    <w:rsid w:val="008E58AB"/>
    <w:rsid w:val="008E6924"/>
    <w:rsid w:val="008E6BDB"/>
    <w:rsid w:val="008E7403"/>
    <w:rsid w:val="008E78ED"/>
    <w:rsid w:val="008E7B5C"/>
    <w:rsid w:val="008F0763"/>
    <w:rsid w:val="008F089C"/>
    <w:rsid w:val="008F11D9"/>
    <w:rsid w:val="008F13B1"/>
    <w:rsid w:val="008F1AB8"/>
    <w:rsid w:val="008F211A"/>
    <w:rsid w:val="008F2941"/>
    <w:rsid w:val="008F2CF1"/>
    <w:rsid w:val="008F2D4D"/>
    <w:rsid w:val="008F2D51"/>
    <w:rsid w:val="008F35FB"/>
    <w:rsid w:val="008F404A"/>
    <w:rsid w:val="008F4312"/>
    <w:rsid w:val="008F5C6F"/>
    <w:rsid w:val="008F5DFC"/>
    <w:rsid w:val="008F5EC7"/>
    <w:rsid w:val="008F65F2"/>
    <w:rsid w:val="008F66E7"/>
    <w:rsid w:val="008F7697"/>
    <w:rsid w:val="00900355"/>
    <w:rsid w:val="009003EB"/>
    <w:rsid w:val="00900A97"/>
    <w:rsid w:val="00900B3D"/>
    <w:rsid w:val="0090117A"/>
    <w:rsid w:val="00901538"/>
    <w:rsid w:val="009018F4"/>
    <w:rsid w:val="00901B14"/>
    <w:rsid w:val="00901FB6"/>
    <w:rsid w:val="00902005"/>
    <w:rsid w:val="0090217F"/>
    <w:rsid w:val="009024E6"/>
    <w:rsid w:val="009033B5"/>
    <w:rsid w:val="00903C91"/>
    <w:rsid w:val="00903CA8"/>
    <w:rsid w:val="00903D69"/>
    <w:rsid w:val="00903EBB"/>
    <w:rsid w:val="00904221"/>
    <w:rsid w:val="00904AAA"/>
    <w:rsid w:val="00904B87"/>
    <w:rsid w:val="00905090"/>
    <w:rsid w:val="00905346"/>
    <w:rsid w:val="00905C21"/>
    <w:rsid w:val="00905CBB"/>
    <w:rsid w:val="00906121"/>
    <w:rsid w:val="0090637C"/>
    <w:rsid w:val="00906B8B"/>
    <w:rsid w:val="00906BDA"/>
    <w:rsid w:val="00906F19"/>
    <w:rsid w:val="00907013"/>
    <w:rsid w:val="009071A2"/>
    <w:rsid w:val="00907204"/>
    <w:rsid w:val="00907A1C"/>
    <w:rsid w:val="00907CB3"/>
    <w:rsid w:val="00907CDA"/>
    <w:rsid w:val="00907F5F"/>
    <w:rsid w:val="00910363"/>
    <w:rsid w:val="00910982"/>
    <w:rsid w:val="00910FCB"/>
    <w:rsid w:val="009112A8"/>
    <w:rsid w:val="00911417"/>
    <w:rsid w:val="00911473"/>
    <w:rsid w:val="009114BA"/>
    <w:rsid w:val="009117C3"/>
    <w:rsid w:val="00912BD5"/>
    <w:rsid w:val="00913A85"/>
    <w:rsid w:val="00914242"/>
    <w:rsid w:val="00915324"/>
    <w:rsid w:val="00915717"/>
    <w:rsid w:val="009157D5"/>
    <w:rsid w:val="009164CF"/>
    <w:rsid w:val="00917929"/>
    <w:rsid w:val="00917BAB"/>
    <w:rsid w:val="009207CC"/>
    <w:rsid w:val="009207E4"/>
    <w:rsid w:val="00920893"/>
    <w:rsid w:val="0092159B"/>
    <w:rsid w:val="0092165E"/>
    <w:rsid w:val="00921B49"/>
    <w:rsid w:val="00921F74"/>
    <w:rsid w:val="00922564"/>
    <w:rsid w:val="009229A4"/>
    <w:rsid w:val="00922ADA"/>
    <w:rsid w:val="00922CF0"/>
    <w:rsid w:val="00923350"/>
    <w:rsid w:val="009238C5"/>
    <w:rsid w:val="009243ED"/>
    <w:rsid w:val="00924954"/>
    <w:rsid w:val="00924F3F"/>
    <w:rsid w:val="0092518B"/>
    <w:rsid w:val="00925BD4"/>
    <w:rsid w:val="00925C63"/>
    <w:rsid w:val="00925F34"/>
    <w:rsid w:val="00926475"/>
    <w:rsid w:val="0092667C"/>
    <w:rsid w:val="0092786A"/>
    <w:rsid w:val="009300D7"/>
    <w:rsid w:val="00930850"/>
    <w:rsid w:val="00930966"/>
    <w:rsid w:val="00930B95"/>
    <w:rsid w:val="00930DD5"/>
    <w:rsid w:val="00930E02"/>
    <w:rsid w:val="00930E53"/>
    <w:rsid w:val="009312E3"/>
    <w:rsid w:val="00931628"/>
    <w:rsid w:val="00931C4A"/>
    <w:rsid w:val="00931E03"/>
    <w:rsid w:val="00932567"/>
    <w:rsid w:val="0093256D"/>
    <w:rsid w:val="0093260A"/>
    <w:rsid w:val="00932841"/>
    <w:rsid w:val="00932F9F"/>
    <w:rsid w:val="00933270"/>
    <w:rsid w:val="009339B5"/>
    <w:rsid w:val="00933CE0"/>
    <w:rsid w:val="00933D1A"/>
    <w:rsid w:val="00935B80"/>
    <w:rsid w:val="00936319"/>
    <w:rsid w:val="00936651"/>
    <w:rsid w:val="009372AE"/>
    <w:rsid w:val="00937887"/>
    <w:rsid w:val="00937E84"/>
    <w:rsid w:val="00940929"/>
    <w:rsid w:val="00940BE9"/>
    <w:rsid w:val="00940C92"/>
    <w:rsid w:val="009418CA"/>
    <w:rsid w:val="00942589"/>
    <w:rsid w:val="009425E8"/>
    <w:rsid w:val="0094291B"/>
    <w:rsid w:val="00942B0C"/>
    <w:rsid w:val="0094355D"/>
    <w:rsid w:val="00943CBB"/>
    <w:rsid w:val="00943FCD"/>
    <w:rsid w:val="0094520C"/>
    <w:rsid w:val="00945986"/>
    <w:rsid w:val="00945A08"/>
    <w:rsid w:val="00945D26"/>
    <w:rsid w:val="00945ED2"/>
    <w:rsid w:val="009462E8"/>
    <w:rsid w:val="00946E98"/>
    <w:rsid w:val="0094775F"/>
    <w:rsid w:val="00947A0F"/>
    <w:rsid w:val="00947D6B"/>
    <w:rsid w:val="009504C8"/>
    <w:rsid w:val="00950EA6"/>
    <w:rsid w:val="0095127C"/>
    <w:rsid w:val="00951589"/>
    <w:rsid w:val="009516CA"/>
    <w:rsid w:val="00951BD2"/>
    <w:rsid w:val="0095248E"/>
    <w:rsid w:val="009524D3"/>
    <w:rsid w:val="00952DA3"/>
    <w:rsid w:val="009536CB"/>
    <w:rsid w:val="0095370E"/>
    <w:rsid w:val="009543B3"/>
    <w:rsid w:val="00954D18"/>
    <w:rsid w:val="0095522A"/>
    <w:rsid w:val="009552B8"/>
    <w:rsid w:val="00955662"/>
    <w:rsid w:val="00955BE4"/>
    <w:rsid w:val="00955BF6"/>
    <w:rsid w:val="009561A9"/>
    <w:rsid w:val="009564BA"/>
    <w:rsid w:val="009566F4"/>
    <w:rsid w:val="009567CD"/>
    <w:rsid w:val="00956D5A"/>
    <w:rsid w:val="00956EBF"/>
    <w:rsid w:val="00956FA5"/>
    <w:rsid w:val="00956FDF"/>
    <w:rsid w:val="00957EAE"/>
    <w:rsid w:val="009608C9"/>
    <w:rsid w:val="0096097F"/>
    <w:rsid w:val="00960C04"/>
    <w:rsid w:val="0096123F"/>
    <w:rsid w:val="00961471"/>
    <w:rsid w:val="00962460"/>
    <w:rsid w:val="00962875"/>
    <w:rsid w:val="00963709"/>
    <w:rsid w:val="00963F66"/>
    <w:rsid w:val="00963F8D"/>
    <w:rsid w:val="00963FAA"/>
    <w:rsid w:val="00964136"/>
    <w:rsid w:val="0096434A"/>
    <w:rsid w:val="0096483B"/>
    <w:rsid w:val="00964D2F"/>
    <w:rsid w:val="00964E11"/>
    <w:rsid w:val="0096568C"/>
    <w:rsid w:val="009659F0"/>
    <w:rsid w:val="009660B2"/>
    <w:rsid w:val="00966B1D"/>
    <w:rsid w:val="00966C87"/>
    <w:rsid w:val="00966E4B"/>
    <w:rsid w:val="009670CE"/>
    <w:rsid w:val="009670FB"/>
    <w:rsid w:val="00967255"/>
    <w:rsid w:val="00967347"/>
    <w:rsid w:val="009677FC"/>
    <w:rsid w:val="00967A21"/>
    <w:rsid w:val="00970EB1"/>
    <w:rsid w:val="00971219"/>
    <w:rsid w:val="00971A74"/>
    <w:rsid w:val="00971C7D"/>
    <w:rsid w:val="0097219B"/>
    <w:rsid w:val="009721B1"/>
    <w:rsid w:val="00972382"/>
    <w:rsid w:val="00972595"/>
    <w:rsid w:val="009727D0"/>
    <w:rsid w:val="00972AAD"/>
    <w:rsid w:val="00972E86"/>
    <w:rsid w:val="00973AD9"/>
    <w:rsid w:val="009742EE"/>
    <w:rsid w:val="00974404"/>
    <w:rsid w:val="009748C2"/>
    <w:rsid w:val="00974D1E"/>
    <w:rsid w:val="00974F0E"/>
    <w:rsid w:val="009758CF"/>
    <w:rsid w:val="009764C8"/>
    <w:rsid w:val="009765ED"/>
    <w:rsid w:val="0097715E"/>
    <w:rsid w:val="009776E9"/>
    <w:rsid w:val="0097771E"/>
    <w:rsid w:val="009778B9"/>
    <w:rsid w:val="009779ED"/>
    <w:rsid w:val="009800F4"/>
    <w:rsid w:val="0098035D"/>
    <w:rsid w:val="009803F9"/>
    <w:rsid w:val="009805FB"/>
    <w:rsid w:val="0098075D"/>
    <w:rsid w:val="00980998"/>
    <w:rsid w:val="00980F04"/>
    <w:rsid w:val="00981069"/>
    <w:rsid w:val="00982126"/>
    <w:rsid w:val="009822ED"/>
    <w:rsid w:val="00982301"/>
    <w:rsid w:val="009825A8"/>
    <w:rsid w:val="00982B8F"/>
    <w:rsid w:val="00982D5A"/>
    <w:rsid w:val="00982EDF"/>
    <w:rsid w:val="009831EB"/>
    <w:rsid w:val="0098432D"/>
    <w:rsid w:val="0098459F"/>
    <w:rsid w:val="009846A0"/>
    <w:rsid w:val="0098472B"/>
    <w:rsid w:val="00984AA4"/>
    <w:rsid w:val="0098621C"/>
    <w:rsid w:val="009869C8"/>
    <w:rsid w:val="00986A33"/>
    <w:rsid w:val="00987064"/>
    <w:rsid w:val="00987423"/>
    <w:rsid w:val="00987E76"/>
    <w:rsid w:val="00990937"/>
    <w:rsid w:val="00990BBA"/>
    <w:rsid w:val="00990FC8"/>
    <w:rsid w:val="00991A0A"/>
    <w:rsid w:val="00991A29"/>
    <w:rsid w:val="00991BAE"/>
    <w:rsid w:val="009922A3"/>
    <w:rsid w:val="009924B3"/>
    <w:rsid w:val="00993A61"/>
    <w:rsid w:val="00993FB6"/>
    <w:rsid w:val="00994017"/>
    <w:rsid w:val="00994A50"/>
    <w:rsid w:val="00994B20"/>
    <w:rsid w:val="00994BB5"/>
    <w:rsid w:val="00994F99"/>
    <w:rsid w:val="00995861"/>
    <w:rsid w:val="00995A77"/>
    <w:rsid w:val="0099630D"/>
    <w:rsid w:val="009970AC"/>
    <w:rsid w:val="009978EB"/>
    <w:rsid w:val="00997B68"/>
    <w:rsid w:val="00997C79"/>
    <w:rsid w:val="00997D8F"/>
    <w:rsid w:val="009A030C"/>
    <w:rsid w:val="009A0465"/>
    <w:rsid w:val="009A088D"/>
    <w:rsid w:val="009A0D20"/>
    <w:rsid w:val="009A14CA"/>
    <w:rsid w:val="009A178E"/>
    <w:rsid w:val="009A1C23"/>
    <w:rsid w:val="009A1D83"/>
    <w:rsid w:val="009A1DD2"/>
    <w:rsid w:val="009A2197"/>
    <w:rsid w:val="009A2888"/>
    <w:rsid w:val="009A290B"/>
    <w:rsid w:val="009A2C94"/>
    <w:rsid w:val="009A2D5A"/>
    <w:rsid w:val="009A2DDE"/>
    <w:rsid w:val="009A301B"/>
    <w:rsid w:val="009A37EE"/>
    <w:rsid w:val="009A3DAA"/>
    <w:rsid w:val="009A4D3A"/>
    <w:rsid w:val="009A549E"/>
    <w:rsid w:val="009A5F00"/>
    <w:rsid w:val="009A657E"/>
    <w:rsid w:val="009A7047"/>
    <w:rsid w:val="009A7322"/>
    <w:rsid w:val="009A7B5A"/>
    <w:rsid w:val="009B108D"/>
    <w:rsid w:val="009B1267"/>
    <w:rsid w:val="009B207A"/>
    <w:rsid w:val="009B27B0"/>
    <w:rsid w:val="009B27DB"/>
    <w:rsid w:val="009B344C"/>
    <w:rsid w:val="009B4885"/>
    <w:rsid w:val="009B4CDB"/>
    <w:rsid w:val="009B5208"/>
    <w:rsid w:val="009B5997"/>
    <w:rsid w:val="009B65F1"/>
    <w:rsid w:val="009B7016"/>
    <w:rsid w:val="009B7434"/>
    <w:rsid w:val="009C0107"/>
    <w:rsid w:val="009C0406"/>
    <w:rsid w:val="009C1839"/>
    <w:rsid w:val="009C19D2"/>
    <w:rsid w:val="009C1A5E"/>
    <w:rsid w:val="009C1AD6"/>
    <w:rsid w:val="009C1DC4"/>
    <w:rsid w:val="009C1FEB"/>
    <w:rsid w:val="009C2154"/>
    <w:rsid w:val="009C21A9"/>
    <w:rsid w:val="009C28BD"/>
    <w:rsid w:val="009C2DC0"/>
    <w:rsid w:val="009C2EC9"/>
    <w:rsid w:val="009C2F70"/>
    <w:rsid w:val="009C3487"/>
    <w:rsid w:val="009C3825"/>
    <w:rsid w:val="009C413B"/>
    <w:rsid w:val="009C45CD"/>
    <w:rsid w:val="009C4AC4"/>
    <w:rsid w:val="009C4B4A"/>
    <w:rsid w:val="009C51CB"/>
    <w:rsid w:val="009C63FA"/>
    <w:rsid w:val="009C729D"/>
    <w:rsid w:val="009D03A7"/>
    <w:rsid w:val="009D0ABE"/>
    <w:rsid w:val="009D0F7F"/>
    <w:rsid w:val="009D1288"/>
    <w:rsid w:val="009D15E5"/>
    <w:rsid w:val="009D1E6C"/>
    <w:rsid w:val="009D1EFF"/>
    <w:rsid w:val="009D242B"/>
    <w:rsid w:val="009D25E1"/>
    <w:rsid w:val="009D2782"/>
    <w:rsid w:val="009D28B6"/>
    <w:rsid w:val="009D2A15"/>
    <w:rsid w:val="009D35BF"/>
    <w:rsid w:val="009D37E5"/>
    <w:rsid w:val="009D3A56"/>
    <w:rsid w:val="009D3BFC"/>
    <w:rsid w:val="009D4347"/>
    <w:rsid w:val="009D571E"/>
    <w:rsid w:val="009D5867"/>
    <w:rsid w:val="009D5C1E"/>
    <w:rsid w:val="009D5C71"/>
    <w:rsid w:val="009D6261"/>
    <w:rsid w:val="009D725B"/>
    <w:rsid w:val="009D7468"/>
    <w:rsid w:val="009D76D9"/>
    <w:rsid w:val="009D780E"/>
    <w:rsid w:val="009D7F94"/>
    <w:rsid w:val="009E059D"/>
    <w:rsid w:val="009E090E"/>
    <w:rsid w:val="009E0C6E"/>
    <w:rsid w:val="009E111E"/>
    <w:rsid w:val="009E18BE"/>
    <w:rsid w:val="009E19E5"/>
    <w:rsid w:val="009E1DF1"/>
    <w:rsid w:val="009E25F6"/>
    <w:rsid w:val="009E2850"/>
    <w:rsid w:val="009E2E4F"/>
    <w:rsid w:val="009E2E62"/>
    <w:rsid w:val="009E2EA2"/>
    <w:rsid w:val="009E3A63"/>
    <w:rsid w:val="009E408F"/>
    <w:rsid w:val="009E4266"/>
    <w:rsid w:val="009E47ED"/>
    <w:rsid w:val="009E492A"/>
    <w:rsid w:val="009E4B9E"/>
    <w:rsid w:val="009E5293"/>
    <w:rsid w:val="009E542E"/>
    <w:rsid w:val="009E5732"/>
    <w:rsid w:val="009E5C3C"/>
    <w:rsid w:val="009E5DD0"/>
    <w:rsid w:val="009E62D3"/>
    <w:rsid w:val="009E6B97"/>
    <w:rsid w:val="009E6C89"/>
    <w:rsid w:val="009E75CA"/>
    <w:rsid w:val="009E7B45"/>
    <w:rsid w:val="009E7E30"/>
    <w:rsid w:val="009F0A1E"/>
    <w:rsid w:val="009F0AFD"/>
    <w:rsid w:val="009F0E7E"/>
    <w:rsid w:val="009F0F5A"/>
    <w:rsid w:val="009F174D"/>
    <w:rsid w:val="009F1E2B"/>
    <w:rsid w:val="009F218D"/>
    <w:rsid w:val="009F24FE"/>
    <w:rsid w:val="009F2DC7"/>
    <w:rsid w:val="009F2F85"/>
    <w:rsid w:val="009F3042"/>
    <w:rsid w:val="009F30C3"/>
    <w:rsid w:val="009F334D"/>
    <w:rsid w:val="009F344E"/>
    <w:rsid w:val="009F3AC8"/>
    <w:rsid w:val="009F45B7"/>
    <w:rsid w:val="009F52EB"/>
    <w:rsid w:val="009F5523"/>
    <w:rsid w:val="009F569B"/>
    <w:rsid w:val="009F5A15"/>
    <w:rsid w:val="009F62AA"/>
    <w:rsid w:val="009F66F6"/>
    <w:rsid w:val="009F6D49"/>
    <w:rsid w:val="009F707F"/>
    <w:rsid w:val="009F72F9"/>
    <w:rsid w:val="009F7463"/>
    <w:rsid w:val="009F7548"/>
    <w:rsid w:val="009F7D75"/>
    <w:rsid w:val="00A0098D"/>
    <w:rsid w:val="00A01336"/>
    <w:rsid w:val="00A016F1"/>
    <w:rsid w:val="00A017FD"/>
    <w:rsid w:val="00A01CA8"/>
    <w:rsid w:val="00A02330"/>
    <w:rsid w:val="00A02341"/>
    <w:rsid w:val="00A02370"/>
    <w:rsid w:val="00A02C4E"/>
    <w:rsid w:val="00A030B0"/>
    <w:rsid w:val="00A031D2"/>
    <w:rsid w:val="00A031D8"/>
    <w:rsid w:val="00A03243"/>
    <w:rsid w:val="00A039E1"/>
    <w:rsid w:val="00A03C6B"/>
    <w:rsid w:val="00A03CC2"/>
    <w:rsid w:val="00A03E6D"/>
    <w:rsid w:val="00A03F9A"/>
    <w:rsid w:val="00A041BF"/>
    <w:rsid w:val="00A04870"/>
    <w:rsid w:val="00A060C2"/>
    <w:rsid w:val="00A066C3"/>
    <w:rsid w:val="00A06B7D"/>
    <w:rsid w:val="00A06BF9"/>
    <w:rsid w:val="00A06CB1"/>
    <w:rsid w:val="00A07876"/>
    <w:rsid w:val="00A07D2A"/>
    <w:rsid w:val="00A10EFE"/>
    <w:rsid w:val="00A1166C"/>
    <w:rsid w:val="00A11CDD"/>
    <w:rsid w:val="00A11DD3"/>
    <w:rsid w:val="00A12308"/>
    <w:rsid w:val="00A12B9B"/>
    <w:rsid w:val="00A12E29"/>
    <w:rsid w:val="00A13010"/>
    <w:rsid w:val="00A13085"/>
    <w:rsid w:val="00A1334F"/>
    <w:rsid w:val="00A13984"/>
    <w:rsid w:val="00A13C50"/>
    <w:rsid w:val="00A13CBB"/>
    <w:rsid w:val="00A1417E"/>
    <w:rsid w:val="00A144A1"/>
    <w:rsid w:val="00A14889"/>
    <w:rsid w:val="00A14D44"/>
    <w:rsid w:val="00A14F74"/>
    <w:rsid w:val="00A152EF"/>
    <w:rsid w:val="00A15CB6"/>
    <w:rsid w:val="00A169CC"/>
    <w:rsid w:val="00A179C7"/>
    <w:rsid w:val="00A206F2"/>
    <w:rsid w:val="00A20D00"/>
    <w:rsid w:val="00A20DF5"/>
    <w:rsid w:val="00A210E6"/>
    <w:rsid w:val="00A217F7"/>
    <w:rsid w:val="00A21EBA"/>
    <w:rsid w:val="00A22059"/>
    <w:rsid w:val="00A22B28"/>
    <w:rsid w:val="00A230E5"/>
    <w:rsid w:val="00A2342A"/>
    <w:rsid w:val="00A236BD"/>
    <w:rsid w:val="00A23FB9"/>
    <w:rsid w:val="00A24298"/>
    <w:rsid w:val="00A24D65"/>
    <w:rsid w:val="00A24E6E"/>
    <w:rsid w:val="00A24F3E"/>
    <w:rsid w:val="00A24F97"/>
    <w:rsid w:val="00A25063"/>
    <w:rsid w:val="00A251E0"/>
    <w:rsid w:val="00A257DF"/>
    <w:rsid w:val="00A25998"/>
    <w:rsid w:val="00A25BB2"/>
    <w:rsid w:val="00A26B33"/>
    <w:rsid w:val="00A26C3E"/>
    <w:rsid w:val="00A27725"/>
    <w:rsid w:val="00A30E3D"/>
    <w:rsid w:val="00A310B6"/>
    <w:rsid w:val="00A31283"/>
    <w:rsid w:val="00A31D21"/>
    <w:rsid w:val="00A31D56"/>
    <w:rsid w:val="00A32043"/>
    <w:rsid w:val="00A32A87"/>
    <w:rsid w:val="00A338C7"/>
    <w:rsid w:val="00A33ECD"/>
    <w:rsid w:val="00A33F26"/>
    <w:rsid w:val="00A341C7"/>
    <w:rsid w:val="00A341CD"/>
    <w:rsid w:val="00A34A10"/>
    <w:rsid w:val="00A34D62"/>
    <w:rsid w:val="00A34E9B"/>
    <w:rsid w:val="00A35154"/>
    <w:rsid w:val="00A35509"/>
    <w:rsid w:val="00A35DC1"/>
    <w:rsid w:val="00A364F6"/>
    <w:rsid w:val="00A3684F"/>
    <w:rsid w:val="00A368DB"/>
    <w:rsid w:val="00A36C72"/>
    <w:rsid w:val="00A3732F"/>
    <w:rsid w:val="00A37335"/>
    <w:rsid w:val="00A37E92"/>
    <w:rsid w:val="00A404FF"/>
    <w:rsid w:val="00A4082C"/>
    <w:rsid w:val="00A40A71"/>
    <w:rsid w:val="00A40EBD"/>
    <w:rsid w:val="00A40FCD"/>
    <w:rsid w:val="00A411DF"/>
    <w:rsid w:val="00A4167D"/>
    <w:rsid w:val="00A419BC"/>
    <w:rsid w:val="00A41C85"/>
    <w:rsid w:val="00A41E14"/>
    <w:rsid w:val="00A41F46"/>
    <w:rsid w:val="00A425E2"/>
    <w:rsid w:val="00A42804"/>
    <w:rsid w:val="00A431D0"/>
    <w:rsid w:val="00A4387D"/>
    <w:rsid w:val="00A43E7D"/>
    <w:rsid w:val="00A43FB5"/>
    <w:rsid w:val="00A44549"/>
    <w:rsid w:val="00A44E26"/>
    <w:rsid w:val="00A45198"/>
    <w:rsid w:val="00A45644"/>
    <w:rsid w:val="00A46410"/>
    <w:rsid w:val="00A468A4"/>
    <w:rsid w:val="00A46C06"/>
    <w:rsid w:val="00A471A6"/>
    <w:rsid w:val="00A50337"/>
    <w:rsid w:val="00A506C9"/>
    <w:rsid w:val="00A51170"/>
    <w:rsid w:val="00A51958"/>
    <w:rsid w:val="00A519FB"/>
    <w:rsid w:val="00A51FB3"/>
    <w:rsid w:val="00A524E1"/>
    <w:rsid w:val="00A52C4F"/>
    <w:rsid w:val="00A54009"/>
    <w:rsid w:val="00A54399"/>
    <w:rsid w:val="00A54E49"/>
    <w:rsid w:val="00A54E94"/>
    <w:rsid w:val="00A54EF8"/>
    <w:rsid w:val="00A56A28"/>
    <w:rsid w:val="00A5720A"/>
    <w:rsid w:val="00A5752E"/>
    <w:rsid w:val="00A5768F"/>
    <w:rsid w:val="00A57C1E"/>
    <w:rsid w:val="00A57EDE"/>
    <w:rsid w:val="00A60D45"/>
    <w:rsid w:val="00A60FE4"/>
    <w:rsid w:val="00A61763"/>
    <w:rsid w:val="00A61C7B"/>
    <w:rsid w:val="00A61D32"/>
    <w:rsid w:val="00A61D7A"/>
    <w:rsid w:val="00A61F58"/>
    <w:rsid w:val="00A62173"/>
    <w:rsid w:val="00A62DCA"/>
    <w:rsid w:val="00A63163"/>
    <w:rsid w:val="00A633B7"/>
    <w:rsid w:val="00A63F82"/>
    <w:rsid w:val="00A644DF"/>
    <w:rsid w:val="00A6494E"/>
    <w:rsid w:val="00A649D6"/>
    <w:rsid w:val="00A64EE4"/>
    <w:rsid w:val="00A658F8"/>
    <w:rsid w:val="00A65C84"/>
    <w:rsid w:val="00A6607C"/>
    <w:rsid w:val="00A6620E"/>
    <w:rsid w:val="00A66417"/>
    <w:rsid w:val="00A6679A"/>
    <w:rsid w:val="00A66B05"/>
    <w:rsid w:val="00A66FC5"/>
    <w:rsid w:val="00A674DC"/>
    <w:rsid w:val="00A6776E"/>
    <w:rsid w:val="00A67824"/>
    <w:rsid w:val="00A6790D"/>
    <w:rsid w:val="00A67D81"/>
    <w:rsid w:val="00A70176"/>
    <w:rsid w:val="00A701DB"/>
    <w:rsid w:val="00A7023F"/>
    <w:rsid w:val="00A70A0F"/>
    <w:rsid w:val="00A70B85"/>
    <w:rsid w:val="00A71057"/>
    <w:rsid w:val="00A7187F"/>
    <w:rsid w:val="00A71D2E"/>
    <w:rsid w:val="00A722F0"/>
    <w:rsid w:val="00A730D4"/>
    <w:rsid w:val="00A7327C"/>
    <w:rsid w:val="00A7338F"/>
    <w:rsid w:val="00A733DE"/>
    <w:rsid w:val="00A73519"/>
    <w:rsid w:val="00A7365A"/>
    <w:rsid w:val="00A73F35"/>
    <w:rsid w:val="00A754BA"/>
    <w:rsid w:val="00A756E8"/>
    <w:rsid w:val="00A7627E"/>
    <w:rsid w:val="00A7658E"/>
    <w:rsid w:val="00A76825"/>
    <w:rsid w:val="00A76D7A"/>
    <w:rsid w:val="00A77AA8"/>
    <w:rsid w:val="00A80563"/>
    <w:rsid w:val="00A805B2"/>
    <w:rsid w:val="00A80C40"/>
    <w:rsid w:val="00A81256"/>
    <w:rsid w:val="00A81388"/>
    <w:rsid w:val="00A819F8"/>
    <w:rsid w:val="00A82859"/>
    <w:rsid w:val="00A831BD"/>
    <w:rsid w:val="00A832F1"/>
    <w:rsid w:val="00A83760"/>
    <w:rsid w:val="00A841BB"/>
    <w:rsid w:val="00A844C9"/>
    <w:rsid w:val="00A84502"/>
    <w:rsid w:val="00A8520B"/>
    <w:rsid w:val="00A8526B"/>
    <w:rsid w:val="00A855F3"/>
    <w:rsid w:val="00A860E9"/>
    <w:rsid w:val="00A86436"/>
    <w:rsid w:val="00A8645A"/>
    <w:rsid w:val="00A8650D"/>
    <w:rsid w:val="00A870B0"/>
    <w:rsid w:val="00A87304"/>
    <w:rsid w:val="00A876F9"/>
    <w:rsid w:val="00A9008E"/>
    <w:rsid w:val="00A9033D"/>
    <w:rsid w:val="00A9057D"/>
    <w:rsid w:val="00A906A5"/>
    <w:rsid w:val="00A90AB0"/>
    <w:rsid w:val="00A90E2D"/>
    <w:rsid w:val="00A910D9"/>
    <w:rsid w:val="00A918B9"/>
    <w:rsid w:val="00A924CF"/>
    <w:rsid w:val="00A92535"/>
    <w:rsid w:val="00A9281C"/>
    <w:rsid w:val="00A935B0"/>
    <w:rsid w:val="00A93761"/>
    <w:rsid w:val="00A93E1A"/>
    <w:rsid w:val="00A9413F"/>
    <w:rsid w:val="00A941DB"/>
    <w:rsid w:val="00A94713"/>
    <w:rsid w:val="00A957D4"/>
    <w:rsid w:val="00A9621C"/>
    <w:rsid w:val="00A96837"/>
    <w:rsid w:val="00A96909"/>
    <w:rsid w:val="00A9691D"/>
    <w:rsid w:val="00A97F1D"/>
    <w:rsid w:val="00AA063C"/>
    <w:rsid w:val="00AA074B"/>
    <w:rsid w:val="00AA0D0C"/>
    <w:rsid w:val="00AA0D6A"/>
    <w:rsid w:val="00AA0FBB"/>
    <w:rsid w:val="00AA12FB"/>
    <w:rsid w:val="00AA1765"/>
    <w:rsid w:val="00AA2168"/>
    <w:rsid w:val="00AA230A"/>
    <w:rsid w:val="00AA262B"/>
    <w:rsid w:val="00AA487B"/>
    <w:rsid w:val="00AA5095"/>
    <w:rsid w:val="00AA5163"/>
    <w:rsid w:val="00AA5785"/>
    <w:rsid w:val="00AA5E03"/>
    <w:rsid w:val="00AA5E78"/>
    <w:rsid w:val="00AA6776"/>
    <w:rsid w:val="00AA6DF4"/>
    <w:rsid w:val="00AA6EB0"/>
    <w:rsid w:val="00AA7CC3"/>
    <w:rsid w:val="00AA7FBB"/>
    <w:rsid w:val="00AA7FE7"/>
    <w:rsid w:val="00AB017F"/>
    <w:rsid w:val="00AB0230"/>
    <w:rsid w:val="00AB0618"/>
    <w:rsid w:val="00AB0A23"/>
    <w:rsid w:val="00AB1058"/>
    <w:rsid w:val="00AB1BC4"/>
    <w:rsid w:val="00AB251E"/>
    <w:rsid w:val="00AB35DE"/>
    <w:rsid w:val="00AB37F9"/>
    <w:rsid w:val="00AB3BA3"/>
    <w:rsid w:val="00AB439A"/>
    <w:rsid w:val="00AB44A2"/>
    <w:rsid w:val="00AB4731"/>
    <w:rsid w:val="00AB4BD0"/>
    <w:rsid w:val="00AB4DF7"/>
    <w:rsid w:val="00AB545C"/>
    <w:rsid w:val="00AB57B1"/>
    <w:rsid w:val="00AB5916"/>
    <w:rsid w:val="00AB679A"/>
    <w:rsid w:val="00AB6DF0"/>
    <w:rsid w:val="00AB7047"/>
    <w:rsid w:val="00AB7203"/>
    <w:rsid w:val="00AB72F7"/>
    <w:rsid w:val="00AB7631"/>
    <w:rsid w:val="00AB799F"/>
    <w:rsid w:val="00AB7AC3"/>
    <w:rsid w:val="00AC0084"/>
    <w:rsid w:val="00AC076C"/>
    <w:rsid w:val="00AC0AEC"/>
    <w:rsid w:val="00AC0BD4"/>
    <w:rsid w:val="00AC11F7"/>
    <w:rsid w:val="00AC16F8"/>
    <w:rsid w:val="00AC17A8"/>
    <w:rsid w:val="00AC1A28"/>
    <w:rsid w:val="00AC1B15"/>
    <w:rsid w:val="00AC28D7"/>
    <w:rsid w:val="00AC2AB1"/>
    <w:rsid w:val="00AC2F6B"/>
    <w:rsid w:val="00AC326A"/>
    <w:rsid w:val="00AC32B6"/>
    <w:rsid w:val="00AC3FAD"/>
    <w:rsid w:val="00AC4493"/>
    <w:rsid w:val="00AC4829"/>
    <w:rsid w:val="00AC4C9D"/>
    <w:rsid w:val="00AC5648"/>
    <w:rsid w:val="00AC5A7E"/>
    <w:rsid w:val="00AC5C74"/>
    <w:rsid w:val="00AC69B5"/>
    <w:rsid w:val="00AC6AD6"/>
    <w:rsid w:val="00AC775F"/>
    <w:rsid w:val="00AC7A29"/>
    <w:rsid w:val="00AC7D92"/>
    <w:rsid w:val="00AC7DE7"/>
    <w:rsid w:val="00AD0345"/>
    <w:rsid w:val="00AD15F3"/>
    <w:rsid w:val="00AD16C3"/>
    <w:rsid w:val="00AD17A6"/>
    <w:rsid w:val="00AD1A2F"/>
    <w:rsid w:val="00AD1B98"/>
    <w:rsid w:val="00AD2540"/>
    <w:rsid w:val="00AD25E3"/>
    <w:rsid w:val="00AD2D08"/>
    <w:rsid w:val="00AD33E7"/>
    <w:rsid w:val="00AD3EB9"/>
    <w:rsid w:val="00AD3F59"/>
    <w:rsid w:val="00AD41F6"/>
    <w:rsid w:val="00AD4306"/>
    <w:rsid w:val="00AD4433"/>
    <w:rsid w:val="00AD4FDB"/>
    <w:rsid w:val="00AD520D"/>
    <w:rsid w:val="00AD54BE"/>
    <w:rsid w:val="00AE0071"/>
    <w:rsid w:val="00AE0653"/>
    <w:rsid w:val="00AE09B9"/>
    <w:rsid w:val="00AE121D"/>
    <w:rsid w:val="00AE1862"/>
    <w:rsid w:val="00AE1D09"/>
    <w:rsid w:val="00AE27FA"/>
    <w:rsid w:val="00AE2955"/>
    <w:rsid w:val="00AE2B28"/>
    <w:rsid w:val="00AE3CB3"/>
    <w:rsid w:val="00AE3D77"/>
    <w:rsid w:val="00AE3F55"/>
    <w:rsid w:val="00AE4695"/>
    <w:rsid w:val="00AE4A00"/>
    <w:rsid w:val="00AE4A95"/>
    <w:rsid w:val="00AE51C4"/>
    <w:rsid w:val="00AE5956"/>
    <w:rsid w:val="00AE60C4"/>
    <w:rsid w:val="00AE7533"/>
    <w:rsid w:val="00AE7856"/>
    <w:rsid w:val="00AE7AD5"/>
    <w:rsid w:val="00AE7EA8"/>
    <w:rsid w:val="00AF02B2"/>
    <w:rsid w:val="00AF03D3"/>
    <w:rsid w:val="00AF069B"/>
    <w:rsid w:val="00AF0DB2"/>
    <w:rsid w:val="00AF15FD"/>
    <w:rsid w:val="00AF1A8F"/>
    <w:rsid w:val="00AF224E"/>
    <w:rsid w:val="00AF2480"/>
    <w:rsid w:val="00AF2890"/>
    <w:rsid w:val="00AF2B35"/>
    <w:rsid w:val="00AF2B76"/>
    <w:rsid w:val="00AF2B7D"/>
    <w:rsid w:val="00AF2C94"/>
    <w:rsid w:val="00AF2EC7"/>
    <w:rsid w:val="00AF32FF"/>
    <w:rsid w:val="00AF351D"/>
    <w:rsid w:val="00AF39D6"/>
    <w:rsid w:val="00AF3DDF"/>
    <w:rsid w:val="00AF3F94"/>
    <w:rsid w:val="00AF4723"/>
    <w:rsid w:val="00AF6133"/>
    <w:rsid w:val="00AF6804"/>
    <w:rsid w:val="00AF723B"/>
    <w:rsid w:val="00AF729F"/>
    <w:rsid w:val="00AF72E7"/>
    <w:rsid w:val="00AF77AC"/>
    <w:rsid w:val="00AF7AE1"/>
    <w:rsid w:val="00AF7D7F"/>
    <w:rsid w:val="00B00B03"/>
    <w:rsid w:val="00B01019"/>
    <w:rsid w:val="00B0194C"/>
    <w:rsid w:val="00B01F5D"/>
    <w:rsid w:val="00B01F5F"/>
    <w:rsid w:val="00B01FF3"/>
    <w:rsid w:val="00B021B2"/>
    <w:rsid w:val="00B0287F"/>
    <w:rsid w:val="00B03052"/>
    <w:rsid w:val="00B030C5"/>
    <w:rsid w:val="00B036BD"/>
    <w:rsid w:val="00B036BF"/>
    <w:rsid w:val="00B03F1F"/>
    <w:rsid w:val="00B046D4"/>
    <w:rsid w:val="00B047EA"/>
    <w:rsid w:val="00B04AA2"/>
    <w:rsid w:val="00B04CEF"/>
    <w:rsid w:val="00B06704"/>
    <w:rsid w:val="00B06961"/>
    <w:rsid w:val="00B06AAB"/>
    <w:rsid w:val="00B06F2B"/>
    <w:rsid w:val="00B072EA"/>
    <w:rsid w:val="00B07722"/>
    <w:rsid w:val="00B10ADE"/>
    <w:rsid w:val="00B10DE3"/>
    <w:rsid w:val="00B10EB1"/>
    <w:rsid w:val="00B10F18"/>
    <w:rsid w:val="00B11371"/>
    <w:rsid w:val="00B1146B"/>
    <w:rsid w:val="00B1193C"/>
    <w:rsid w:val="00B120DB"/>
    <w:rsid w:val="00B12303"/>
    <w:rsid w:val="00B129CF"/>
    <w:rsid w:val="00B12A07"/>
    <w:rsid w:val="00B13045"/>
    <w:rsid w:val="00B132D9"/>
    <w:rsid w:val="00B1355B"/>
    <w:rsid w:val="00B13595"/>
    <w:rsid w:val="00B1377B"/>
    <w:rsid w:val="00B13BA5"/>
    <w:rsid w:val="00B144C2"/>
    <w:rsid w:val="00B1457D"/>
    <w:rsid w:val="00B1492D"/>
    <w:rsid w:val="00B15494"/>
    <w:rsid w:val="00B15C5C"/>
    <w:rsid w:val="00B15CFB"/>
    <w:rsid w:val="00B168F4"/>
    <w:rsid w:val="00B16C9C"/>
    <w:rsid w:val="00B16E4A"/>
    <w:rsid w:val="00B1793F"/>
    <w:rsid w:val="00B17D91"/>
    <w:rsid w:val="00B20A7D"/>
    <w:rsid w:val="00B211F4"/>
    <w:rsid w:val="00B21740"/>
    <w:rsid w:val="00B2179B"/>
    <w:rsid w:val="00B217DA"/>
    <w:rsid w:val="00B21E5C"/>
    <w:rsid w:val="00B2244A"/>
    <w:rsid w:val="00B228F2"/>
    <w:rsid w:val="00B22B5E"/>
    <w:rsid w:val="00B23B12"/>
    <w:rsid w:val="00B2543C"/>
    <w:rsid w:val="00B25828"/>
    <w:rsid w:val="00B25974"/>
    <w:rsid w:val="00B25A6C"/>
    <w:rsid w:val="00B25FDD"/>
    <w:rsid w:val="00B26046"/>
    <w:rsid w:val="00B260C4"/>
    <w:rsid w:val="00B264AF"/>
    <w:rsid w:val="00B26C75"/>
    <w:rsid w:val="00B27864"/>
    <w:rsid w:val="00B27BD5"/>
    <w:rsid w:val="00B27F85"/>
    <w:rsid w:val="00B30125"/>
    <w:rsid w:val="00B30246"/>
    <w:rsid w:val="00B3041F"/>
    <w:rsid w:val="00B3075A"/>
    <w:rsid w:val="00B30DC9"/>
    <w:rsid w:val="00B319AA"/>
    <w:rsid w:val="00B32C21"/>
    <w:rsid w:val="00B32C83"/>
    <w:rsid w:val="00B32D2A"/>
    <w:rsid w:val="00B33761"/>
    <w:rsid w:val="00B33AA9"/>
    <w:rsid w:val="00B33C46"/>
    <w:rsid w:val="00B34448"/>
    <w:rsid w:val="00B34626"/>
    <w:rsid w:val="00B34DC0"/>
    <w:rsid w:val="00B34DCE"/>
    <w:rsid w:val="00B3503E"/>
    <w:rsid w:val="00B353FA"/>
    <w:rsid w:val="00B3549A"/>
    <w:rsid w:val="00B354EA"/>
    <w:rsid w:val="00B3591D"/>
    <w:rsid w:val="00B35CFB"/>
    <w:rsid w:val="00B35EE3"/>
    <w:rsid w:val="00B35FC7"/>
    <w:rsid w:val="00B36233"/>
    <w:rsid w:val="00B36EA8"/>
    <w:rsid w:val="00B37C74"/>
    <w:rsid w:val="00B401A4"/>
    <w:rsid w:val="00B408B6"/>
    <w:rsid w:val="00B40C15"/>
    <w:rsid w:val="00B40F19"/>
    <w:rsid w:val="00B41425"/>
    <w:rsid w:val="00B423DE"/>
    <w:rsid w:val="00B4282A"/>
    <w:rsid w:val="00B42CF2"/>
    <w:rsid w:val="00B4328E"/>
    <w:rsid w:val="00B43585"/>
    <w:rsid w:val="00B43AD6"/>
    <w:rsid w:val="00B43D0E"/>
    <w:rsid w:val="00B443C1"/>
    <w:rsid w:val="00B443F9"/>
    <w:rsid w:val="00B4487F"/>
    <w:rsid w:val="00B4516D"/>
    <w:rsid w:val="00B45442"/>
    <w:rsid w:val="00B45486"/>
    <w:rsid w:val="00B456F8"/>
    <w:rsid w:val="00B4654A"/>
    <w:rsid w:val="00B470B5"/>
    <w:rsid w:val="00B4715E"/>
    <w:rsid w:val="00B47BBA"/>
    <w:rsid w:val="00B501DA"/>
    <w:rsid w:val="00B503F9"/>
    <w:rsid w:val="00B50BAF"/>
    <w:rsid w:val="00B5122D"/>
    <w:rsid w:val="00B51342"/>
    <w:rsid w:val="00B51482"/>
    <w:rsid w:val="00B516EC"/>
    <w:rsid w:val="00B51C26"/>
    <w:rsid w:val="00B52DBC"/>
    <w:rsid w:val="00B5354A"/>
    <w:rsid w:val="00B53815"/>
    <w:rsid w:val="00B543C7"/>
    <w:rsid w:val="00B54E13"/>
    <w:rsid w:val="00B54E9A"/>
    <w:rsid w:val="00B55598"/>
    <w:rsid w:val="00B557B5"/>
    <w:rsid w:val="00B55C34"/>
    <w:rsid w:val="00B55F9F"/>
    <w:rsid w:val="00B56801"/>
    <w:rsid w:val="00B56B14"/>
    <w:rsid w:val="00B5730C"/>
    <w:rsid w:val="00B601D9"/>
    <w:rsid w:val="00B60372"/>
    <w:rsid w:val="00B608DC"/>
    <w:rsid w:val="00B608ED"/>
    <w:rsid w:val="00B61704"/>
    <w:rsid w:val="00B6232C"/>
    <w:rsid w:val="00B62817"/>
    <w:rsid w:val="00B62891"/>
    <w:rsid w:val="00B628EE"/>
    <w:rsid w:val="00B62CCC"/>
    <w:rsid w:val="00B6388E"/>
    <w:rsid w:val="00B63C01"/>
    <w:rsid w:val="00B63DDE"/>
    <w:rsid w:val="00B63FD0"/>
    <w:rsid w:val="00B6537E"/>
    <w:rsid w:val="00B65D17"/>
    <w:rsid w:val="00B66323"/>
    <w:rsid w:val="00B66872"/>
    <w:rsid w:val="00B66D23"/>
    <w:rsid w:val="00B66D99"/>
    <w:rsid w:val="00B6711C"/>
    <w:rsid w:val="00B67221"/>
    <w:rsid w:val="00B6766B"/>
    <w:rsid w:val="00B7030C"/>
    <w:rsid w:val="00B70733"/>
    <w:rsid w:val="00B707F4"/>
    <w:rsid w:val="00B70A9D"/>
    <w:rsid w:val="00B70E86"/>
    <w:rsid w:val="00B719C2"/>
    <w:rsid w:val="00B71EA0"/>
    <w:rsid w:val="00B7272E"/>
    <w:rsid w:val="00B72CC1"/>
    <w:rsid w:val="00B73C6C"/>
    <w:rsid w:val="00B74633"/>
    <w:rsid w:val="00B74991"/>
    <w:rsid w:val="00B74C00"/>
    <w:rsid w:val="00B7521F"/>
    <w:rsid w:val="00B7594D"/>
    <w:rsid w:val="00B75C2C"/>
    <w:rsid w:val="00B76231"/>
    <w:rsid w:val="00B76489"/>
    <w:rsid w:val="00B76712"/>
    <w:rsid w:val="00B76CED"/>
    <w:rsid w:val="00B775A2"/>
    <w:rsid w:val="00B77E36"/>
    <w:rsid w:val="00B77E56"/>
    <w:rsid w:val="00B804D3"/>
    <w:rsid w:val="00B80B1D"/>
    <w:rsid w:val="00B82020"/>
    <w:rsid w:val="00B82258"/>
    <w:rsid w:val="00B82674"/>
    <w:rsid w:val="00B8282F"/>
    <w:rsid w:val="00B832F0"/>
    <w:rsid w:val="00B83A2F"/>
    <w:rsid w:val="00B83C3A"/>
    <w:rsid w:val="00B83FE5"/>
    <w:rsid w:val="00B84228"/>
    <w:rsid w:val="00B84776"/>
    <w:rsid w:val="00B84C3C"/>
    <w:rsid w:val="00B84C77"/>
    <w:rsid w:val="00B84F76"/>
    <w:rsid w:val="00B85008"/>
    <w:rsid w:val="00B853B3"/>
    <w:rsid w:val="00B859A8"/>
    <w:rsid w:val="00B865C8"/>
    <w:rsid w:val="00B86E1E"/>
    <w:rsid w:val="00B87226"/>
    <w:rsid w:val="00B8730E"/>
    <w:rsid w:val="00B87863"/>
    <w:rsid w:val="00B87B94"/>
    <w:rsid w:val="00B87BBC"/>
    <w:rsid w:val="00B905B7"/>
    <w:rsid w:val="00B90607"/>
    <w:rsid w:val="00B906F4"/>
    <w:rsid w:val="00B90FCE"/>
    <w:rsid w:val="00B912A0"/>
    <w:rsid w:val="00B91459"/>
    <w:rsid w:val="00B92D1F"/>
    <w:rsid w:val="00B93646"/>
    <w:rsid w:val="00B937FD"/>
    <w:rsid w:val="00B938D2"/>
    <w:rsid w:val="00B9411D"/>
    <w:rsid w:val="00B94430"/>
    <w:rsid w:val="00B944A6"/>
    <w:rsid w:val="00B94893"/>
    <w:rsid w:val="00B94A9B"/>
    <w:rsid w:val="00B94B53"/>
    <w:rsid w:val="00B951C2"/>
    <w:rsid w:val="00B9560A"/>
    <w:rsid w:val="00B95C7F"/>
    <w:rsid w:val="00B95CA3"/>
    <w:rsid w:val="00B95EFB"/>
    <w:rsid w:val="00B9648F"/>
    <w:rsid w:val="00B9664D"/>
    <w:rsid w:val="00B96830"/>
    <w:rsid w:val="00B9686A"/>
    <w:rsid w:val="00B96B7E"/>
    <w:rsid w:val="00B97792"/>
    <w:rsid w:val="00B978B9"/>
    <w:rsid w:val="00BA03EB"/>
    <w:rsid w:val="00BA0728"/>
    <w:rsid w:val="00BA096C"/>
    <w:rsid w:val="00BA144D"/>
    <w:rsid w:val="00BA1631"/>
    <w:rsid w:val="00BA17FA"/>
    <w:rsid w:val="00BA1E6B"/>
    <w:rsid w:val="00BA22F1"/>
    <w:rsid w:val="00BA2CF0"/>
    <w:rsid w:val="00BA33F6"/>
    <w:rsid w:val="00BA36D0"/>
    <w:rsid w:val="00BA390E"/>
    <w:rsid w:val="00BA44CF"/>
    <w:rsid w:val="00BA46E7"/>
    <w:rsid w:val="00BA489D"/>
    <w:rsid w:val="00BA4BF1"/>
    <w:rsid w:val="00BA4E3B"/>
    <w:rsid w:val="00BA511F"/>
    <w:rsid w:val="00BA5216"/>
    <w:rsid w:val="00BA52E6"/>
    <w:rsid w:val="00BA53CA"/>
    <w:rsid w:val="00BA5ED8"/>
    <w:rsid w:val="00BA5F30"/>
    <w:rsid w:val="00BA680D"/>
    <w:rsid w:val="00BA6EBC"/>
    <w:rsid w:val="00BA7BFC"/>
    <w:rsid w:val="00BB0630"/>
    <w:rsid w:val="00BB0B1E"/>
    <w:rsid w:val="00BB18C2"/>
    <w:rsid w:val="00BB1C24"/>
    <w:rsid w:val="00BB1DAC"/>
    <w:rsid w:val="00BB3E82"/>
    <w:rsid w:val="00BB44E9"/>
    <w:rsid w:val="00BB482A"/>
    <w:rsid w:val="00BB5BFD"/>
    <w:rsid w:val="00BB631E"/>
    <w:rsid w:val="00BB7116"/>
    <w:rsid w:val="00BB7945"/>
    <w:rsid w:val="00BB7D3B"/>
    <w:rsid w:val="00BB7F3A"/>
    <w:rsid w:val="00BC0188"/>
    <w:rsid w:val="00BC08FB"/>
    <w:rsid w:val="00BC0BFF"/>
    <w:rsid w:val="00BC1253"/>
    <w:rsid w:val="00BC134F"/>
    <w:rsid w:val="00BC15CA"/>
    <w:rsid w:val="00BC2471"/>
    <w:rsid w:val="00BC2C32"/>
    <w:rsid w:val="00BC3F78"/>
    <w:rsid w:val="00BC41B4"/>
    <w:rsid w:val="00BC45A1"/>
    <w:rsid w:val="00BC4737"/>
    <w:rsid w:val="00BC49B3"/>
    <w:rsid w:val="00BC55EC"/>
    <w:rsid w:val="00BC5AFA"/>
    <w:rsid w:val="00BC68CB"/>
    <w:rsid w:val="00BC73F3"/>
    <w:rsid w:val="00BC7AC9"/>
    <w:rsid w:val="00BC7FC5"/>
    <w:rsid w:val="00BD00B2"/>
    <w:rsid w:val="00BD044F"/>
    <w:rsid w:val="00BD06E0"/>
    <w:rsid w:val="00BD071D"/>
    <w:rsid w:val="00BD08AC"/>
    <w:rsid w:val="00BD16BD"/>
    <w:rsid w:val="00BD1A5E"/>
    <w:rsid w:val="00BD1D84"/>
    <w:rsid w:val="00BD2733"/>
    <w:rsid w:val="00BD27A1"/>
    <w:rsid w:val="00BD2983"/>
    <w:rsid w:val="00BD2B36"/>
    <w:rsid w:val="00BD2EDF"/>
    <w:rsid w:val="00BD35EF"/>
    <w:rsid w:val="00BD3960"/>
    <w:rsid w:val="00BD3BE7"/>
    <w:rsid w:val="00BD46A6"/>
    <w:rsid w:val="00BD4B86"/>
    <w:rsid w:val="00BD5501"/>
    <w:rsid w:val="00BD5EE6"/>
    <w:rsid w:val="00BD6407"/>
    <w:rsid w:val="00BD64C8"/>
    <w:rsid w:val="00BD6514"/>
    <w:rsid w:val="00BD6656"/>
    <w:rsid w:val="00BD68A6"/>
    <w:rsid w:val="00BD6FCD"/>
    <w:rsid w:val="00BD7922"/>
    <w:rsid w:val="00BD7DC3"/>
    <w:rsid w:val="00BE07A5"/>
    <w:rsid w:val="00BE13D0"/>
    <w:rsid w:val="00BE1555"/>
    <w:rsid w:val="00BE22A7"/>
    <w:rsid w:val="00BE2D84"/>
    <w:rsid w:val="00BE2DD0"/>
    <w:rsid w:val="00BE3252"/>
    <w:rsid w:val="00BE4708"/>
    <w:rsid w:val="00BE4D24"/>
    <w:rsid w:val="00BE521A"/>
    <w:rsid w:val="00BE52FE"/>
    <w:rsid w:val="00BE539C"/>
    <w:rsid w:val="00BE5627"/>
    <w:rsid w:val="00BE5864"/>
    <w:rsid w:val="00BE5B0C"/>
    <w:rsid w:val="00BE5EB0"/>
    <w:rsid w:val="00BE65EB"/>
    <w:rsid w:val="00BE6645"/>
    <w:rsid w:val="00BE7035"/>
    <w:rsid w:val="00BE7667"/>
    <w:rsid w:val="00BE7BE3"/>
    <w:rsid w:val="00BE7E7B"/>
    <w:rsid w:val="00BE7FA0"/>
    <w:rsid w:val="00BF01BD"/>
    <w:rsid w:val="00BF03EB"/>
    <w:rsid w:val="00BF0436"/>
    <w:rsid w:val="00BF04FD"/>
    <w:rsid w:val="00BF0950"/>
    <w:rsid w:val="00BF09AD"/>
    <w:rsid w:val="00BF123E"/>
    <w:rsid w:val="00BF16EB"/>
    <w:rsid w:val="00BF1B88"/>
    <w:rsid w:val="00BF1F81"/>
    <w:rsid w:val="00BF2BFF"/>
    <w:rsid w:val="00BF33FB"/>
    <w:rsid w:val="00BF34DE"/>
    <w:rsid w:val="00BF3628"/>
    <w:rsid w:val="00BF3A38"/>
    <w:rsid w:val="00BF3A60"/>
    <w:rsid w:val="00BF3C58"/>
    <w:rsid w:val="00BF4237"/>
    <w:rsid w:val="00BF536E"/>
    <w:rsid w:val="00BF55AF"/>
    <w:rsid w:val="00BF5611"/>
    <w:rsid w:val="00BF5F20"/>
    <w:rsid w:val="00BF6AF2"/>
    <w:rsid w:val="00BF7199"/>
    <w:rsid w:val="00C00343"/>
    <w:rsid w:val="00C0065B"/>
    <w:rsid w:val="00C00897"/>
    <w:rsid w:val="00C00CBD"/>
    <w:rsid w:val="00C00EF2"/>
    <w:rsid w:val="00C01975"/>
    <w:rsid w:val="00C01B11"/>
    <w:rsid w:val="00C0324C"/>
    <w:rsid w:val="00C03EFA"/>
    <w:rsid w:val="00C03F2F"/>
    <w:rsid w:val="00C04501"/>
    <w:rsid w:val="00C049AB"/>
    <w:rsid w:val="00C049CA"/>
    <w:rsid w:val="00C04CA5"/>
    <w:rsid w:val="00C04CCD"/>
    <w:rsid w:val="00C064AA"/>
    <w:rsid w:val="00C069BD"/>
    <w:rsid w:val="00C06DAF"/>
    <w:rsid w:val="00C06DE1"/>
    <w:rsid w:val="00C07157"/>
    <w:rsid w:val="00C07B16"/>
    <w:rsid w:val="00C1039A"/>
    <w:rsid w:val="00C10D4B"/>
    <w:rsid w:val="00C10D56"/>
    <w:rsid w:val="00C110CB"/>
    <w:rsid w:val="00C11145"/>
    <w:rsid w:val="00C113BF"/>
    <w:rsid w:val="00C11433"/>
    <w:rsid w:val="00C1165C"/>
    <w:rsid w:val="00C11686"/>
    <w:rsid w:val="00C117B4"/>
    <w:rsid w:val="00C130BB"/>
    <w:rsid w:val="00C1330C"/>
    <w:rsid w:val="00C13EF6"/>
    <w:rsid w:val="00C142A1"/>
    <w:rsid w:val="00C14D1F"/>
    <w:rsid w:val="00C14DB6"/>
    <w:rsid w:val="00C1528B"/>
    <w:rsid w:val="00C153A6"/>
    <w:rsid w:val="00C153B4"/>
    <w:rsid w:val="00C153FF"/>
    <w:rsid w:val="00C15586"/>
    <w:rsid w:val="00C15A31"/>
    <w:rsid w:val="00C16152"/>
    <w:rsid w:val="00C162FD"/>
    <w:rsid w:val="00C16E66"/>
    <w:rsid w:val="00C16E6A"/>
    <w:rsid w:val="00C17277"/>
    <w:rsid w:val="00C17990"/>
    <w:rsid w:val="00C203C6"/>
    <w:rsid w:val="00C20D3E"/>
    <w:rsid w:val="00C2107C"/>
    <w:rsid w:val="00C2126C"/>
    <w:rsid w:val="00C2134A"/>
    <w:rsid w:val="00C21414"/>
    <w:rsid w:val="00C21A5E"/>
    <w:rsid w:val="00C21DAC"/>
    <w:rsid w:val="00C22DD7"/>
    <w:rsid w:val="00C22F9A"/>
    <w:rsid w:val="00C2324E"/>
    <w:rsid w:val="00C23904"/>
    <w:rsid w:val="00C23E3B"/>
    <w:rsid w:val="00C246FA"/>
    <w:rsid w:val="00C247BD"/>
    <w:rsid w:val="00C24D64"/>
    <w:rsid w:val="00C24DB6"/>
    <w:rsid w:val="00C24F89"/>
    <w:rsid w:val="00C2508D"/>
    <w:rsid w:val="00C25F77"/>
    <w:rsid w:val="00C25FE7"/>
    <w:rsid w:val="00C26B6C"/>
    <w:rsid w:val="00C26FA4"/>
    <w:rsid w:val="00C271C8"/>
    <w:rsid w:val="00C274A0"/>
    <w:rsid w:val="00C30137"/>
    <w:rsid w:val="00C305B1"/>
    <w:rsid w:val="00C308AC"/>
    <w:rsid w:val="00C30C14"/>
    <w:rsid w:val="00C30EDA"/>
    <w:rsid w:val="00C31531"/>
    <w:rsid w:val="00C31981"/>
    <w:rsid w:val="00C31DCF"/>
    <w:rsid w:val="00C31F84"/>
    <w:rsid w:val="00C322C5"/>
    <w:rsid w:val="00C327F6"/>
    <w:rsid w:val="00C32887"/>
    <w:rsid w:val="00C32EAC"/>
    <w:rsid w:val="00C32EBB"/>
    <w:rsid w:val="00C34773"/>
    <w:rsid w:val="00C34F5C"/>
    <w:rsid w:val="00C354D9"/>
    <w:rsid w:val="00C3597E"/>
    <w:rsid w:val="00C36117"/>
    <w:rsid w:val="00C36404"/>
    <w:rsid w:val="00C366C9"/>
    <w:rsid w:val="00C36C12"/>
    <w:rsid w:val="00C375C4"/>
    <w:rsid w:val="00C379A4"/>
    <w:rsid w:val="00C37C38"/>
    <w:rsid w:val="00C40073"/>
    <w:rsid w:val="00C401B3"/>
    <w:rsid w:val="00C4135D"/>
    <w:rsid w:val="00C41747"/>
    <w:rsid w:val="00C41B05"/>
    <w:rsid w:val="00C4371C"/>
    <w:rsid w:val="00C43736"/>
    <w:rsid w:val="00C441F3"/>
    <w:rsid w:val="00C443DB"/>
    <w:rsid w:val="00C44857"/>
    <w:rsid w:val="00C4505F"/>
    <w:rsid w:val="00C45AAB"/>
    <w:rsid w:val="00C45D6E"/>
    <w:rsid w:val="00C462DE"/>
    <w:rsid w:val="00C46998"/>
    <w:rsid w:val="00C47B1B"/>
    <w:rsid w:val="00C47D88"/>
    <w:rsid w:val="00C511DD"/>
    <w:rsid w:val="00C51351"/>
    <w:rsid w:val="00C51780"/>
    <w:rsid w:val="00C5296E"/>
    <w:rsid w:val="00C52CB6"/>
    <w:rsid w:val="00C535D9"/>
    <w:rsid w:val="00C54715"/>
    <w:rsid w:val="00C5644B"/>
    <w:rsid w:val="00C56DF4"/>
    <w:rsid w:val="00C6098D"/>
    <w:rsid w:val="00C60E7A"/>
    <w:rsid w:val="00C61561"/>
    <w:rsid w:val="00C61767"/>
    <w:rsid w:val="00C61B19"/>
    <w:rsid w:val="00C61B72"/>
    <w:rsid w:val="00C61E5F"/>
    <w:rsid w:val="00C61F65"/>
    <w:rsid w:val="00C621E3"/>
    <w:rsid w:val="00C6325A"/>
    <w:rsid w:val="00C638BC"/>
    <w:rsid w:val="00C63BDA"/>
    <w:rsid w:val="00C640ED"/>
    <w:rsid w:val="00C64214"/>
    <w:rsid w:val="00C64315"/>
    <w:rsid w:val="00C6465C"/>
    <w:rsid w:val="00C6472D"/>
    <w:rsid w:val="00C64B32"/>
    <w:rsid w:val="00C64D36"/>
    <w:rsid w:val="00C650DC"/>
    <w:rsid w:val="00C65315"/>
    <w:rsid w:val="00C6535E"/>
    <w:rsid w:val="00C657FC"/>
    <w:rsid w:val="00C65D68"/>
    <w:rsid w:val="00C65F70"/>
    <w:rsid w:val="00C662C3"/>
    <w:rsid w:val="00C66379"/>
    <w:rsid w:val="00C6651D"/>
    <w:rsid w:val="00C66947"/>
    <w:rsid w:val="00C66B63"/>
    <w:rsid w:val="00C67360"/>
    <w:rsid w:val="00C67606"/>
    <w:rsid w:val="00C67BBC"/>
    <w:rsid w:val="00C700E0"/>
    <w:rsid w:val="00C701EC"/>
    <w:rsid w:val="00C704FD"/>
    <w:rsid w:val="00C7053C"/>
    <w:rsid w:val="00C706ED"/>
    <w:rsid w:val="00C70827"/>
    <w:rsid w:val="00C70DA3"/>
    <w:rsid w:val="00C71A89"/>
    <w:rsid w:val="00C72551"/>
    <w:rsid w:val="00C726A0"/>
    <w:rsid w:val="00C72712"/>
    <w:rsid w:val="00C750EF"/>
    <w:rsid w:val="00C750F2"/>
    <w:rsid w:val="00C75394"/>
    <w:rsid w:val="00C75532"/>
    <w:rsid w:val="00C758AB"/>
    <w:rsid w:val="00C76587"/>
    <w:rsid w:val="00C77034"/>
    <w:rsid w:val="00C7715D"/>
    <w:rsid w:val="00C773A4"/>
    <w:rsid w:val="00C775B4"/>
    <w:rsid w:val="00C80147"/>
    <w:rsid w:val="00C801B6"/>
    <w:rsid w:val="00C80CF6"/>
    <w:rsid w:val="00C80E9E"/>
    <w:rsid w:val="00C80F58"/>
    <w:rsid w:val="00C811CD"/>
    <w:rsid w:val="00C81606"/>
    <w:rsid w:val="00C8189D"/>
    <w:rsid w:val="00C82410"/>
    <w:rsid w:val="00C82A7D"/>
    <w:rsid w:val="00C82D08"/>
    <w:rsid w:val="00C83217"/>
    <w:rsid w:val="00C83FC4"/>
    <w:rsid w:val="00C84201"/>
    <w:rsid w:val="00C84A10"/>
    <w:rsid w:val="00C853CF"/>
    <w:rsid w:val="00C85BA5"/>
    <w:rsid w:val="00C861C7"/>
    <w:rsid w:val="00C86402"/>
    <w:rsid w:val="00C868A7"/>
    <w:rsid w:val="00C86AC5"/>
    <w:rsid w:val="00C86CB9"/>
    <w:rsid w:val="00C8720A"/>
    <w:rsid w:val="00C8753C"/>
    <w:rsid w:val="00C875BB"/>
    <w:rsid w:val="00C876E2"/>
    <w:rsid w:val="00C91D9A"/>
    <w:rsid w:val="00C921A3"/>
    <w:rsid w:val="00C923C3"/>
    <w:rsid w:val="00C92911"/>
    <w:rsid w:val="00C9299B"/>
    <w:rsid w:val="00C92FDF"/>
    <w:rsid w:val="00C931DE"/>
    <w:rsid w:val="00C9360A"/>
    <w:rsid w:val="00C938CA"/>
    <w:rsid w:val="00C93B09"/>
    <w:rsid w:val="00C942B5"/>
    <w:rsid w:val="00C94616"/>
    <w:rsid w:val="00C94875"/>
    <w:rsid w:val="00C95338"/>
    <w:rsid w:val="00C95556"/>
    <w:rsid w:val="00C95808"/>
    <w:rsid w:val="00C959AF"/>
    <w:rsid w:val="00C95AFD"/>
    <w:rsid w:val="00C96149"/>
    <w:rsid w:val="00C96175"/>
    <w:rsid w:val="00C9633B"/>
    <w:rsid w:val="00C96E52"/>
    <w:rsid w:val="00C97136"/>
    <w:rsid w:val="00C97534"/>
    <w:rsid w:val="00CA0857"/>
    <w:rsid w:val="00CA155B"/>
    <w:rsid w:val="00CA18F3"/>
    <w:rsid w:val="00CA2112"/>
    <w:rsid w:val="00CA2651"/>
    <w:rsid w:val="00CA2727"/>
    <w:rsid w:val="00CA27F3"/>
    <w:rsid w:val="00CA305B"/>
    <w:rsid w:val="00CA33EC"/>
    <w:rsid w:val="00CA3615"/>
    <w:rsid w:val="00CA3D0D"/>
    <w:rsid w:val="00CA4101"/>
    <w:rsid w:val="00CA451C"/>
    <w:rsid w:val="00CA49CD"/>
    <w:rsid w:val="00CA4AD4"/>
    <w:rsid w:val="00CA5D6C"/>
    <w:rsid w:val="00CA60A7"/>
    <w:rsid w:val="00CA61B8"/>
    <w:rsid w:val="00CA6222"/>
    <w:rsid w:val="00CA6399"/>
    <w:rsid w:val="00CA66D7"/>
    <w:rsid w:val="00CA7D6D"/>
    <w:rsid w:val="00CB06B1"/>
    <w:rsid w:val="00CB0ADF"/>
    <w:rsid w:val="00CB0C16"/>
    <w:rsid w:val="00CB0F38"/>
    <w:rsid w:val="00CB1296"/>
    <w:rsid w:val="00CB1D7D"/>
    <w:rsid w:val="00CB2369"/>
    <w:rsid w:val="00CB28EE"/>
    <w:rsid w:val="00CB2C84"/>
    <w:rsid w:val="00CB2F1C"/>
    <w:rsid w:val="00CB33F9"/>
    <w:rsid w:val="00CB36D6"/>
    <w:rsid w:val="00CB3B14"/>
    <w:rsid w:val="00CB3C74"/>
    <w:rsid w:val="00CB3D01"/>
    <w:rsid w:val="00CB44B3"/>
    <w:rsid w:val="00CB51DF"/>
    <w:rsid w:val="00CB5880"/>
    <w:rsid w:val="00CB5DC7"/>
    <w:rsid w:val="00CB645D"/>
    <w:rsid w:val="00CB6DB5"/>
    <w:rsid w:val="00CB722A"/>
    <w:rsid w:val="00CB7A04"/>
    <w:rsid w:val="00CC0215"/>
    <w:rsid w:val="00CC0597"/>
    <w:rsid w:val="00CC0B5F"/>
    <w:rsid w:val="00CC0D4B"/>
    <w:rsid w:val="00CC1DEB"/>
    <w:rsid w:val="00CC2E3F"/>
    <w:rsid w:val="00CC3B3C"/>
    <w:rsid w:val="00CC3E2F"/>
    <w:rsid w:val="00CC41EA"/>
    <w:rsid w:val="00CC447B"/>
    <w:rsid w:val="00CC47F7"/>
    <w:rsid w:val="00CC4F95"/>
    <w:rsid w:val="00CC5657"/>
    <w:rsid w:val="00CC61A9"/>
    <w:rsid w:val="00CC65CD"/>
    <w:rsid w:val="00CC69A6"/>
    <w:rsid w:val="00CC69AF"/>
    <w:rsid w:val="00CC77BA"/>
    <w:rsid w:val="00CC7D37"/>
    <w:rsid w:val="00CD007A"/>
    <w:rsid w:val="00CD0D1A"/>
    <w:rsid w:val="00CD13F5"/>
    <w:rsid w:val="00CD16DB"/>
    <w:rsid w:val="00CD1877"/>
    <w:rsid w:val="00CD1CA0"/>
    <w:rsid w:val="00CD276A"/>
    <w:rsid w:val="00CD2904"/>
    <w:rsid w:val="00CD31C6"/>
    <w:rsid w:val="00CD322C"/>
    <w:rsid w:val="00CD3B11"/>
    <w:rsid w:val="00CD3F0C"/>
    <w:rsid w:val="00CD3FFD"/>
    <w:rsid w:val="00CD5751"/>
    <w:rsid w:val="00CD5AFF"/>
    <w:rsid w:val="00CD62E0"/>
    <w:rsid w:val="00CD688D"/>
    <w:rsid w:val="00CD6980"/>
    <w:rsid w:val="00CD6BFA"/>
    <w:rsid w:val="00CD6DB0"/>
    <w:rsid w:val="00CD6FF1"/>
    <w:rsid w:val="00CD7588"/>
    <w:rsid w:val="00CD7660"/>
    <w:rsid w:val="00CD77C7"/>
    <w:rsid w:val="00CD7E26"/>
    <w:rsid w:val="00CE02C7"/>
    <w:rsid w:val="00CE1CD9"/>
    <w:rsid w:val="00CE2218"/>
    <w:rsid w:val="00CE249E"/>
    <w:rsid w:val="00CE2859"/>
    <w:rsid w:val="00CE2ABB"/>
    <w:rsid w:val="00CE2E09"/>
    <w:rsid w:val="00CE381D"/>
    <w:rsid w:val="00CE398C"/>
    <w:rsid w:val="00CE39FF"/>
    <w:rsid w:val="00CE3AB4"/>
    <w:rsid w:val="00CE4CA9"/>
    <w:rsid w:val="00CE521C"/>
    <w:rsid w:val="00CE5254"/>
    <w:rsid w:val="00CE6EFE"/>
    <w:rsid w:val="00CE6FE2"/>
    <w:rsid w:val="00CE7077"/>
    <w:rsid w:val="00CE7119"/>
    <w:rsid w:val="00CE713E"/>
    <w:rsid w:val="00CE7E04"/>
    <w:rsid w:val="00CE7F8A"/>
    <w:rsid w:val="00CF0AD4"/>
    <w:rsid w:val="00CF0AE8"/>
    <w:rsid w:val="00CF0DBA"/>
    <w:rsid w:val="00CF0F31"/>
    <w:rsid w:val="00CF1833"/>
    <w:rsid w:val="00CF18FD"/>
    <w:rsid w:val="00CF199E"/>
    <w:rsid w:val="00CF19CF"/>
    <w:rsid w:val="00CF1F84"/>
    <w:rsid w:val="00CF207A"/>
    <w:rsid w:val="00CF25DB"/>
    <w:rsid w:val="00CF362C"/>
    <w:rsid w:val="00CF4BE2"/>
    <w:rsid w:val="00CF4BEA"/>
    <w:rsid w:val="00CF4CE9"/>
    <w:rsid w:val="00CF4EC1"/>
    <w:rsid w:val="00CF50D0"/>
    <w:rsid w:val="00CF5373"/>
    <w:rsid w:val="00CF649D"/>
    <w:rsid w:val="00CF71DB"/>
    <w:rsid w:val="00CF7714"/>
    <w:rsid w:val="00CF7734"/>
    <w:rsid w:val="00CF7E8B"/>
    <w:rsid w:val="00D00032"/>
    <w:rsid w:val="00D003C9"/>
    <w:rsid w:val="00D00AEF"/>
    <w:rsid w:val="00D00FBE"/>
    <w:rsid w:val="00D0103D"/>
    <w:rsid w:val="00D01FF8"/>
    <w:rsid w:val="00D0205C"/>
    <w:rsid w:val="00D02565"/>
    <w:rsid w:val="00D025FA"/>
    <w:rsid w:val="00D02FD9"/>
    <w:rsid w:val="00D03054"/>
    <w:rsid w:val="00D03BAD"/>
    <w:rsid w:val="00D044A2"/>
    <w:rsid w:val="00D05246"/>
    <w:rsid w:val="00D05788"/>
    <w:rsid w:val="00D05C16"/>
    <w:rsid w:val="00D06286"/>
    <w:rsid w:val="00D06798"/>
    <w:rsid w:val="00D06A97"/>
    <w:rsid w:val="00D07A2C"/>
    <w:rsid w:val="00D07D5B"/>
    <w:rsid w:val="00D10147"/>
    <w:rsid w:val="00D102A1"/>
    <w:rsid w:val="00D105BC"/>
    <w:rsid w:val="00D10726"/>
    <w:rsid w:val="00D1179F"/>
    <w:rsid w:val="00D11F30"/>
    <w:rsid w:val="00D12073"/>
    <w:rsid w:val="00D12773"/>
    <w:rsid w:val="00D12C14"/>
    <w:rsid w:val="00D1330D"/>
    <w:rsid w:val="00D1389D"/>
    <w:rsid w:val="00D13C18"/>
    <w:rsid w:val="00D13D90"/>
    <w:rsid w:val="00D13FBC"/>
    <w:rsid w:val="00D13FC2"/>
    <w:rsid w:val="00D1454C"/>
    <w:rsid w:val="00D147EF"/>
    <w:rsid w:val="00D14E1F"/>
    <w:rsid w:val="00D14E94"/>
    <w:rsid w:val="00D15422"/>
    <w:rsid w:val="00D156C7"/>
    <w:rsid w:val="00D15DAA"/>
    <w:rsid w:val="00D16F26"/>
    <w:rsid w:val="00D17674"/>
    <w:rsid w:val="00D17AAD"/>
    <w:rsid w:val="00D203AB"/>
    <w:rsid w:val="00D206CE"/>
    <w:rsid w:val="00D20708"/>
    <w:rsid w:val="00D209BB"/>
    <w:rsid w:val="00D20CAE"/>
    <w:rsid w:val="00D20D18"/>
    <w:rsid w:val="00D20DCC"/>
    <w:rsid w:val="00D20EEC"/>
    <w:rsid w:val="00D20F0F"/>
    <w:rsid w:val="00D2107E"/>
    <w:rsid w:val="00D212FE"/>
    <w:rsid w:val="00D21481"/>
    <w:rsid w:val="00D21C68"/>
    <w:rsid w:val="00D22336"/>
    <w:rsid w:val="00D22A65"/>
    <w:rsid w:val="00D232D3"/>
    <w:rsid w:val="00D2375C"/>
    <w:rsid w:val="00D2400A"/>
    <w:rsid w:val="00D24472"/>
    <w:rsid w:val="00D24A2F"/>
    <w:rsid w:val="00D24D84"/>
    <w:rsid w:val="00D251A4"/>
    <w:rsid w:val="00D251FB"/>
    <w:rsid w:val="00D255B2"/>
    <w:rsid w:val="00D25681"/>
    <w:rsid w:val="00D25848"/>
    <w:rsid w:val="00D2601F"/>
    <w:rsid w:val="00D26212"/>
    <w:rsid w:val="00D268F0"/>
    <w:rsid w:val="00D26B40"/>
    <w:rsid w:val="00D27882"/>
    <w:rsid w:val="00D30471"/>
    <w:rsid w:val="00D30781"/>
    <w:rsid w:val="00D31001"/>
    <w:rsid w:val="00D3183C"/>
    <w:rsid w:val="00D320E5"/>
    <w:rsid w:val="00D32184"/>
    <w:rsid w:val="00D32449"/>
    <w:rsid w:val="00D32487"/>
    <w:rsid w:val="00D32CE9"/>
    <w:rsid w:val="00D32D13"/>
    <w:rsid w:val="00D32F30"/>
    <w:rsid w:val="00D332E2"/>
    <w:rsid w:val="00D334AB"/>
    <w:rsid w:val="00D33CCD"/>
    <w:rsid w:val="00D342AD"/>
    <w:rsid w:val="00D34D43"/>
    <w:rsid w:val="00D34E1C"/>
    <w:rsid w:val="00D35291"/>
    <w:rsid w:val="00D352D7"/>
    <w:rsid w:val="00D3553C"/>
    <w:rsid w:val="00D3642A"/>
    <w:rsid w:val="00D36493"/>
    <w:rsid w:val="00D3703C"/>
    <w:rsid w:val="00D372D6"/>
    <w:rsid w:val="00D37FB9"/>
    <w:rsid w:val="00D4034A"/>
    <w:rsid w:val="00D403AF"/>
    <w:rsid w:val="00D40ACD"/>
    <w:rsid w:val="00D40CBE"/>
    <w:rsid w:val="00D40D52"/>
    <w:rsid w:val="00D41B20"/>
    <w:rsid w:val="00D4215A"/>
    <w:rsid w:val="00D42E1B"/>
    <w:rsid w:val="00D435C1"/>
    <w:rsid w:val="00D436EA"/>
    <w:rsid w:val="00D43D1E"/>
    <w:rsid w:val="00D440B5"/>
    <w:rsid w:val="00D44AB3"/>
    <w:rsid w:val="00D45213"/>
    <w:rsid w:val="00D45857"/>
    <w:rsid w:val="00D4594D"/>
    <w:rsid w:val="00D45B04"/>
    <w:rsid w:val="00D45D35"/>
    <w:rsid w:val="00D46673"/>
    <w:rsid w:val="00D466D1"/>
    <w:rsid w:val="00D46FAC"/>
    <w:rsid w:val="00D47582"/>
    <w:rsid w:val="00D4777D"/>
    <w:rsid w:val="00D47A26"/>
    <w:rsid w:val="00D50B0F"/>
    <w:rsid w:val="00D50B91"/>
    <w:rsid w:val="00D51566"/>
    <w:rsid w:val="00D51D89"/>
    <w:rsid w:val="00D51E93"/>
    <w:rsid w:val="00D51F99"/>
    <w:rsid w:val="00D53101"/>
    <w:rsid w:val="00D538B5"/>
    <w:rsid w:val="00D5431A"/>
    <w:rsid w:val="00D543F7"/>
    <w:rsid w:val="00D5481F"/>
    <w:rsid w:val="00D54823"/>
    <w:rsid w:val="00D54FF5"/>
    <w:rsid w:val="00D55598"/>
    <w:rsid w:val="00D557C0"/>
    <w:rsid w:val="00D55865"/>
    <w:rsid w:val="00D55C74"/>
    <w:rsid w:val="00D55E5B"/>
    <w:rsid w:val="00D560CB"/>
    <w:rsid w:val="00D56296"/>
    <w:rsid w:val="00D5650F"/>
    <w:rsid w:val="00D56558"/>
    <w:rsid w:val="00D56826"/>
    <w:rsid w:val="00D56DF2"/>
    <w:rsid w:val="00D5716A"/>
    <w:rsid w:val="00D571F2"/>
    <w:rsid w:val="00D57904"/>
    <w:rsid w:val="00D5794B"/>
    <w:rsid w:val="00D57996"/>
    <w:rsid w:val="00D60DE7"/>
    <w:rsid w:val="00D611CE"/>
    <w:rsid w:val="00D613F8"/>
    <w:rsid w:val="00D62196"/>
    <w:rsid w:val="00D62214"/>
    <w:rsid w:val="00D623AE"/>
    <w:rsid w:val="00D624CC"/>
    <w:rsid w:val="00D62A33"/>
    <w:rsid w:val="00D62B7F"/>
    <w:rsid w:val="00D62BFA"/>
    <w:rsid w:val="00D633F1"/>
    <w:rsid w:val="00D6393D"/>
    <w:rsid w:val="00D63FDC"/>
    <w:rsid w:val="00D640C8"/>
    <w:rsid w:val="00D646BB"/>
    <w:rsid w:val="00D648F7"/>
    <w:rsid w:val="00D64A5C"/>
    <w:rsid w:val="00D6506C"/>
    <w:rsid w:val="00D65348"/>
    <w:rsid w:val="00D653B4"/>
    <w:rsid w:val="00D66740"/>
    <w:rsid w:val="00D667B2"/>
    <w:rsid w:val="00D67128"/>
    <w:rsid w:val="00D7008B"/>
    <w:rsid w:val="00D70AF1"/>
    <w:rsid w:val="00D70DA6"/>
    <w:rsid w:val="00D71605"/>
    <w:rsid w:val="00D7161D"/>
    <w:rsid w:val="00D71657"/>
    <w:rsid w:val="00D7188D"/>
    <w:rsid w:val="00D71FCE"/>
    <w:rsid w:val="00D72F24"/>
    <w:rsid w:val="00D733BA"/>
    <w:rsid w:val="00D7366A"/>
    <w:rsid w:val="00D73783"/>
    <w:rsid w:val="00D73FC5"/>
    <w:rsid w:val="00D740DC"/>
    <w:rsid w:val="00D74736"/>
    <w:rsid w:val="00D748E3"/>
    <w:rsid w:val="00D74BB3"/>
    <w:rsid w:val="00D7596A"/>
    <w:rsid w:val="00D7597F"/>
    <w:rsid w:val="00D75D3D"/>
    <w:rsid w:val="00D75F8A"/>
    <w:rsid w:val="00D76425"/>
    <w:rsid w:val="00D769E3"/>
    <w:rsid w:val="00D76F97"/>
    <w:rsid w:val="00D77D0B"/>
    <w:rsid w:val="00D805D7"/>
    <w:rsid w:val="00D81060"/>
    <w:rsid w:val="00D810B3"/>
    <w:rsid w:val="00D81332"/>
    <w:rsid w:val="00D814B4"/>
    <w:rsid w:val="00D81509"/>
    <w:rsid w:val="00D8151B"/>
    <w:rsid w:val="00D8159E"/>
    <w:rsid w:val="00D8163A"/>
    <w:rsid w:val="00D8163C"/>
    <w:rsid w:val="00D81750"/>
    <w:rsid w:val="00D81A36"/>
    <w:rsid w:val="00D821CF"/>
    <w:rsid w:val="00D82641"/>
    <w:rsid w:val="00D828B3"/>
    <w:rsid w:val="00D828C3"/>
    <w:rsid w:val="00D832AF"/>
    <w:rsid w:val="00D83C83"/>
    <w:rsid w:val="00D83D22"/>
    <w:rsid w:val="00D83DEE"/>
    <w:rsid w:val="00D84256"/>
    <w:rsid w:val="00D842B5"/>
    <w:rsid w:val="00D84478"/>
    <w:rsid w:val="00D84770"/>
    <w:rsid w:val="00D84ADF"/>
    <w:rsid w:val="00D84E9A"/>
    <w:rsid w:val="00D8561D"/>
    <w:rsid w:val="00D85CFB"/>
    <w:rsid w:val="00D862C1"/>
    <w:rsid w:val="00D86470"/>
    <w:rsid w:val="00D8679B"/>
    <w:rsid w:val="00D86E4A"/>
    <w:rsid w:val="00D87044"/>
    <w:rsid w:val="00D8755B"/>
    <w:rsid w:val="00D87661"/>
    <w:rsid w:val="00D87D8C"/>
    <w:rsid w:val="00D90761"/>
    <w:rsid w:val="00D90C9C"/>
    <w:rsid w:val="00D90E21"/>
    <w:rsid w:val="00D90E6F"/>
    <w:rsid w:val="00D9173F"/>
    <w:rsid w:val="00D92539"/>
    <w:rsid w:val="00D926F0"/>
    <w:rsid w:val="00D930EC"/>
    <w:rsid w:val="00D935BA"/>
    <w:rsid w:val="00D939E2"/>
    <w:rsid w:val="00D93F1F"/>
    <w:rsid w:val="00D9459B"/>
    <w:rsid w:val="00D94BF0"/>
    <w:rsid w:val="00D95132"/>
    <w:rsid w:val="00D95B72"/>
    <w:rsid w:val="00D96042"/>
    <w:rsid w:val="00D96095"/>
    <w:rsid w:val="00D967D7"/>
    <w:rsid w:val="00D969C9"/>
    <w:rsid w:val="00D97CE5"/>
    <w:rsid w:val="00DA0050"/>
    <w:rsid w:val="00DA028C"/>
    <w:rsid w:val="00DA02EE"/>
    <w:rsid w:val="00DA05A1"/>
    <w:rsid w:val="00DA0E1B"/>
    <w:rsid w:val="00DA153F"/>
    <w:rsid w:val="00DA1D9C"/>
    <w:rsid w:val="00DA243B"/>
    <w:rsid w:val="00DA275C"/>
    <w:rsid w:val="00DA2959"/>
    <w:rsid w:val="00DA2F9C"/>
    <w:rsid w:val="00DA31BD"/>
    <w:rsid w:val="00DA364C"/>
    <w:rsid w:val="00DA3D4D"/>
    <w:rsid w:val="00DA3D88"/>
    <w:rsid w:val="00DA480A"/>
    <w:rsid w:val="00DA4E6B"/>
    <w:rsid w:val="00DA5068"/>
    <w:rsid w:val="00DA57B4"/>
    <w:rsid w:val="00DA583F"/>
    <w:rsid w:val="00DA5DD4"/>
    <w:rsid w:val="00DA7143"/>
    <w:rsid w:val="00DA78A0"/>
    <w:rsid w:val="00DB0629"/>
    <w:rsid w:val="00DB12A0"/>
    <w:rsid w:val="00DB133E"/>
    <w:rsid w:val="00DB1EA2"/>
    <w:rsid w:val="00DB2147"/>
    <w:rsid w:val="00DB2441"/>
    <w:rsid w:val="00DB27F7"/>
    <w:rsid w:val="00DB29F8"/>
    <w:rsid w:val="00DB2BAB"/>
    <w:rsid w:val="00DB3119"/>
    <w:rsid w:val="00DB3431"/>
    <w:rsid w:val="00DB3B7B"/>
    <w:rsid w:val="00DB4124"/>
    <w:rsid w:val="00DB41CB"/>
    <w:rsid w:val="00DB4310"/>
    <w:rsid w:val="00DB4614"/>
    <w:rsid w:val="00DB497F"/>
    <w:rsid w:val="00DB4D44"/>
    <w:rsid w:val="00DB51ED"/>
    <w:rsid w:val="00DB5BCD"/>
    <w:rsid w:val="00DB5D49"/>
    <w:rsid w:val="00DB68E6"/>
    <w:rsid w:val="00DB7394"/>
    <w:rsid w:val="00DB7811"/>
    <w:rsid w:val="00DB7882"/>
    <w:rsid w:val="00DB79C0"/>
    <w:rsid w:val="00DC0097"/>
    <w:rsid w:val="00DC02ED"/>
    <w:rsid w:val="00DC0370"/>
    <w:rsid w:val="00DC03FF"/>
    <w:rsid w:val="00DC048D"/>
    <w:rsid w:val="00DC0590"/>
    <w:rsid w:val="00DC08BE"/>
    <w:rsid w:val="00DC0B12"/>
    <w:rsid w:val="00DC0D67"/>
    <w:rsid w:val="00DC11DC"/>
    <w:rsid w:val="00DC2368"/>
    <w:rsid w:val="00DC24E5"/>
    <w:rsid w:val="00DC2A99"/>
    <w:rsid w:val="00DC2AAF"/>
    <w:rsid w:val="00DC3996"/>
    <w:rsid w:val="00DC4299"/>
    <w:rsid w:val="00DC48F8"/>
    <w:rsid w:val="00DC49AA"/>
    <w:rsid w:val="00DC4DE4"/>
    <w:rsid w:val="00DC58B8"/>
    <w:rsid w:val="00DC5CE7"/>
    <w:rsid w:val="00DC61F0"/>
    <w:rsid w:val="00DC639B"/>
    <w:rsid w:val="00DC6412"/>
    <w:rsid w:val="00DC6535"/>
    <w:rsid w:val="00DC6B04"/>
    <w:rsid w:val="00DC6C37"/>
    <w:rsid w:val="00DC754C"/>
    <w:rsid w:val="00DC78F1"/>
    <w:rsid w:val="00DC7C23"/>
    <w:rsid w:val="00DD0755"/>
    <w:rsid w:val="00DD1861"/>
    <w:rsid w:val="00DD1955"/>
    <w:rsid w:val="00DD1961"/>
    <w:rsid w:val="00DD1B32"/>
    <w:rsid w:val="00DD1C9C"/>
    <w:rsid w:val="00DD1D68"/>
    <w:rsid w:val="00DD20B4"/>
    <w:rsid w:val="00DD24CB"/>
    <w:rsid w:val="00DD2653"/>
    <w:rsid w:val="00DD2F85"/>
    <w:rsid w:val="00DD347A"/>
    <w:rsid w:val="00DD356E"/>
    <w:rsid w:val="00DD3712"/>
    <w:rsid w:val="00DD3750"/>
    <w:rsid w:val="00DD3B95"/>
    <w:rsid w:val="00DD3F1B"/>
    <w:rsid w:val="00DD47D0"/>
    <w:rsid w:val="00DD4ADA"/>
    <w:rsid w:val="00DD4B2B"/>
    <w:rsid w:val="00DD4DEE"/>
    <w:rsid w:val="00DD5154"/>
    <w:rsid w:val="00DD52F3"/>
    <w:rsid w:val="00DD5951"/>
    <w:rsid w:val="00DD69E8"/>
    <w:rsid w:val="00DD7106"/>
    <w:rsid w:val="00DD74E5"/>
    <w:rsid w:val="00DE0387"/>
    <w:rsid w:val="00DE053E"/>
    <w:rsid w:val="00DE0B39"/>
    <w:rsid w:val="00DE0DB8"/>
    <w:rsid w:val="00DE0F4B"/>
    <w:rsid w:val="00DE17F5"/>
    <w:rsid w:val="00DE1C52"/>
    <w:rsid w:val="00DE1C56"/>
    <w:rsid w:val="00DE1F76"/>
    <w:rsid w:val="00DE2380"/>
    <w:rsid w:val="00DE24A5"/>
    <w:rsid w:val="00DE268E"/>
    <w:rsid w:val="00DE2D89"/>
    <w:rsid w:val="00DE3131"/>
    <w:rsid w:val="00DE340A"/>
    <w:rsid w:val="00DE37CD"/>
    <w:rsid w:val="00DE3E5C"/>
    <w:rsid w:val="00DE4072"/>
    <w:rsid w:val="00DE41F3"/>
    <w:rsid w:val="00DE4AA8"/>
    <w:rsid w:val="00DE5373"/>
    <w:rsid w:val="00DE5592"/>
    <w:rsid w:val="00DE55C4"/>
    <w:rsid w:val="00DE5CA2"/>
    <w:rsid w:val="00DE7704"/>
    <w:rsid w:val="00DE7F22"/>
    <w:rsid w:val="00DF012A"/>
    <w:rsid w:val="00DF0240"/>
    <w:rsid w:val="00DF0357"/>
    <w:rsid w:val="00DF05D5"/>
    <w:rsid w:val="00DF0700"/>
    <w:rsid w:val="00DF0745"/>
    <w:rsid w:val="00DF0908"/>
    <w:rsid w:val="00DF0CF5"/>
    <w:rsid w:val="00DF1B9C"/>
    <w:rsid w:val="00DF1BD8"/>
    <w:rsid w:val="00DF1CE7"/>
    <w:rsid w:val="00DF1CE9"/>
    <w:rsid w:val="00DF1EC0"/>
    <w:rsid w:val="00DF2681"/>
    <w:rsid w:val="00DF2A0E"/>
    <w:rsid w:val="00DF2CBE"/>
    <w:rsid w:val="00DF2D4B"/>
    <w:rsid w:val="00DF2E23"/>
    <w:rsid w:val="00DF3A38"/>
    <w:rsid w:val="00DF447A"/>
    <w:rsid w:val="00DF4DD4"/>
    <w:rsid w:val="00DF53AE"/>
    <w:rsid w:val="00DF5498"/>
    <w:rsid w:val="00DF5DE8"/>
    <w:rsid w:val="00DF5F4C"/>
    <w:rsid w:val="00DF69F2"/>
    <w:rsid w:val="00DF6C25"/>
    <w:rsid w:val="00DF7217"/>
    <w:rsid w:val="00DF788C"/>
    <w:rsid w:val="00DF7B3D"/>
    <w:rsid w:val="00DF7D15"/>
    <w:rsid w:val="00E010B9"/>
    <w:rsid w:val="00E0273A"/>
    <w:rsid w:val="00E02B1B"/>
    <w:rsid w:val="00E02BD9"/>
    <w:rsid w:val="00E03396"/>
    <w:rsid w:val="00E033FA"/>
    <w:rsid w:val="00E03773"/>
    <w:rsid w:val="00E04358"/>
    <w:rsid w:val="00E04478"/>
    <w:rsid w:val="00E04887"/>
    <w:rsid w:val="00E050C7"/>
    <w:rsid w:val="00E055E3"/>
    <w:rsid w:val="00E05638"/>
    <w:rsid w:val="00E058BD"/>
    <w:rsid w:val="00E059F4"/>
    <w:rsid w:val="00E05B91"/>
    <w:rsid w:val="00E05F71"/>
    <w:rsid w:val="00E0603D"/>
    <w:rsid w:val="00E06223"/>
    <w:rsid w:val="00E06707"/>
    <w:rsid w:val="00E06A4B"/>
    <w:rsid w:val="00E06CA9"/>
    <w:rsid w:val="00E07ADB"/>
    <w:rsid w:val="00E07EBC"/>
    <w:rsid w:val="00E10E30"/>
    <w:rsid w:val="00E11970"/>
    <w:rsid w:val="00E11CB1"/>
    <w:rsid w:val="00E11CE1"/>
    <w:rsid w:val="00E11E3A"/>
    <w:rsid w:val="00E11FE6"/>
    <w:rsid w:val="00E128AB"/>
    <w:rsid w:val="00E12BAB"/>
    <w:rsid w:val="00E13835"/>
    <w:rsid w:val="00E148F3"/>
    <w:rsid w:val="00E14CA7"/>
    <w:rsid w:val="00E15344"/>
    <w:rsid w:val="00E15AC3"/>
    <w:rsid w:val="00E15F63"/>
    <w:rsid w:val="00E167B9"/>
    <w:rsid w:val="00E167E7"/>
    <w:rsid w:val="00E169D2"/>
    <w:rsid w:val="00E16FB0"/>
    <w:rsid w:val="00E20184"/>
    <w:rsid w:val="00E203F4"/>
    <w:rsid w:val="00E20618"/>
    <w:rsid w:val="00E20C2E"/>
    <w:rsid w:val="00E20CF1"/>
    <w:rsid w:val="00E21A15"/>
    <w:rsid w:val="00E21D02"/>
    <w:rsid w:val="00E23E89"/>
    <w:rsid w:val="00E23EE2"/>
    <w:rsid w:val="00E24021"/>
    <w:rsid w:val="00E248A6"/>
    <w:rsid w:val="00E24AFC"/>
    <w:rsid w:val="00E24B24"/>
    <w:rsid w:val="00E24BD3"/>
    <w:rsid w:val="00E252C2"/>
    <w:rsid w:val="00E25343"/>
    <w:rsid w:val="00E261B4"/>
    <w:rsid w:val="00E26603"/>
    <w:rsid w:val="00E27410"/>
    <w:rsid w:val="00E27606"/>
    <w:rsid w:val="00E27901"/>
    <w:rsid w:val="00E27FFD"/>
    <w:rsid w:val="00E30330"/>
    <w:rsid w:val="00E30CC6"/>
    <w:rsid w:val="00E31321"/>
    <w:rsid w:val="00E3135A"/>
    <w:rsid w:val="00E313A2"/>
    <w:rsid w:val="00E319CF"/>
    <w:rsid w:val="00E32166"/>
    <w:rsid w:val="00E322F8"/>
    <w:rsid w:val="00E3247D"/>
    <w:rsid w:val="00E32B25"/>
    <w:rsid w:val="00E33001"/>
    <w:rsid w:val="00E33C34"/>
    <w:rsid w:val="00E33D27"/>
    <w:rsid w:val="00E33E7B"/>
    <w:rsid w:val="00E353C4"/>
    <w:rsid w:val="00E3540A"/>
    <w:rsid w:val="00E35756"/>
    <w:rsid w:val="00E35B0B"/>
    <w:rsid w:val="00E36227"/>
    <w:rsid w:val="00E3660C"/>
    <w:rsid w:val="00E36C2F"/>
    <w:rsid w:val="00E36CC1"/>
    <w:rsid w:val="00E37232"/>
    <w:rsid w:val="00E3764B"/>
    <w:rsid w:val="00E37A5E"/>
    <w:rsid w:val="00E37A76"/>
    <w:rsid w:val="00E37B43"/>
    <w:rsid w:val="00E406CB"/>
    <w:rsid w:val="00E40F26"/>
    <w:rsid w:val="00E41526"/>
    <w:rsid w:val="00E41BD7"/>
    <w:rsid w:val="00E41DB9"/>
    <w:rsid w:val="00E42064"/>
    <w:rsid w:val="00E422D5"/>
    <w:rsid w:val="00E424D7"/>
    <w:rsid w:val="00E42577"/>
    <w:rsid w:val="00E42B2C"/>
    <w:rsid w:val="00E42BD9"/>
    <w:rsid w:val="00E4328D"/>
    <w:rsid w:val="00E43452"/>
    <w:rsid w:val="00E43F7C"/>
    <w:rsid w:val="00E44CFE"/>
    <w:rsid w:val="00E455BC"/>
    <w:rsid w:val="00E45AE7"/>
    <w:rsid w:val="00E45CF7"/>
    <w:rsid w:val="00E46BC8"/>
    <w:rsid w:val="00E46D88"/>
    <w:rsid w:val="00E503C6"/>
    <w:rsid w:val="00E51727"/>
    <w:rsid w:val="00E51DA3"/>
    <w:rsid w:val="00E51F53"/>
    <w:rsid w:val="00E52349"/>
    <w:rsid w:val="00E52483"/>
    <w:rsid w:val="00E5264D"/>
    <w:rsid w:val="00E5286E"/>
    <w:rsid w:val="00E529A4"/>
    <w:rsid w:val="00E52B52"/>
    <w:rsid w:val="00E52B8B"/>
    <w:rsid w:val="00E5365E"/>
    <w:rsid w:val="00E5370D"/>
    <w:rsid w:val="00E53745"/>
    <w:rsid w:val="00E53794"/>
    <w:rsid w:val="00E53814"/>
    <w:rsid w:val="00E53DB5"/>
    <w:rsid w:val="00E53E34"/>
    <w:rsid w:val="00E547C9"/>
    <w:rsid w:val="00E5547A"/>
    <w:rsid w:val="00E561A9"/>
    <w:rsid w:val="00E5690E"/>
    <w:rsid w:val="00E60376"/>
    <w:rsid w:val="00E60394"/>
    <w:rsid w:val="00E60485"/>
    <w:rsid w:val="00E6088F"/>
    <w:rsid w:val="00E60B81"/>
    <w:rsid w:val="00E60B83"/>
    <w:rsid w:val="00E60D8D"/>
    <w:rsid w:val="00E610A5"/>
    <w:rsid w:val="00E61B56"/>
    <w:rsid w:val="00E61C06"/>
    <w:rsid w:val="00E62031"/>
    <w:rsid w:val="00E6211F"/>
    <w:rsid w:val="00E629FE"/>
    <w:rsid w:val="00E62BD5"/>
    <w:rsid w:val="00E63244"/>
    <w:rsid w:val="00E637D0"/>
    <w:rsid w:val="00E63E03"/>
    <w:rsid w:val="00E63FB7"/>
    <w:rsid w:val="00E64257"/>
    <w:rsid w:val="00E649BD"/>
    <w:rsid w:val="00E64CFB"/>
    <w:rsid w:val="00E656A2"/>
    <w:rsid w:val="00E65DA8"/>
    <w:rsid w:val="00E661A7"/>
    <w:rsid w:val="00E66333"/>
    <w:rsid w:val="00E6694D"/>
    <w:rsid w:val="00E66BEC"/>
    <w:rsid w:val="00E67919"/>
    <w:rsid w:val="00E67D42"/>
    <w:rsid w:val="00E67E38"/>
    <w:rsid w:val="00E70668"/>
    <w:rsid w:val="00E709AC"/>
    <w:rsid w:val="00E70E1A"/>
    <w:rsid w:val="00E71434"/>
    <w:rsid w:val="00E72361"/>
    <w:rsid w:val="00E7237F"/>
    <w:rsid w:val="00E72DBA"/>
    <w:rsid w:val="00E72F6D"/>
    <w:rsid w:val="00E72FDC"/>
    <w:rsid w:val="00E731A1"/>
    <w:rsid w:val="00E733E6"/>
    <w:rsid w:val="00E73858"/>
    <w:rsid w:val="00E73AD5"/>
    <w:rsid w:val="00E73D13"/>
    <w:rsid w:val="00E73FEE"/>
    <w:rsid w:val="00E749D8"/>
    <w:rsid w:val="00E74CC3"/>
    <w:rsid w:val="00E75E98"/>
    <w:rsid w:val="00E75F84"/>
    <w:rsid w:val="00E76339"/>
    <w:rsid w:val="00E76716"/>
    <w:rsid w:val="00E77746"/>
    <w:rsid w:val="00E80D80"/>
    <w:rsid w:val="00E8164D"/>
    <w:rsid w:val="00E81DE9"/>
    <w:rsid w:val="00E82739"/>
    <w:rsid w:val="00E82848"/>
    <w:rsid w:val="00E82B38"/>
    <w:rsid w:val="00E82D11"/>
    <w:rsid w:val="00E8351B"/>
    <w:rsid w:val="00E837CA"/>
    <w:rsid w:val="00E839A6"/>
    <w:rsid w:val="00E83C29"/>
    <w:rsid w:val="00E83F0C"/>
    <w:rsid w:val="00E84BF9"/>
    <w:rsid w:val="00E851DB"/>
    <w:rsid w:val="00E85E9E"/>
    <w:rsid w:val="00E862D5"/>
    <w:rsid w:val="00E86F87"/>
    <w:rsid w:val="00E870B7"/>
    <w:rsid w:val="00E871A2"/>
    <w:rsid w:val="00E87AE1"/>
    <w:rsid w:val="00E87BC5"/>
    <w:rsid w:val="00E87E61"/>
    <w:rsid w:val="00E901C2"/>
    <w:rsid w:val="00E90D81"/>
    <w:rsid w:val="00E90FC4"/>
    <w:rsid w:val="00E91709"/>
    <w:rsid w:val="00E91B54"/>
    <w:rsid w:val="00E91E0B"/>
    <w:rsid w:val="00E941E2"/>
    <w:rsid w:val="00E949F0"/>
    <w:rsid w:val="00E94DEC"/>
    <w:rsid w:val="00E954D3"/>
    <w:rsid w:val="00E955A2"/>
    <w:rsid w:val="00E955B8"/>
    <w:rsid w:val="00E95833"/>
    <w:rsid w:val="00E95E2A"/>
    <w:rsid w:val="00E95E85"/>
    <w:rsid w:val="00E960CB"/>
    <w:rsid w:val="00E962DC"/>
    <w:rsid w:val="00E967DC"/>
    <w:rsid w:val="00E96AB8"/>
    <w:rsid w:val="00E96C2C"/>
    <w:rsid w:val="00E97640"/>
    <w:rsid w:val="00E97A7A"/>
    <w:rsid w:val="00E97C5E"/>
    <w:rsid w:val="00EA031E"/>
    <w:rsid w:val="00EA09FE"/>
    <w:rsid w:val="00EA1178"/>
    <w:rsid w:val="00EA1960"/>
    <w:rsid w:val="00EA1F74"/>
    <w:rsid w:val="00EA2B75"/>
    <w:rsid w:val="00EA2D13"/>
    <w:rsid w:val="00EA2FC4"/>
    <w:rsid w:val="00EA33E3"/>
    <w:rsid w:val="00EA3B37"/>
    <w:rsid w:val="00EA3DA3"/>
    <w:rsid w:val="00EA3F08"/>
    <w:rsid w:val="00EA3F60"/>
    <w:rsid w:val="00EA4A81"/>
    <w:rsid w:val="00EA5323"/>
    <w:rsid w:val="00EA5673"/>
    <w:rsid w:val="00EA56B6"/>
    <w:rsid w:val="00EA588D"/>
    <w:rsid w:val="00EA687E"/>
    <w:rsid w:val="00EA7136"/>
    <w:rsid w:val="00EB0E9D"/>
    <w:rsid w:val="00EB1275"/>
    <w:rsid w:val="00EB14E6"/>
    <w:rsid w:val="00EB18DC"/>
    <w:rsid w:val="00EB1FB9"/>
    <w:rsid w:val="00EB220F"/>
    <w:rsid w:val="00EB2396"/>
    <w:rsid w:val="00EB25EE"/>
    <w:rsid w:val="00EB2F44"/>
    <w:rsid w:val="00EB3212"/>
    <w:rsid w:val="00EB3333"/>
    <w:rsid w:val="00EB34EB"/>
    <w:rsid w:val="00EB395A"/>
    <w:rsid w:val="00EB3A73"/>
    <w:rsid w:val="00EB3ECF"/>
    <w:rsid w:val="00EB4163"/>
    <w:rsid w:val="00EB4882"/>
    <w:rsid w:val="00EB4945"/>
    <w:rsid w:val="00EB494F"/>
    <w:rsid w:val="00EB4ADB"/>
    <w:rsid w:val="00EB5F7A"/>
    <w:rsid w:val="00EB64CC"/>
    <w:rsid w:val="00EB6899"/>
    <w:rsid w:val="00EB7249"/>
    <w:rsid w:val="00EB75B5"/>
    <w:rsid w:val="00EB7617"/>
    <w:rsid w:val="00EC010B"/>
    <w:rsid w:val="00EC0DAE"/>
    <w:rsid w:val="00EC0E50"/>
    <w:rsid w:val="00EC13DC"/>
    <w:rsid w:val="00EC150E"/>
    <w:rsid w:val="00EC184A"/>
    <w:rsid w:val="00EC1BE0"/>
    <w:rsid w:val="00EC3104"/>
    <w:rsid w:val="00EC354C"/>
    <w:rsid w:val="00EC3AB1"/>
    <w:rsid w:val="00EC4ECA"/>
    <w:rsid w:val="00EC4F64"/>
    <w:rsid w:val="00EC547B"/>
    <w:rsid w:val="00EC6082"/>
    <w:rsid w:val="00EC7460"/>
    <w:rsid w:val="00EC760C"/>
    <w:rsid w:val="00EC799B"/>
    <w:rsid w:val="00ED0414"/>
    <w:rsid w:val="00ED07F0"/>
    <w:rsid w:val="00ED0BDA"/>
    <w:rsid w:val="00ED0D83"/>
    <w:rsid w:val="00ED11F8"/>
    <w:rsid w:val="00ED1B57"/>
    <w:rsid w:val="00ED1CE4"/>
    <w:rsid w:val="00ED211E"/>
    <w:rsid w:val="00ED22F2"/>
    <w:rsid w:val="00ED2361"/>
    <w:rsid w:val="00ED2A5E"/>
    <w:rsid w:val="00ED30C2"/>
    <w:rsid w:val="00ED3EA0"/>
    <w:rsid w:val="00ED4545"/>
    <w:rsid w:val="00ED48E4"/>
    <w:rsid w:val="00ED51AB"/>
    <w:rsid w:val="00ED5FA5"/>
    <w:rsid w:val="00ED660D"/>
    <w:rsid w:val="00ED6CA4"/>
    <w:rsid w:val="00ED6CFC"/>
    <w:rsid w:val="00ED70C2"/>
    <w:rsid w:val="00ED793A"/>
    <w:rsid w:val="00ED7E6F"/>
    <w:rsid w:val="00ED7F0B"/>
    <w:rsid w:val="00EE050A"/>
    <w:rsid w:val="00EE098D"/>
    <w:rsid w:val="00EE1413"/>
    <w:rsid w:val="00EE1BF1"/>
    <w:rsid w:val="00EE2022"/>
    <w:rsid w:val="00EE2A4A"/>
    <w:rsid w:val="00EE2B7F"/>
    <w:rsid w:val="00EE2E37"/>
    <w:rsid w:val="00EE31E4"/>
    <w:rsid w:val="00EE34EC"/>
    <w:rsid w:val="00EE37C4"/>
    <w:rsid w:val="00EE39F2"/>
    <w:rsid w:val="00EE3AD9"/>
    <w:rsid w:val="00EE4116"/>
    <w:rsid w:val="00EE428B"/>
    <w:rsid w:val="00EE444B"/>
    <w:rsid w:val="00EE4782"/>
    <w:rsid w:val="00EE4E0E"/>
    <w:rsid w:val="00EE5397"/>
    <w:rsid w:val="00EE5459"/>
    <w:rsid w:val="00EE5492"/>
    <w:rsid w:val="00EE5649"/>
    <w:rsid w:val="00EE5A35"/>
    <w:rsid w:val="00EE60BB"/>
    <w:rsid w:val="00EE6325"/>
    <w:rsid w:val="00EE646A"/>
    <w:rsid w:val="00EE6A0F"/>
    <w:rsid w:val="00EE7AB6"/>
    <w:rsid w:val="00EE7F42"/>
    <w:rsid w:val="00EF0807"/>
    <w:rsid w:val="00EF09EA"/>
    <w:rsid w:val="00EF0A91"/>
    <w:rsid w:val="00EF1266"/>
    <w:rsid w:val="00EF2836"/>
    <w:rsid w:val="00EF2976"/>
    <w:rsid w:val="00EF3647"/>
    <w:rsid w:val="00EF3B3E"/>
    <w:rsid w:val="00EF3D0C"/>
    <w:rsid w:val="00EF41C4"/>
    <w:rsid w:val="00EF41EA"/>
    <w:rsid w:val="00EF4573"/>
    <w:rsid w:val="00EF4AD4"/>
    <w:rsid w:val="00EF510B"/>
    <w:rsid w:val="00EF55FA"/>
    <w:rsid w:val="00EF59C0"/>
    <w:rsid w:val="00EF5D60"/>
    <w:rsid w:val="00EF610B"/>
    <w:rsid w:val="00EF6352"/>
    <w:rsid w:val="00EF6D9A"/>
    <w:rsid w:val="00EF6E4B"/>
    <w:rsid w:val="00EF6F28"/>
    <w:rsid w:val="00EF72A7"/>
    <w:rsid w:val="00F00054"/>
    <w:rsid w:val="00F002A0"/>
    <w:rsid w:val="00F003D3"/>
    <w:rsid w:val="00F00F3F"/>
    <w:rsid w:val="00F01490"/>
    <w:rsid w:val="00F01AF4"/>
    <w:rsid w:val="00F01B51"/>
    <w:rsid w:val="00F02540"/>
    <w:rsid w:val="00F02D10"/>
    <w:rsid w:val="00F02F64"/>
    <w:rsid w:val="00F039DC"/>
    <w:rsid w:val="00F039FC"/>
    <w:rsid w:val="00F04795"/>
    <w:rsid w:val="00F051FC"/>
    <w:rsid w:val="00F0573C"/>
    <w:rsid w:val="00F05856"/>
    <w:rsid w:val="00F05B48"/>
    <w:rsid w:val="00F05DBE"/>
    <w:rsid w:val="00F05F02"/>
    <w:rsid w:val="00F061B2"/>
    <w:rsid w:val="00F074DA"/>
    <w:rsid w:val="00F07645"/>
    <w:rsid w:val="00F078F3"/>
    <w:rsid w:val="00F079EF"/>
    <w:rsid w:val="00F07BFF"/>
    <w:rsid w:val="00F100AC"/>
    <w:rsid w:val="00F1031B"/>
    <w:rsid w:val="00F10423"/>
    <w:rsid w:val="00F10568"/>
    <w:rsid w:val="00F105FD"/>
    <w:rsid w:val="00F1088D"/>
    <w:rsid w:val="00F1110C"/>
    <w:rsid w:val="00F11218"/>
    <w:rsid w:val="00F1181D"/>
    <w:rsid w:val="00F1189C"/>
    <w:rsid w:val="00F11A25"/>
    <w:rsid w:val="00F12B13"/>
    <w:rsid w:val="00F12C15"/>
    <w:rsid w:val="00F12C28"/>
    <w:rsid w:val="00F1314D"/>
    <w:rsid w:val="00F1357C"/>
    <w:rsid w:val="00F13C5D"/>
    <w:rsid w:val="00F13F2C"/>
    <w:rsid w:val="00F14617"/>
    <w:rsid w:val="00F149A3"/>
    <w:rsid w:val="00F14A5E"/>
    <w:rsid w:val="00F14B05"/>
    <w:rsid w:val="00F153AA"/>
    <w:rsid w:val="00F15C37"/>
    <w:rsid w:val="00F16382"/>
    <w:rsid w:val="00F16AFE"/>
    <w:rsid w:val="00F176F8"/>
    <w:rsid w:val="00F17A3E"/>
    <w:rsid w:val="00F17C1D"/>
    <w:rsid w:val="00F17CAD"/>
    <w:rsid w:val="00F205EC"/>
    <w:rsid w:val="00F21AA9"/>
    <w:rsid w:val="00F21ADF"/>
    <w:rsid w:val="00F21F0F"/>
    <w:rsid w:val="00F221F1"/>
    <w:rsid w:val="00F224F4"/>
    <w:rsid w:val="00F22782"/>
    <w:rsid w:val="00F23412"/>
    <w:rsid w:val="00F24158"/>
    <w:rsid w:val="00F24689"/>
    <w:rsid w:val="00F24FAF"/>
    <w:rsid w:val="00F251C9"/>
    <w:rsid w:val="00F25269"/>
    <w:rsid w:val="00F254F8"/>
    <w:rsid w:val="00F2644D"/>
    <w:rsid w:val="00F2679B"/>
    <w:rsid w:val="00F26DA9"/>
    <w:rsid w:val="00F2739B"/>
    <w:rsid w:val="00F27889"/>
    <w:rsid w:val="00F27FDF"/>
    <w:rsid w:val="00F30013"/>
    <w:rsid w:val="00F30818"/>
    <w:rsid w:val="00F31242"/>
    <w:rsid w:val="00F31505"/>
    <w:rsid w:val="00F31806"/>
    <w:rsid w:val="00F31BB9"/>
    <w:rsid w:val="00F320C3"/>
    <w:rsid w:val="00F320CC"/>
    <w:rsid w:val="00F32461"/>
    <w:rsid w:val="00F32E9C"/>
    <w:rsid w:val="00F33976"/>
    <w:rsid w:val="00F33B6B"/>
    <w:rsid w:val="00F347A9"/>
    <w:rsid w:val="00F348B4"/>
    <w:rsid w:val="00F3547C"/>
    <w:rsid w:val="00F35E2A"/>
    <w:rsid w:val="00F35F85"/>
    <w:rsid w:val="00F35FE5"/>
    <w:rsid w:val="00F36BD4"/>
    <w:rsid w:val="00F36BF5"/>
    <w:rsid w:val="00F379D8"/>
    <w:rsid w:val="00F37B64"/>
    <w:rsid w:val="00F37CE3"/>
    <w:rsid w:val="00F37F00"/>
    <w:rsid w:val="00F37FE0"/>
    <w:rsid w:val="00F40C47"/>
    <w:rsid w:val="00F40E46"/>
    <w:rsid w:val="00F41076"/>
    <w:rsid w:val="00F41984"/>
    <w:rsid w:val="00F42049"/>
    <w:rsid w:val="00F42303"/>
    <w:rsid w:val="00F42B8D"/>
    <w:rsid w:val="00F433F0"/>
    <w:rsid w:val="00F4345B"/>
    <w:rsid w:val="00F438C7"/>
    <w:rsid w:val="00F44172"/>
    <w:rsid w:val="00F44320"/>
    <w:rsid w:val="00F443E8"/>
    <w:rsid w:val="00F44557"/>
    <w:rsid w:val="00F447E0"/>
    <w:rsid w:val="00F44ED0"/>
    <w:rsid w:val="00F45A70"/>
    <w:rsid w:val="00F45CFB"/>
    <w:rsid w:val="00F45E69"/>
    <w:rsid w:val="00F465B8"/>
    <w:rsid w:val="00F465CE"/>
    <w:rsid w:val="00F469E2"/>
    <w:rsid w:val="00F4741E"/>
    <w:rsid w:val="00F47A2B"/>
    <w:rsid w:val="00F47B63"/>
    <w:rsid w:val="00F5034E"/>
    <w:rsid w:val="00F50576"/>
    <w:rsid w:val="00F50F80"/>
    <w:rsid w:val="00F519B5"/>
    <w:rsid w:val="00F51B95"/>
    <w:rsid w:val="00F52AC6"/>
    <w:rsid w:val="00F52BCB"/>
    <w:rsid w:val="00F52CFA"/>
    <w:rsid w:val="00F52DA9"/>
    <w:rsid w:val="00F5354A"/>
    <w:rsid w:val="00F53A14"/>
    <w:rsid w:val="00F53F1E"/>
    <w:rsid w:val="00F544A7"/>
    <w:rsid w:val="00F54828"/>
    <w:rsid w:val="00F54D49"/>
    <w:rsid w:val="00F55432"/>
    <w:rsid w:val="00F56D1A"/>
    <w:rsid w:val="00F56D86"/>
    <w:rsid w:val="00F57493"/>
    <w:rsid w:val="00F57E20"/>
    <w:rsid w:val="00F601E7"/>
    <w:rsid w:val="00F608F9"/>
    <w:rsid w:val="00F60992"/>
    <w:rsid w:val="00F60BB0"/>
    <w:rsid w:val="00F62140"/>
    <w:rsid w:val="00F635ED"/>
    <w:rsid w:val="00F63881"/>
    <w:rsid w:val="00F639C9"/>
    <w:rsid w:val="00F63F1B"/>
    <w:rsid w:val="00F645F6"/>
    <w:rsid w:val="00F64B16"/>
    <w:rsid w:val="00F64DC6"/>
    <w:rsid w:val="00F650F2"/>
    <w:rsid w:val="00F65B7E"/>
    <w:rsid w:val="00F65C3C"/>
    <w:rsid w:val="00F65FD3"/>
    <w:rsid w:val="00F65FFD"/>
    <w:rsid w:val="00F66072"/>
    <w:rsid w:val="00F710BD"/>
    <w:rsid w:val="00F71332"/>
    <w:rsid w:val="00F71388"/>
    <w:rsid w:val="00F71833"/>
    <w:rsid w:val="00F720C3"/>
    <w:rsid w:val="00F72786"/>
    <w:rsid w:val="00F72885"/>
    <w:rsid w:val="00F73265"/>
    <w:rsid w:val="00F73336"/>
    <w:rsid w:val="00F73900"/>
    <w:rsid w:val="00F73D21"/>
    <w:rsid w:val="00F74525"/>
    <w:rsid w:val="00F74ADA"/>
    <w:rsid w:val="00F74D04"/>
    <w:rsid w:val="00F74D44"/>
    <w:rsid w:val="00F74E33"/>
    <w:rsid w:val="00F75F5B"/>
    <w:rsid w:val="00F76377"/>
    <w:rsid w:val="00F7661A"/>
    <w:rsid w:val="00F76AD1"/>
    <w:rsid w:val="00F7758D"/>
    <w:rsid w:val="00F8103A"/>
    <w:rsid w:val="00F810C8"/>
    <w:rsid w:val="00F812D7"/>
    <w:rsid w:val="00F81877"/>
    <w:rsid w:val="00F81AD2"/>
    <w:rsid w:val="00F81CAD"/>
    <w:rsid w:val="00F81F62"/>
    <w:rsid w:val="00F81F91"/>
    <w:rsid w:val="00F82219"/>
    <w:rsid w:val="00F82437"/>
    <w:rsid w:val="00F8256F"/>
    <w:rsid w:val="00F8285C"/>
    <w:rsid w:val="00F8297E"/>
    <w:rsid w:val="00F843E3"/>
    <w:rsid w:val="00F8482D"/>
    <w:rsid w:val="00F84B1E"/>
    <w:rsid w:val="00F84C43"/>
    <w:rsid w:val="00F850AA"/>
    <w:rsid w:val="00F85AB2"/>
    <w:rsid w:val="00F86154"/>
    <w:rsid w:val="00F86605"/>
    <w:rsid w:val="00F868D6"/>
    <w:rsid w:val="00F869BB"/>
    <w:rsid w:val="00F86C9B"/>
    <w:rsid w:val="00F87A03"/>
    <w:rsid w:val="00F87D97"/>
    <w:rsid w:val="00F87F23"/>
    <w:rsid w:val="00F91547"/>
    <w:rsid w:val="00F91980"/>
    <w:rsid w:val="00F91CC7"/>
    <w:rsid w:val="00F9256F"/>
    <w:rsid w:val="00F9259D"/>
    <w:rsid w:val="00F92B60"/>
    <w:rsid w:val="00F930B0"/>
    <w:rsid w:val="00F931A1"/>
    <w:rsid w:val="00F9344D"/>
    <w:rsid w:val="00F937BC"/>
    <w:rsid w:val="00F93A0E"/>
    <w:rsid w:val="00F93D7F"/>
    <w:rsid w:val="00F9447B"/>
    <w:rsid w:val="00F95DA9"/>
    <w:rsid w:val="00F96235"/>
    <w:rsid w:val="00F96C97"/>
    <w:rsid w:val="00FA0745"/>
    <w:rsid w:val="00FA0DB2"/>
    <w:rsid w:val="00FA19B1"/>
    <w:rsid w:val="00FA1E3B"/>
    <w:rsid w:val="00FA2024"/>
    <w:rsid w:val="00FA254C"/>
    <w:rsid w:val="00FA268D"/>
    <w:rsid w:val="00FA2BEC"/>
    <w:rsid w:val="00FA34C5"/>
    <w:rsid w:val="00FA395E"/>
    <w:rsid w:val="00FA3975"/>
    <w:rsid w:val="00FA3C52"/>
    <w:rsid w:val="00FA42D8"/>
    <w:rsid w:val="00FA4E57"/>
    <w:rsid w:val="00FA4EC7"/>
    <w:rsid w:val="00FA5990"/>
    <w:rsid w:val="00FA610F"/>
    <w:rsid w:val="00FA683B"/>
    <w:rsid w:val="00FA6ED4"/>
    <w:rsid w:val="00FA7B1E"/>
    <w:rsid w:val="00FB09DB"/>
    <w:rsid w:val="00FB0C87"/>
    <w:rsid w:val="00FB0CA2"/>
    <w:rsid w:val="00FB0D29"/>
    <w:rsid w:val="00FB1467"/>
    <w:rsid w:val="00FB1905"/>
    <w:rsid w:val="00FB1FE7"/>
    <w:rsid w:val="00FB2069"/>
    <w:rsid w:val="00FB2391"/>
    <w:rsid w:val="00FB2B60"/>
    <w:rsid w:val="00FB2E57"/>
    <w:rsid w:val="00FB363F"/>
    <w:rsid w:val="00FB3DD7"/>
    <w:rsid w:val="00FB4492"/>
    <w:rsid w:val="00FB5527"/>
    <w:rsid w:val="00FB57A4"/>
    <w:rsid w:val="00FB5AA5"/>
    <w:rsid w:val="00FB5C70"/>
    <w:rsid w:val="00FB6153"/>
    <w:rsid w:val="00FB61BD"/>
    <w:rsid w:val="00FB622D"/>
    <w:rsid w:val="00FB6339"/>
    <w:rsid w:val="00FB6544"/>
    <w:rsid w:val="00FB6CEE"/>
    <w:rsid w:val="00FB7164"/>
    <w:rsid w:val="00FB73DC"/>
    <w:rsid w:val="00FB78A3"/>
    <w:rsid w:val="00FB7ADD"/>
    <w:rsid w:val="00FC0B0A"/>
    <w:rsid w:val="00FC1268"/>
    <w:rsid w:val="00FC158C"/>
    <w:rsid w:val="00FC18BB"/>
    <w:rsid w:val="00FC1EF9"/>
    <w:rsid w:val="00FC2193"/>
    <w:rsid w:val="00FC280C"/>
    <w:rsid w:val="00FC2AA3"/>
    <w:rsid w:val="00FC3319"/>
    <w:rsid w:val="00FC3A53"/>
    <w:rsid w:val="00FC3CC3"/>
    <w:rsid w:val="00FC3CF4"/>
    <w:rsid w:val="00FC3D4A"/>
    <w:rsid w:val="00FC3F7E"/>
    <w:rsid w:val="00FC416A"/>
    <w:rsid w:val="00FC43B6"/>
    <w:rsid w:val="00FC5E6C"/>
    <w:rsid w:val="00FC5F63"/>
    <w:rsid w:val="00FC689F"/>
    <w:rsid w:val="00FC6F17"/>
    <w:rsid w:val="00FC705B"/>
    <w:rsid w:val="00FC7270"/>
    <w:rsid w:val="00FC7471"/>
    <w:rsid w:val="00FD0323"/>
    <w:rsid w:val="00FD0580"/>
    <w:rsid w:val="00FD09F3"/>
    <w:rsid w:val="00FD0EFE"/>
    <w:rsid w:val="00FD12CB"/>
    <w:rsid w:val="00FD13F7"/>
    <w:rsid w:val="00FD1757"/>
    <w:rsid w:val="00FD1B7C"/>
    <w:rsid w:val="00FD1D43"/>
    <w:rsid w:val="00FD1FE2"/>
    <w:rsid w:val="00FD23AA"/>
    <w:rsid w:val="00FD2601"/>
    <w:rsid w:val="00FD3039"/>
    <w:rsid w:val="00FD304C"/>
    <w:rsid w:val="00FD32E3"/>
    <w:rsid w:val="00FD341E"/>
    <w:rsid w:val="00FD3D57"/>
    <w:rsid w:val="00FD41CE"/>
    <w:rsid w:val="00FD474E"/>
    <w:rsid w:val="00FD49D1"/>
    <w:rsid w:val="00FD55A9"/>
    <w:rsid w:val="00FD56B3"/>
    <w:rsid w:val="00FD5ADB"/>
    <w:rsid w:val="00FD5D0E"/>
    <w:rsid w:val="00FD5EBA"/>
    <w:rsid w:val="00FD6246"/>
    <w:rsid w:val="00FD647A"/>
    <w:rsid w:val="00FD72D9"/>
    <w:rsid w:val="00FD74C7"/>
    <w:rsid w:val="00FD777A"/>
    <w:rsid w:val="00FD7EA7"/>
    <w:rsid w:val="00FE05C6"/>
    <w:rsid w:val="00FE05CB"/>
    <w:rsid w:val="00FE0678"/>
    <w:rsid w:val="00FE078F"/>
    <w:rsid w:val="00FE0C72"/>
    <w:rsid w:val="00FE12E6"/>
    <w:rsid w:val="00FE14EC"/>
    <w:rsid w:val="00FE1B1C"/>
    <w:rsid w:val="00FE1B79"/>
    <w:rsid w:val="00FE1C1E"/>
    <w:rsid w:val="00FE227B"/>
    <w:rsid w:val="00FE2A20"/>
    <w:rsid w:val="00FE329D"/>
    <w:rsid w:val="00FE3417"/>
    <w:rsid w:val="00FE3AE0"/>
    <w:rsid w:val="00FE3B63"/>
    <w:rsid w:val="00FE3C50"/>
    <w:rsid w:val="00FE3E04"/>
    <w:rsid w:val="00FE4049"/>
    <w:rsid w:val="00FE49A9"/>
    <w:rsid w:val="00FE4C42"/>
    <w:rsid w:val="00FE4E29"/>
    <w:rsid w:val="00FE5718"/>
    <w:rsid w:val="00FE63E8"/>
    <w:rsid w:val="00FE6789"/>
    <w:rsid w:val="00FE693D"/>
    <w:rsid w:val="00FE6C03"/>
    <w:rsid w:val="00FE6DB4"/>
    <w:rsid w:val="00FE76E5"/>
    <w:rsid w:val="00FE7AD0"/>
    <w:rsid w:val="00FE7D99"/>
    <w:rsid w:val="00FE7DF4"/>
    <w:rsid w:val="00FF0B41"/>
    <w:rsid w:val="00FF0D10"/>
    <w:rsid w:val="00FF0E67"/>
    <w:rsid w:val="00FF0EBA"/>
    <w:rsid w:val="00FF16EC"/>
    <w:rsid w:val="00FF1A5C"/>
    <w:rsid w:val="00FF3175"/>
    <w:rsid w:val="00FF3472"/>
    <w:rsid w:val="00FF3763"/>
    <w:rsid w:val="00FF3B0D"/>
    <w:rsid w:val="00FF3B95"/>
    <w:rsid w:val="00FF3C71"/>
    <w:rsid w:val="00FF4AA5"/>
    <w:rsid w:val="00FF4BAE"/>
    <w:rsid w:val="00FF5A39"/>
    <w:rsid w:val="00FF6211"/>
    <w:rsid w:val="00FF655C"/>
    <w:rsid w:val="00FF6AA1"/>
    <w:rsid w:val="00FF6ACE"/>
    <w:rsid w:val="00FF78AF"/>
    <w:rsid w:val="00FF7B65"/>
    <w:rsid w:val="00FF7D3F"/>
    <w:rsid w:val="01891B53"/>
    <w:rsid w:val="0211291E"/>
    <w:rsid w:val="02557C87"/>
    <w:rsid w:val="02FC0103"/>
    <w:rsid w:val="031A67DB"/>
    <w:rsid w:val="0383240D"/>
    <w:rsid w:val="06CE0008"/>
    <w:rsid w:val="073E6F3C"/>
    <w:rsid w:val="084D054A"/>
    <w:rsid w:val="087E4839"/>
    <w:rsid w:val="08ED7704"/>
    <w:rsid w:val="08F06634"/>
    <w:rsid w:val="0A03446D"/>
    <w:rsid w:val="0BC44C4D"/>
    <w:rsid w:val="0C517711"/>
    <w:rsid w:val="0D5648B3"/>
    <w:rsid w:val="0D8B004B"/>
    <w:rsid w:val="0D953752"/>
    <w:rsid w:val="0DF86306"/>
    <w:rsid w:val="0E7C4E30"/>
    <w:rsid w:val="0F1B23EB"/>
    <w:rsid w:val="0F534728"/>
    <w:rsid w:val="101F4F54"/>
    <w:rsid w:val="102B2027"/>
    <w:rsid w:val="10B955A2"/>
    <w:rsid w:val="10C04239"/>
    <w:rsid w:val="11DC5CCF"/>
    <w:rsid w:val="123F1DBA"/>
    <w:rsid w:val="12751C80"/>
    <w:rsid w:val="1299085F"/>
    <w:rsid w:val="130F3E82"/>
    <w:rsid w:val="13641842"/>
    <w:rsid w:val="13901E1C"/>
    <w:rsid w:val="14537D9F"/>
    <w:rsid w:val="145F04F1"/>
    <w:rsid w:val="148A6CC5"/>
    <w:rsid w:val="15FF5C91"/>
    <w:rsid w:val="164A35E7"/>
    <w:rsid w:val="17EE22B8"/>
    <w:rsid w:val="17FF2717"/>
    <w:rsid w:val="186467A9"/>
    <w:rsid w:val="18FE652B"/>
    <w:rsid w:val="192121BB"/>
    <w:rsid w:val="1C236310"/>
    <w:rsid w:val="1C536B8E"/>
    <w:rsid w:val="1D2D73DF"/>
    <w:rsid w:val="1DE22603"/>
    <w:rsid w:val="1E012619"/>
    <w:rsid w:val="1EF54BEB"/>
    <w:rsid w:val="1F692B6D"/>
    <w:rsid w:val="1FF62E06"/>
    <w:rsid w:val="204C044A"/>
    <w:rsid w:val="208F1E39"/>
    <w:rsid w:val="20CE0ED9"/>
    <w:rsid w:val="20E029BA"/>
    <w:rsid w:val="21074025"/>
    <w:rsid w:val="21076199"/>
    <w:rsid w:val="22F62969"/>
    <w:rsid w:val="23D30E91"/>
    <w:rsid w:val="244A4D1A"/>
    <w:rsid w:val="24C90335"/>
    <w:rsid w:val="25113A8A"/>
    <w:rsid w:val="2557002B"/>
    <w:rsid w:val="26454BF5"/>
    <w:rsid w:val="28AD5878"/>
    <w:rsid w:val="29071D52"/>
    <w:rsid w:val="294F210F"/>
    <w:rsid w:val="2A2B2EF8"/>
    <w:rsid w:val="2A3909A4"/>
    <w:rsid w:val="2A467D32"/>
    <w:rsid w:val="2A5E1653"/>
    <w:rsid w:val="2AF459E0"/>
    <w:rsid w:val="2D205BB7"/>
    <w:rsid w:val="2D483DC1"/>
    <w:rsid w:val="2E026666"/>
    <w:rsid w:val="2E155D97"/>
    <w:rsid w:val="304F768A"/>
    <w:rsid w:val="31395673"/>
    <w:rsid w:val="31457F70"/>
    <w:rsid w:val="31F12C79"/>
    <w:rsid w:val="32052280"/>
    <w:rsid w:val="33EF31E8"/>
    <w:rsid w:val="342F1837"/>
    <w:rsid w:val="347C2915"/>
    <w:rsid w:val="34EC392A"/>
    <w:rsid w:val="34F97E4B"/>
    <w:rsid w:val="36160F00"/>
    <w:rsid w:val="37D270A9"/>
    <w:rsid w:val="38FA68B7"/>
    <w:rsid w:val="3A147682"/>
    <w:rsid w:val="3A790053"/>
    <w:rsid w:val="3AA34D2C"/>
    <w:rsid w:val="3B345984"/>
    <w:rsid w:val="3BFA7034"/>
    <w:rsid w:val="3C377A75"/>
    <w:rsid w:val="3D0D54B0"/>
    <w:rsid w:val="3D2D16A6"/>
    <w:rsid w:val="3D664D11"/>
    <w:rsid w:val="3D9025F8"/>
    <w:rsid w:val="3D994126"/>
    <w:rsid w:val="3E331626"/>
    <w:rsid w:val="3ECD40A7"/>
    <w:rsid w:val="4011718B"/>
    <w:rsid w:val="40976318"/>
    <w:rsid w:val="40D52048"/>
    <w:rsid w:val="40E90FBF"/>
    <w:rsid w:val="4167099E"/>
    <w:rsid w:val="419E7FFC"/>
    <w:rsid w:val="41C537DA"/>
    <w:rsid w:val="41C757A4"/>
    <w:rsid w:val="427D61B0"/>
    <w:rsid w:val="432307B8"/>
    <w:rsid w:val="43340C18"/>
    <w:rsid w:val="43A538C3"/>
    <w:rsid w:val="43C14B20"/>
    <w:rsid w:val="4404077D"/>
    <w:rsid w:val="440B2B52"/>
    <w:rsid w:val="44D0720B"/>
    <w:rsid w:val="45CD47A3"/>
    <w:rsid w:val="46A21160"/>
    <w:rsid w:val="470671A5"/>
    <w:rsid w:val="472A0C36"/>
    <w:rsid w:val="47AD2BD1"/>
    <w:rsid w:val="47DC0249"/>
    <w:rsid w:val="481B1CA1"/>
    <w:rsid w:val="493A4D1E"/>
    <w:rsid w:val="49EE386C"/>
    <w:rsid w:val="4AF173EE"/>
    <w:rsid w:val="4B137364"/>
    <w:rsid w:val="4BB81CA7"/>
    <w:rsid w:val="4BF40E3E"/>
    <w:rsid w:val="4C7B78B7"/>
    <w:rsid w:val="4DDA23BB"/>
    <w:rsid w:val="4DF118A7"/>
    <w:rsid w:val="4EC56F85"/>
    <w:rsid w:val="517F4EA8"/>
    <w:rsid w:val="51847C7F"/>
    <w:rsid w:val="52E87A7A"/>
    <w:rsid w:val="53B467D5"/>
    <w:rsid w:val="53CE4770"/>
    <w:rsid w:val="54071A30"/>
    <w:rsid w:val="5420418E"/>
    <w:rsid w:val="5503669C"/>
    <w:rsid w:val="57586888"/>
    <w:rsid w:val="578D049F"/>
    <w:rsid w:val="57FB18AC"/>
    <w:rsid w:val="583535CB"/>
    <w:rsid w:val="5878114F"/>
    <w:rsid w:val="5895537C"/>
    <w:rsid w:val="590F1AB3"/>
    <w:rsid w:val="5C593045"/>
    <w:rsid w:val="5C684CA7"/>
    <w:rsid w:val="5C8956D8"/>
    <w:rsid w:val="5D755C5D"/>
    <w:rsid w:val="5DE54B90"/>
    <w:rsid w:val="5EE035AA"/>
    <w:rsid w:val="613025C6"/>
    <w:rsid w:val="61D42CBA"/>
    <w:rsid w:val="62213820"/>
    <w:rsid w:val="6335141E"/>
    <w:rsid w:val="640D3093"/>
    <w:rsid w:val="647805F8"/>
    <w:rsid w:val="64972E8C"/>
    <w:rsid w:val="64A00678"/>
    <w:rsid w:val="665B644B"/>
    <w:rsid w:val="673B1CC5"/>
    <w:rsid w:val="688775F9"/>
    <w:rsid w:val="68E94FC2"/>
    <w:rsid w:val="6982219B"/>
    <w:rsid w:val="6B1761A2"/>
    <w:rsid w:val="6B2E4F6D"/>
    <w:rsid w:val="6BA736B2"/>
    <w:rsid w:val="6C1A459F"/>
    <w:rsid w:val="6C5579F5"/>
    <w:rsid w:val="6CCF21CC"/>
    <w:rsid w:val="6D3A657B"/>
    <w:rsid w:val="6D513FF0"/>
    <w:rsid w:val="6D726375"/>
    <w:rsid w:val="6E7639A7"/>
    <w:rsid w:val="6F241291"/>
    <w:rsid w:val="6F65731F"/>
    <w:rsid w:val="701726E0"/>
    <w:rsid w:val="7089502D"/>
    <w:rsid w:val="744F5D55"/>
    <w:rsid w:val="7499627D"/>
    <w:rsid w:val="759E3B4B"/>
    <w:rsid w:val="7611343A"/>
    <w:rsid w:val="76182881"/>
    <w:rsid w:val="774D1960"/>
    <w:rsid w:val="77650AAE"/>
    <w:rsid w:val="7788609C"/>
    <w:rsid w:val="77BC3152"/>
    <w:rsid w:val="783E7867"/>
    <w:rsid w:val="78931D82"/>
    <w:rsid w:val="78C25A54"/>
    <w:rsid w:val="78F4026D"/>
    <w:rsid w:val="7A0135FC"/>
    <w:rsid w:val="7A3B71D3"/>
    <w:rsid w:val="7A421796"/>
    <w:rsid w:val="7A496BE4"/>
    <w:rsid w:val="7B1A3607"/>
    <w:rsid w:val="7B8B7243"/>
    <w:rsid w:val="7BF1074D"/>
    <w:rsid w:val="7BFA5853"/>
    <w:rsid w:val="7C092067"/>
    <w:rsid w:val="7D562F5D"/>
    <w:rsid w:val="7D7A4E9D"/>
    <w:rsid w:val="7D96308F"/>
    <w:rsid w:val="7F211349"/>
    <w:rsid w:val="7F453289"/>
    <w:rsid w:val="7F671451"/>
    <w:rsid w:val="7FE24D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imes New Roman" w:hAnsi="Times New Roman" w:eastAsia="方正仿宋_GBK" w:cstheme="minorBidi"/>
      <w:kern w:val="2"/>
      <w:sz w:val="32"/>
      <w:szCs w:val="22"/>
      <w:lang w:val="en-US" w:eastAsia="zh-CN" w:bidi="ar-SA"/>
    </w:rPr>
  </w:style>
  <w:style w:type="paragraph" w:styleId="2">
    <w:name w:val="heading 1"/>
    <w:basedOn w:val="1"/>
    <w:next w:val="1"/>
    <w:link w:val="32"/>
    <w:qFormat/>
    <w:uiPriority w:val="9"/>
    <w:pPr>
      <w:keepNext/>
      <w:keepLines/>
      <w:numPr>
        <w:ilvl w:val="0"/>
        <w:numId w:val="1"/>
      </w:numPr>
      <w:spacing w:beforeLines="50" w:after="120"/>
      <w:jc w:val="center"/>
      <w:outlineLvl w:val="0"/>
    </w:pPr>
    <w:rPr>
      <w:rFonts w:eastAsia="方正黑体_GBK"/>
      <w:bCs/>
      <w:kern w:val="44"/>
      <w:szCs w:val="44"/>
    </w:rPr>
  </w:style>
  <w:style w:type="paragraph" w:styleId="3">
    <w:name w:val="heading 2"/>
    <w:basedOn w:val="1"/>
    <w:next w:val="1"/>
    <w:link w:val="33"/>
    <w:unhideWhenUsed/>
    <w:qFormat/>
    <w:uiPriority w:val="9"/>
    <w:pPr>
      <w:keepNext/>
      <w:keepLines/>
      <w:spacing w:before="120" w:after="120"/>
      <w:jc w:val="center"/>
      <w:outlineLvl w:val="1"/>
    </w:pPr>
    <w:rPr>
      <w:rFonts w:eastAsia="方正黑体_GBK" w:cstheme="majorBidi"/>
      <w:bCs/>
      <w:szCs w:val="32"/>
    </w:rPr>
  </w:style>
  <w:style w:type="paragraph" w:styleId="4">
    <w:name w:val="heading 3"/>
    <w:basedOn w:val="1"/>
    <w:next w:val="1"/>
    <w:link w:val="34"/>
    <w:unhideWhenUsed/>
    <w:qFormat/>
    <w:uiPriority w:val="9"/>
    <w:pPr>
      <w:keepNext/>
      <w:keepLines/>
      <w:ind w:firstLine="200" w:firstLineChars="200"/>
      <w:outlineLvl w:val="2"/>
    </w:pPr>
    <w:rPr>
      <w:rFonts w:eastAsia="方正黑体_GBK"/>
      <w:bCs/>
      <w:szCs w:val="32"/>
    </w:rPr>
  </w:style>
  <w:style w:type="paragraph" w:styleId="5">
    <w:name w:val="heading 4"/>
    <w:basedOn w:val="1"/>
    <w:next w:val="1"/>
    <w:link w:val="35"/>
    <w:autoRedefine/>
    <w:unhideWhenUsed/>
    <w:qFormat/>
    <w:uiPriority w:val="9"/>
    <w:pPr>
      <w:keepNext/>
      <w:keepLines/>
      <w:spacing w:before="280" w:after="290" w:line="376" w:lineRule="atLeast"/>
      <w:outlineLvl w:val="3"/>
    </w:pPr>
    <w:rPr>
      <w:rFonts w:asciiTheme="majorHAnsi" w:hAnsiTheme="majorHAnsi" w:eastAsiaTheme="majorEastAsia" w:cstheme="majorBidi"/>
      <w:b/>
      <w:bCs/>
      <w:szCs w:val="28"/>
    </w:rPr>
  </w:style>
  <w:style w:type="paragraph" w:styleId="6">
    <w:name w:val="heading 5"/>
    <w:basedOn w:val="1"/>
    <w:next w:val="1"/>
    <w:link w:val="114"/>
    <w:semiHidden/>
    <w:unhideWhenUsed/>
    <w:qFormat/>
    <w:uiPriority w:val="9"/>
    <w:pPr>
      <w:keepNext/>
      <w:keepLines/>
      <w:spacing w:before="280" w:after="290" w:line="376" w:lineRule="atLeast"/>
      <w:outlineLvl w:val="4"/>
    </w:pPr>
    <w:rPr>
      <w:b/>
      <w:bCs/>
      <w:szCs w:val="28"/>
    </w:rPr>
  </w:style>
  <w:style w:type="character" w:default="1" w:styleId="26">
    <w:name w:val="Default Paragraph Font"/>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spacing w:line="240" w:lineRule="auto"/>
      <w:ind w:left="2520" w:leftChars="1200"/>
    </w:pPr>
    <w:rPr>
      <w:rFonts w:asciiTheme="minorHAnsi" w:hAnsiTheme="minorHAnsi" w:eastAsiaTheme="minorEastAsia"/>
      <w:sz w:val="21"/>
    </w:rPr>
  </w:style>
  <w:style w:type="paragraph" w:styleId="8">
    <w:name w:val="caption"/>
    <w:basedOn w:val="1"/>
    <w:next w:val="1"/>
    <w:autoRedefine/>
    <w:unhideWhenUsed/>
    <w:qFormat/>
    <w:uiPriority w:val="35"/>
    <w:rPr>
      <w:rFonts w:eastAsia="黑体" w:asciiTheme="majorHAnsi" w:hAnsiTheme="majorHAnsi" w:cstheme="majorBidi"/>
      <w:sz w:val="20"/>
      <w:szCs w:val="20"/>
    </w:rPr>
  </w:style>
  <w:style w:type="paragraph" w:styleId="9">
    <w:name w:val="annotation text"/>
    <w:basedOn w:val="1"/>
    <w:link w:val="40"/>
    <w:autoRedefine/>
    <w:unhideWhenUsed/>
    <w:qFormat/>
    <w:uiPriority w:val="99"/>
    <w:pPr>
      <w:jc w:val="left"/>
    </w:pPr>
  </w:style>
  <w:style w:type="paragraph" w:styleId="10">
    <w:name w:val="toc 5"/>
    <w:basedOn w:val="1"/>
    <w:next w:val="1"/>
    <w:autoRedefine/>
    <w:unhideWhenUsed/>
    <w:qFormat/>
    <w:uiPriority w:val="39"/>
    <w:pPr>
      <w:spacing w:line="240" w:lineRule="auto"/>
      <w:ind w:left="1680" w:leftChars="800"/>
    </w:pPr>
    <w:rPr>
      <w:rFonts w:asciiTheme="minorHAnsi" w:hAnsiTheme="minorHAnsi" w:eastAsiaTheme="minorEastAsia"/>
      <w:sz w:val="21"/>
    </w:rPr>
  </w:style>
  <w:style w:type="paragraph" w:styleId="11">
    <w:name w:val="toc 3"/>
    <w:basedOn w:val="1"/>
    <w:next w:val="1"/>
    <w:autoRedefine/>
    <w:unhideWhenUsed/>
    <w:qFormat/>
    <w:uiPriority w:val="39"/>
    <w:pPr>
      <w:ind w:left="840" w:leftChars="400"/>
    </w:pPr>
    <w:rPr>
      <w:rFonts w:eastAsia="方正楷体_GBK"/>
      <w:sz w:val="28"/>
    </w:rPr>
  </w:style>
  <w:style w:type="paragraph" w:styleId="12">
    <w:name w:val="toc 8"/>
    <w:basedOn w:val="1"/>
    <w:next w:val="1"/>
    <w:autoRedefine/>
    <w:unhideWhenUsed/>
    <w:qFormat/>
    <w:uiPriority w:val="39"/>
    <w:pPr>
      <w:spacing w:line="240" w:lineRule="auto"/>
      <w:ind w:left="2940" w:leftChars="1400"/>
    </w:pPr>
    <w:rPr>
      <w:rFonts w:asciiTheme="minorHAnsi" w:hAnsiTheme="minorHAnsi" w:eastAsiaTheme="minorEastAsia"/>
      <w:sz w:val="21"/>
    </w:rPr>
  </w:style>
  <w:style w:type="paragraph" w:styleId="13">
    <w:name w:val="Balloon Text"/>
    <w:basedOn w:val="1"/>
    <w:link w:val="127"/>
    <w:autoRedefine/>
    <w:semiHidden/>
    <w:unhideWhenUsed/>
    <w:qFormat/>
    <w:uiPriority w:val="99"/>
    <w:pPr>
      <w:spacing w:line="240" w:lineRule="auto"/>
    </w:pPr>
    <w:rPr>
      <w:sz w:val="18"/>
      <w:szCs w:val="18"/>
    </w:rPr>
  </w:style>
  <w:style w:type="paragraph" w:styleId="14">
    <w:name w:val="footer"/>
    <w:basedOn w:val="1"/>
    <w:link w:val="31"/>
    <w:autoRedefine/>
    <w:unhideWhenUsed/>
    <w:qFormat/>
    <w:uiPriority w:val="99"/>
    <w:pPr>
      <w:tabs>
        <w:tab w:val="center" w:pos="4153"/>
        <w:tab w:val="right" w:pos="8306"/>
      </w:tabs>
      <w:snapToGrid w:val="0"/>
      <w:jc w:val="left"/>
    </w:pPr>
    <w:rPr>
      <w:sz w:val="18"/>
      <w:szCs w:val="18"/>
    </w:rPr>
  </w:style>
  <w:style w:type="paragraph" w:styleId="15">
    <w:name w:val="header"/>
    <w:basedOn w:val="1"/>
    <w:link w:val="3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pPr>
      <w:tabs>
        <w:tab w:val="right" w:leader="dot" w:pos="8296"/>
      </w:tabs>
    </w:pPr>
    <w:rPr>
      <w:rFonts w:eastAsia="方正黑体_GBK"/>
      <w:sz w:val="28"/>
    </w:rPr>
  </w:style>
  <w:style w:type="paragraph" w:styleId="17">
    <w:name w:val="toc 4"/>
    <w:basedOn w:val="1"/>
    <w:next w:val="1"/>
    <w:autoRedefine/>
    <w:unhideWhenUsed/>
    <w:qFormat/>
    <w:uiPriority w:val="39"/>
    <w:pPr>
      <w:spacing w:line="240" w:lineRule="auto"/>
      <w:ind w:left="1260" w:leftChars="600"/>
    </w:pPr>
    <w:rPr>
      <w:rFonts w:asciiTheme="minorHAnsi" w:hAnsiTheme="minorHAnsi" w:eastAsiaTheme="minorEastAsia"/>
      <w:sz w:val="21"/>
    </w:rPr>
  </w:style>
  <w:style w:type="paragraph" w:styleId="18">
    <w:name w:val="toc 6"/>
    <w:basedOn w:val="1"/>
    <w:next w:val="1"/>
    <w:autoRedefine/>
    <w:unhideWhenUsed/>
    <w:qFormat/>
    <w:uiPriority w:val="39"/>
    <w:pPr>
      <w:spacing w:line="240" w:lineRule="auto"/>
      <w:ind w:left="2100" w:leftChars="1000"/>
    </w:pPr>
    <w:rPr>
      <w:rFonts w:asciiTheme="minorHAnsi" w:hAnsiTheme="minorHAnsi" w:eastAsiaTheme="minorEastAsia"/>
      <w:sz w:val="21"/>
    </w:rPr>
  </w:style>
  <w:style w:type="paragraph" w:styleId="19">
    <w:name w:val="toc 2"/>
    <w:basedOn w:val="1"/>
    <w:next w:val="1"/>
    <w:autoRedefine/>
    <w:unhideWhenUsed/>
    <w:qFormat/>
    <w:uiPriority w:val="39"/>
    <w:pPr>
      <w:ind w:left="420" w:leftChars="200"/>
    </w:pPr>
    <w:rPr>
      <w:rFonts w:eastAsia="方正楷体_GBK"/>
      <w:sz w:val="28"/>
    </w:rPr>
  </w:style>
  <w:style w:type="paragraph" w:styleId="20">
    <w:name w:val="toc 9"/>
    <w:basedOn w:val="1"/>
    <w:next w:val="1"/>
    <w:autoRedefine/>
    <w:unhideWhenUsed/>
    <w:qFormat/>
    <w:uiPriority w:val="39"/>
    <w:pPr>
      <w:spacing w:line="240" w:lineRule="auto"/>
      <w:ind w:left="3360" w:leftChars="1600"/>
    </w:pPr>
    <w:rPr>
      <w:rFonts w:asciiTheme="minorHAnsi" w:hAnsiTheme="minorHAnsi" w:eastAsiaTheme="minorEastAsia"/>
      <w:sz w:val="21"/>
    </w:rPr>
  </w:style>
  <w:style w:type="paragraph" w:styleId="21">
    <w:name w:val="Normal (Web)"/>
    <w:basedOn w:val="1"/>
    <w:autoRedefine/>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22">
    <w:name w:val="annotation subject"/>
    <w:basedOn w:val="9"/>
    <w:next w:val="9"/>
    <w:link w:val="41"/>
    <w:autoRedefine/>
    <w:semiHidden/>
    <w:unhideWhenUsed/>
    <w:qFormat/>
    <w:uiPriority w:val="99"/>
    <w:rPr>
      <w:b/>
      <w:bCs/>
    </w:rPr>
  </w:style>
  <w:style w:type="table" w:styleId="24">
    <w:name w:val="Table Grid"/>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Table Professional"/>
    <w:basedOn w:val="2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7">
    <w:name w:val="FollowedHyperlink"/>
    <w:basedOn w:val="26"/>
    <w:autoRedefine/>
    <w:semiHidden/>
    <w:unhideWhenUsed/>
    <w:qFormat/>
    <w:uiPriority w:val="99"/>
    <w:rPr>
      <w:color w:val="954F72"/>
      <w:u w:val="single"/>
    </w:rPr>
  </w:style>
  <w:style w:type="character" w:styleId="28">
    <w:name w:val="Hyperlink"/>
    <w:basedOn w:val="26"/>
    <w:autoRedefine/>
    <w:unhideWhenUsed/>
    <w:qFormat/>
    <w:uiPriority w:val="99"/>
    <w:rPr>
      <w:color w:val="0563C1" w:themeColor="hyperlink"/>
      <w:u w:val="single"/>
      <w14:textFill>
        <w14:solidFill>
          <w14:schemeClr w14:val="hlink"/>
        </w14:solidFill>
      </w14:textFill>
    </w:rPr>
  </w:style>
  <w:style w:type="character" w:styleId="29">
    <w:name w:val="annotation reference"/>
    <w:basedOn w:val="26"/>
    <w:autoRedefine/>
    <w:semiHidden/>
    <w:unhideWhenUsed/>
    <w:qFormat/>
    <w:uiPriority w:val="99"/>
    <w:rPr>
      <w:sz w:val="21"/>
      <w:szCs w:val="21"/>
    </w:rPr>
  </w:style>
  <w:style w:type="character" w:customStyle="1" w:styleId="30">
    <w:name w:val="页眉 Char"/>
    <w:basedOn w:val="26"/>
    <w:link w:val="15"/>
    <w:autoRedefine/>
    <w:qFormat/>
    <w:uiPriority w:val="99"/>
    <w:rPr>
      <w:sz w:val="18"/>
      <w:szCs w:val="18"/>
    </w:rPr>
  </w:style>
  <w:style w:type="character" w:customStyle="1" w:styleId="31">
    <w:name w:val="页脚 Char"/>
    <w:basedOn w:val="26"/>
    <w:link w:val="14"/>
    <w:autoRedefine/>
    <w:qFormat/>
    <w:uiPriority w:val="99"/>
    <w:rPr>
      <w:sz w:val="18"/>
      <w:szCs w:val="18"/>
    </w:rPr>
  </w:style>
  <w:style w:type="character" w:customStyle="1" w:styleId="32">
    <w:name w:val="标题 1 Char"/>
    <w:basedOn w:val="26"/>
    <w:link w:val="2"/>
    <w:autoRedefine/>
    <w:qFormat/>
    <w:uiPriority w:val="9"/>
    <w:rPr>
      <w:rFonts w:eastAsia="方正黑体_GBK" w:cstheme="minorBidi"/>
      <w:bCs/>
      <w:kern w:val="44"/>
      <w:sz w:val="32"/>
      <w:szCs w:val="44"/>
    </w:rPr>
  </w:style>
  <w:style w:type="character" w:customStyle="1" w:styleId="33">
    <w:name w:val="标题 2 Char"/>
    <w:basedOn w:val="26"/>
    <w:link w:val="3"/>
    <w:autoRedefine/>
    <w:qFormat/>
    <w:uiPriority w:val="9"/>
    <w:rPr>
      <w:rFonts w:eastAsia="方正黑体_GBK" w:cstheme="majorBidi"/>
      <w:bCs/>
      <w:kern w:val="2"/>
      <w:sz w:val="32"/>
      <w:szCs w:val="32"/>
    </w:rPr>
  </w:style>
  <w:style w:type="character" w:customStyle="1" w:styleId="34">
    <w:name w:val="标题 3 Char"/>
    <w:basedOn w:val="26"/>
    <w:link w:val="4"/>
    <w:autoRedefine/>
    <w:qFormat/>
    <w:uiPriority w:val="9"/>
    <w:rPr>
      <w:rFonts w:eastAsia="方正黑体_GBK" w:cstheme="minorBidi"/>
      <w:bCs/>
      <w:kern w:val="2"/>
      <w:sz w:val="32"/>
      <w:szCs w:val="32"/>
    </w:rPr>
  </w:style>
  <w:style w:type="character" w:customStyle="1" w:styleId="35">
    <w:name w:val="标题 4 Char"/>
    <w:basedOn w:val="26"/>
    <w:link w:val="5"/>
    <w:autoRedefine/>
    <w:qFormat/>
    <w:uiPriority w:val="9"/>
    <w:rPr>
      <w:rFonts w:asciiTheme="majorHAnsi" w:hAnsiTheme="majorHAnsi" w:eastAsiaTheme="majorEastAsia" w:cstheme="majorBidi"/>
      <w:b/>
      <w:bCs/>
      <w:sz w:val="28"/>
      <w:szCs w:val="28"/>
    </w:rPr>
  </w:style>
  <w:style w:type="paragraph" w:styleId="36">
    <w:name w:val="List Paragraph"/>
    <w:basedOn w:val="1"/>
    <w:link w:val="123"/>
    <w:autoRedefine/>
    <w:qFormat/>
    <w:uiPriority w:val="34"/>
    <w:pPr>
      <w:ind w:firstLine="420" w:firstLineChars="200"/>
    </w:pPr>
  </w:style>
  <w:style w:type="paragraph" w:customStyle="1" w:styleId="37">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bCs w:val="0"/>
      <w:color w:val="2F5597" w:themeColor="accent1" w:themeShade="BF"/>
      <w:kern w:val="0"/>
      <w:szCs w:val="32"/>
    </w:rPr>
  </w:style>
  <w:style w:type="paragraph" w:customStyle="1" w:styleId="38">
    <w:name w:val="图"/>
    <w:basedOn w:val="1"/>
    <w:link w:val="39"/>
    <w:autoRedefine/>
    <w:qFormat/>
    <w:uiPriority w:val="0"/>
    <w:pPr>
      <w:spacing w:afterLines="50" w:line="240" w:lineRule="auto"/>
      <w:jc w:val="center"/>
    </w:pPr>
    <w:rPr>
      <w:b/>
      <w:sz w:val="24"/>
    </w:rPr>
  </w:style>
  <w:style w:type="character" w:customStyle="1" w:styleId="39">
    <w:name w:val="图 字符"/>
    <w:basedOn w:val="26"/>
    <w:link w:val="38"/>
    <w:autoRedefine/>
    <w:qFormat/>
    <w:uiPriority w:val="0"/>
    <w:rPr>
      <w:rFonts w:ascii="Times New Roman" w:hAnsi="Times New Roman" w:eastAsia="方正仿宋_GBK"/>
      <w:b/>
      <w:sz w:val="24"/>
    </w:rPr>
  </w:style>
  <w:style w:type="character" w:customStyle="1" w:styleId="40">
    <w:name w:val="批注文字 Char"/>
    <w:basedOn w:val="26"/>
    <w:link w:val="9"/>
    <w:autoRedefine/>
    <w:qFormat/>
    <w:uiPriority w:val="99"/>
    <w:rPr>
      <w:rFonts w:ascii="Times New Roman" w:hAnsi="Times New Roman" w:eastAsia="仿宋_GB2312"/>
      <w:sz w:val="24"/>
    </w:rPr>
  </w:style>
  <w:style w:type="character" w:customStyle="1" w:styleId="41">
    <w:name w:val="批注主题 Char"/>
    <w:basedOn w:val="40"/>
    <w:link w:val="22"/>
    <w:autoRedefine/>
    <w:semiHidden/>
    <w:qFormat/>
    <w:uiPriority w:val="99"/>
    <w:rPr>
      <w:rFonts w:ascii="Times New Roman" w:hAnsi="Times New Roman" w:eastAsia="仿宋_GB2312"/>
      <w:b/>
      <w:bCs/>
      <w:sz w:val="24"/>
    </w:rPr>
  </w:style>
  <w:style w:type="paragraph" w:styleId="42">
    <w:name w:val="No Spacing"/>
    <w:link w:val="44"/>
    <w:autoRedefine/>
    <w:qFormat/>
    <w:uiPriority w:val="1"/>
    <w:pPr>
      <w:widowControl w:val="0"/>
      <w:jc w:val="both"/>
    </w:pPr>
    <w:rPr>
      <w:rFonts w:ascii="Times New Roman" w:hAnsi="Times New Roman" w:eastAsia="仿宋_GB2312" w:cstheme="minorBidi"/>
      <w:kern w:val="2"/>
      <w:sz w:val="24"/>
      <w:szCs w:val="22"/>
      <w:lang w:val="en-US" w:eastAsia="zh-CN" w:bidi="ar-SA"/>
    </w:rPr>
  </w:style>
  <w:style w:type="paragraph" w:customStyle="1" w:styleId="43">
    <w:name w:val="表"/>
    <w:basedOn w:val="42"/>
    <w:link w:val="45"/>
    <w:autoRedefine/>
    <w:qFormat/>
    <w:uiPriority w:val="0"/>
    <w:pPr>
      <w:spacing w:beforeLines="50" w:line="360" w:lineRule="auto"/>
      <w:jc w:val="center"/>
    </w:pPr>
    <w:rPr>
      <w:rFonts w:eastAsia="方正仿宋_GBK"/>
      <w:b/>
    </w:rPr>
  </w:style>
  <w:style w:type="character" w:customStyle="1" w:styleId="44">
    <w:name w:val="无间隔 Char"/>
    <w:basedOn w:val="26"/>
    <w:link w:val="42"/>
    <w:autoRedefine/>
    <w:qFormat/>
    <w:uiPriority w:val="1"/>
    <w:rPr>
      <w:rFonts w:ascii="Times New Roman" w:hAnsi="Times New Roman" w:eastAsia="仿宋_GB2312"/>
      <w:sz w:val="24"/>
    </w:rPr>
  </w:style>
  <w:style w:type="character" w:customStyle="1" w:styleId="45">
    <w:name w:val="表 字符"/>
    <w:basedOn w:val="44"/>
    <w:link w:val="43"/>
    <w:autoRedefine/>
    <w:qFormat/>
    <w:uiPriority w:val="0"/>
    <w:rPr>
      <w:rFonts w:ascii="Times New Roman" w:hAnsi="Times New Roman" w:eastAsia="方正仿宋_GBK"/>
      <w:b/>
      <w:sz w:val="24"/>
    </w:rPr>
  </w:style>
  <w:style w:type="character" w:customStyle="1" w:styleId="46">
    <w:name w:val="未处理的提及1"/>
    <w:basedOn w:val="26"/>
    <w:autoRedefine/>
    <w:semiHidden/>
    <w:unhideWhenUsed/>
    <w:qFormat/>
    <w:uiPriority w:val="99"/>
    <w:rPr>
      <w:color w:val="605E5C"/>
      <w:shd w:val="clear" w:color="auto" w:fill="E1DFDD"/>
    </w:rPr>
  </w:style>
  <w:style w:type="paragraph" w:customStyle="1" w:styleId="47">
    <w:name w:val="表字"/>
    <w:basedOn w:val="1"/>
    <w:link w:val="48"/>
    <w:autoRedefine/>
    <w:qFormat/>
    <w:uiPriority w:val="0"/>
    <w:pPr>
      <w:spacing w:line="240" w:lineRule="auto"/>
    </w:pPr>
    <w:rPr>
      <w:sz w:val="21"/>
    </w:rPr>
  </w:style>
  <w:style w:type="character" w:customStyle="1" w:styleId="48">
    <w:name w:val="表字 字符"/>
    <w:basedOn w:val="26"/>
    <w:link w:val="47"/>
    <w:autoRedefine/>
    <w:qFormat/>
    <w:uiPriority w:val="0"/>
    <w:rPr>
      <w:rFonts w:eastAsia="方正仿宋_GBK" w:cstheme="minorBidi"/>
      <w:kern w:val="2"/>
      <w:sz w:val="21"/>
      <w:szCs w:val="22"/>
    </w:rPr>
  </w:style>
  <w:style w:type="paragraph" w:customStyle="1" w:styleId="49">
    <w:name w:val="msonormal"/>
    <w:basedOn w:val="1"/>
    <w:autoRedefine/>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50">
    <w:name w:val="font5"/>
    <w:basedOn w:val="1"/>
    <w:autoRedefine/>
    <w:qFormat/>
    <w:uiPriority w:val="0"/>
    <w:pPr>
      <w:widowControl/>
      <w:spacing w:before="100" w:beforeAutospacing="1" w:after="100" w:afterAutospacing="1" w:line="240" w:lineRule="auto"/>
      <w:jc w:val="left"/>
    </w:pPr>
    <w:rPr>
      <w:rFonts w:ascii="等线" w:hAnsi="等线" w:eastAsia="等线" w:cs="宋体"/>
      <w:kern w:val="0"/>
      <w:sz w:val="18"/>
      <w:szCs w:val="18"/>
    </w:rPr>
  </w:style>
  <w:style w:type="paragraph" w:customStyle="1" w:styleId="5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方正仿宋_GBK" w:hAnsi="方正仿宋_GBK" w:cs="宋体"/>
      <w:b/>
      <w:bCs/>
      <w:kern w:val="0"/>
      <w:sz w:val="24"/>
      <w:szCs w:val="24"/>
    </w:rPr>
  </w:style>
  <w:style w:type="paragraph" w:customStyle="1" w:styleId="5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b/>
      <w:bCs/>
      <w:color w:val="000000"/>
      <w:kern w:val="0"/>
      <w:sz w:val="20"/>
      <w:szCs w:val="20"/>
    </w:rPr>
  </w:style>
  <w:style w:type="paragraph" w:customStyle="1" w:styleId="5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b/>
      <w:bCs/>
      <w:kern w:val="0"/>
      <w:sz w:val="20"/>
      <w:szCs w:val="20"/>
    </w:rPr>
  </w:style>
  <w:style w:type="paragraph" w:customStyle="1" w:styleId="5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b/>
      <w:bCs/>
      <w:kern w:val="0"/>
      <w:sz w:val="20"/>
      <w:szCs w:val="20"/>
    </w:rPr>
  </w:style>
  <w:style w:type="paragraph" w:customStyle="1" w:styleId="55">
    <w:name w:val="xl69"/>
    <w:basedOn w:val="1"/>
    <w:autoRedefine/>
    <w:qFormat/>
    <w:uiPriority w:val="0"/>
    <w:pPr>
      <w:widowControl/>
      <w:spacing w:before="100" w:beforeAutospacing="1" w:after="100" w:afterAutospacing="1" w:line="240" w:lineRule="auto"/>
      <w:jc w:val="left"/>
    </w:pPr>
    <w:rPr>
      <w:rFonts w:ascii="方正仿宋_GBK" w:hAnsi="方正仿宋_GBK" w:cs="宋体"/>
      <w:kern w:val="0"/>
      <w:sz w:val="24"/>
      <w:szCs w:val="24"/>
    </w:rPr>
  </w:style>
  <w:style w:type="paragraph" w:customStyle="1" w:styleId="5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方正仿宋_GBK" w:hAnsi="方正仿宋_GBK" w:cs="宋体"/>
      <w:kern w:val="0"/>
      <w:sz w:val="24"/>
      <w:szCs w:val="24"/>
    </w:rPr>
  </w:style>
  <w:style w:type="paragraph" w:customStyle="1" w:styleId="5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kern w:val="0"/>
      <w:sz w:val="24"/>
      <w:szCs w:val="24"/>
    </w:rPr>
  </w:style>
  <w:style w:type="paragraph" w:customStyle="1" w:styleId="58">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kern w:val="0"/>
      <w:sz w:val="24"/>
      <w:szCs w:val="24"/>
    </w:rPr>
  </w:style>
  <w:style w:type="paragraph" w:customStyle="1" w:styleId="59">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方正仿宋_GBK" w:hAnsi="方正仿宋_GBK" w:cs="宋体"/>
      <w:kern w:val="0"/>
      <w:sz w:val="24"/>
      <w:szCs w:val="24"/>
    </w:rPr>
  </w:style>
  <w:style w:type="paragraph" w:customStyle="1" w:styleId="6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方正仿宋_GBK" w:hAnsi="方正仿宋_GBK" w:cs="宋体"/>
      <w:kern w:val="0"/>
      <w:sz w:val="24"/>
      <w:szCs w:val="24"/>
    </w:rPr>
  </w:style>
  <w:style w:type="paragraph" w:customStyle="1" w:styleId="6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b/>
      <w:bCs/>
      <w:kern w:val="0"/>
      <w:sz w:val="24"/>
      <w:szCs w:val="24"/>
    </w:rPr>
  </w:style>
  <w:style w:type="paragraph" w:customStyle="1" w:styleId="6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方正仿宋_GBK" w:hAnsi="方正仿宋_GBK" w:cs="宋体"/>
      <w:kern w:val="0"/>
      <w:sz w:val="24"/>
      <w:szCs w:val="24"/>
    </w:rPr>
  </w:style>
  <w:style w:type="paragraph" w:customStyle="1" w:styleId="63">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color w:val="FF0000"/>
      <w:kern w:val="0"/>
      <w:sz w:val="24"/>
      <w:szCs w:val="24"/>
    </w:rPr>
  </w:style>
  <w:style w:type="paragraph" w:customStyle="1" w:styleId="6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方正仿宋_GBK" w:hAnsi="方正仿宋_GBK" w:cs="宋体"/>
      <w:color w:val="FF0000"/>
      <w:kern w:val="0"/>
      <w:sz w:val="24"/>
      <w:szCs w:val="24"/>
    </w:rPr>
  </w:style>
  <w:style w:type="paragraph" w:customStyle="1" w:styleId="65">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color w:val="FF0000"/>
      <w:kern w:val="0"/>
      <w:sz w:val="24"/>
      <w:szCs w:val="24"/>
    </w:rPr>
  </w:style>
  <w:style w:type="paragraph" w:customStyle="1" w:styleId="66">
    <w:name w:val="xl80"/>
    <w:basedOn w:val="1"/>
    <w:autoRedefine/>
    <w:qFormat/>
    <w:uiPriority w:val="0"/>
    <w:pPr>
      <w:widowControl/>
      <w:spacing w:before="100" w:beforeAutospacing="1" w:after="100" w:afterAutospacing="1" w:line="240" w:lineRule="auto"/>
      <w:jc w:val="left"/>
    </w:pPr>
    <w:rPr>
      <w:rFonts w:ascii="方正仿宋_GBK" w:hAnsi="方正仿宋_GBK" w:cs="宋体"/>
      <w:color w:val="FF0000"/>
      <w:kern w:val="0"/>
      <w:sz w:val="24"/>
      <w:szCs w:val="24"/>
    </w:rPr>
  </w:style>
  <w:style w:type="paragraph" w:customStyle="1" w:styleId="6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kern w:val="0"/>
      <w:sz w:val="24"/>
      <w:szCs w:val="24"/>
    </w:rPr>
  </w:style>
  <w:style w:type="paragraph" w:customStyle="1" w:styleId="68">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方正仿宋_GBK" w:hAnsi="方正仿宋_GBK" w:cs="宋体"/>
      <w:color w:val="FF0000"/>
      <w:kern w:val="0"/>
      <w:sz w:val="24"/>
      <w:szCs w:val="24"/>
    </w:rPr>
  </w:style>
  <w:style w:type="paragraph" w:customStyle="1" w:styleId="69">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b/>
      <w:bCs/>
      <w:color w:val="FF0000"/>
      <w:kern w:val="0"/>
      <w:sz w:val="24"/>
      <w:szCs w:val="24"/>
    </w:rPr>
  </w:style>
  <w:style w:type="paragraph" w:customStyle="1" w:styleId="70">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eastAsia="宋体" w:cs="宋体"/>
      <w:color w:val="000000"/>
      <w:kern w:val="0"/>
      <w:sz w:val="21"/>
      <w:szCs w:val="21"/>
    </w:rPr>
  </w:style>
  <w:style w:type="paragraph" w:customStyle="1" w:styleId="7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kern w:val="0"/>
      <w:sz w:val="24"/>
      <w:szCs w:val="24"/>
    </w:rPr>
  </w:style>
  <w:style w:type="paragraph" w:customStyle="1" w:styleId="72">
    <w:name w:val="xl86"/>
    <w:basedOn w:val="1"/>
    <w:autoRedefine/>
    <w:qFormat/>
    <w:uiPriority w:val="0"/>
    <w:pPr>
      <w:widowControl/>
      <w:spacing w:before="100" w:beforeAutospacing="1" w:after="100" w:afterAutospacing="1" w:line="240" w:lineRule="auto"/>
      <w:jc w:val="left"/>
      <w:textAlignment w:val="center"/>
    </w:pPr>
    <w:rPr>
      <w:rFonts w:ascii="方正仿宋_GBK" w:hAnsi="方正仿宋_GBK" w:cs="宋体"/>
      <w:b/>
      <w:bCs/>
      <w:kern w:val="0"/>
      <w:sz w:val="24"/>
      <w:szCs w:val="24"/>
    </w:rPr>
  </w:style>
  <w:style w:type="paragraph" w:customStyle="1" w:styleId="73">
    <w:name w:val="xl87"/>
    <w:basedOn w:val="1"/>
    <w:autoRedefine/>
    <w:qFormat/>
    <w:uiPriority w:val="0"/>
    <w:pPr>
      <w:widowControl/>
      <w:spacing w:before="100" w:beforeAutospacing="1" w:after="100" w:afterAutospacing="1" w:line="240" w:lineRule="auto"/>
      <w:jc w:val="left"/>
      <w:textAlignment w:val="center"/>
    </w:pPr>
    <w:rPr>
      <w:rFonts w:ascii="方正仿宋_GBK" w:hAnsi="方正仿宋_GBK" w:cs="宋体"/>
      <w:kern w:val="0"/>
      <w:sz w:val="24"/>
      <w:szCs w:val="24"/>
    </w:rPr>
  </w:style>
  <w:style w:type="paragraph" w:customStyle="1" w:styleId="74">
    <w:name w:val="xl88"/>
    <w:basedOn w:val="1"/>
    <w:autoRedefine/>
    <w:qFormat/>
    <w:uiPriority w:val="0"/>
    <w:pPr>
      <w:widowControl/>
      <w:spacing w:before="100" w:beforeAutospacing="1" w:after="100" w:afterAutospacing="1" w:line="240" w:lineRule="auto"/>
      <w:jc w:val="center"/>
      <w:textAlignment w:val="center"/>
    </w:pPr>
    <w:rPr>
      <w:rFonts w:ascii="方正仿宋_GBK" w:hAnsi="方正仿宋_GBK" w:cs="宋体"/>
      <w:kern w:val="0"/>
      <w:sz w:val="24"/>
      <w:szCs w:val="24"/>
    </w:rPr>
  </w:style>
  <w:style w:type="paragraph" w:customStyle="1" w:styleId="75">
    <w:name w:val="xl89"/>
    <w:basedOn w:val="1"/>
    <w:autoRedefine/>
    <w:qFormat/>
    <w:uiPriority w:val="0"/>
    <w:pPr>
      <w:widowControl/>
      <w:spacing w:before="100" w:beforeAutospacing="1" w:after="100" w:afterAutospacing="1" w:line="240" w:lineRule="auto"/>
      <w:jc w:val="left"/>
    </w:pPr>
    <w:rPr>
      <w:rFonts w:ascii="方正仿宋_GBK" w:hAnsi="方正仿宋_GBK" w:cs="宋体"/>
      <w:kern w:val="0"/>
      <w:sz w:val="24"/>
      <w:szCs w:val="24"/>
    </w:rPr>
  </w:style>
  <w:style w:type="paragraph" w:customStyle="1" w:styleId="76">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b/>
      <w:bCs/>
      <w:color w:val="000000"/>
      <w:kern w:val="0"/>
      <w:sz w:val="20"/>
      <w:szCs w:val="20"/>
    </w:rPr>
  </w:style>
  <w:style w:type="paragraph" w:customStyle="1" w:styleId="77">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b/>
      <w:bCs/>
      <w:kern w:val="0"/>
      <w:sz w:val="20"/>
      <w:szCs w:val="20"/>
    </w:rPr>
  </w:style>
  <w:style w:type="paragraph" w:customStyle="1" w:styleId="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kern w:val="0"/>
      <w:sz w:val="20"/>
      <w:szCs w:val="20"/>
    </w:rPr>
  </w:style>
  <w:style w:type="paragraph" w:customStyle="1" w:styleId="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color w:val="4472C4"/>
      <w:kern w:val="0"/>
      <w:sz w:val="24"/>
      <w:szCs w:val="24"/>
    </w:rPr>
  </w:style>
  <w:style w:type="paragraph" w:customStyle="1" w:styleId="80">
    <w:name w:val="xl9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textAlignment w:val="center"/>
    </w:pPr>
    <w:rPr>
      <w:rFonts w:ascii="方正仿宋_GBK" w:hAnsi="方正仿宋_GBK" w:cs="宋体"/>
      <w:kern w:val="0"/>
      <w:sz w:val="24"/>
      <w:szCs w:val="24"/>
    </w:rPr>
  </w:style>
  <w:style w:type="paragraph" w:customStyle="1" w:styleId="81">
    <w:name w:val="xl93"/>
    <w:basedOn w:val="1"/>
    <w:autoRedefine/>
    <w:qFormat/>
    <w:uiPriority w:val="0"/>
    <w:pPr>
      <w:widowControl/>
      <w:pBdr>
        <w:top w:val="single" w:color="auto" w:sz="4" w:space="0"/>
        <w:bottom w:val="single" w:color="auto" w:sz="4" w:space="0"/>
      </w:pBdr>
      <w:spacing w:before="100" w:beforeAutospacing="1" w:after="100" w:afterAutospacing="1" w:line="240" w:lineRule="auto"/>
      <w:jc w:val="left"/>
      <w:textAlignment w:val="center"/>
    </w:pPr>
    <w:rPr>
      <w:rFonts w:ascii="方正仿宋_GBK" w:hAnsi="方正仿宋_GBK" w:cs="宋体"/>
      <w:kern w:val="0"/>
      <w:sz w:val="24"/>
      <w:szCs w:val="24"/>
    </w:rPr>
  </w:style>
  <w:style w:type="paragraph" w:customStyle="1" w:styleId="82">
    <w:name w:val="xl9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kern w:val="0"/>
      <w:sz w:val="24"/>
      <w:szCs w:val="24"/>
    </w:rPr>
  </w:style>
  <w:style w:type="paragraph" w:customStyle="1" w:styleId="83">
    <w:name w:val="xl9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textAlignment w:val="center"/>
    </w:pPr>
    <w:rPr>
      <w:rFonts w:ascii="方正仿宋_GBK" w:hAnsi="方正仿宋_GBK" w:cs="宋体"/>
      <w:b/>
      <w:bCs/>
      <w:kern w:val="0"/>
      <w:sz w:val="24"/>
      <w:szCs w:val="24"/>
    </w:rPr>
  </w:style>
  <w:style w:type="paragraph" w:customStyle="1" w:styleId="84">
    <w:name w:val="xl96"/>
    <w:basedOn w:val="1"/>
    <w:autoRedefine/>
    <w:qFormat/>
    <w:uiPriority w:val="0"/>
    <w:pPr>
      <w:widowControl/>
      <w:pBdr>
        <w:top w:val="single" w:color="auto" w:sz="4" w:space="0"/>
        <w:bottom w:val="single" w:color="auto" w:sz="4" w:space="0"/>
      </w:pBdr>
      <w:spacing w:before="100" w:beforeAutospacing="1" w:after="100" w:afterAutospacing="1" w:line="240" w:lineRule="auto"/>
      <w:jc w:val="left"/>
      <w:textAlignment w:val="center"/>
    </w:pPr>
    <w:rPr>
      <w:rFonts w:ascii="方正仿宋_GBK" w:hAnsi="方正仿宋_GBK" w:cs="宋体"/>
      <w:b/>
      <w:bCs/>
      <w:kern w:val="0"/>
      <w:sz w:val="24"/>
      <w:szCs w:val="24"/>
    </w:rPr>
  </w:style>
  <w:style w:type="paragraph" w:customStyle="1" w:styleId="85">
    <w:name w:val="xl9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b/>
      <w:bCs/>
      <w:kern w:val="0"/>
      <w:sz w:val="24"/>
      <w:szCs w:val="24"/>
    </w:rPr>
  </w:style>
  <w:style w:type="paragraph" w:customStyle="1" w:styleId="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方正仿宋_GBK" w:hAnsi="方正仿宋_GBK" w:cs="宋体"/>
      <w:b/>
      <w:bCs/>
      <w:kern w:val="0"/>
      <w:sz w:val="24"/>
      <w:szCs w:val="24"/>
    </w:rPr>
  </w:style>
  <w:style w:type="paragraph" w:customStyle="1" w:styleId="87">
    <w:name w:val="xl9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方正仿宋_GBK" w:hAnsi="方正仿宋_GBK" w:cs="宋体"/>
      <w:kern w:val="0"/>
      <w:sz w:val="24"/>
      <w:szCs w:val="24"/>
    </w:rPr>
  </w:style>
  <w:style w:type="paragraph" w:customStyle="1" w:styleId="88">
    <w:name w:val="xl100"/>
    <w:basedOn w:val="1"/>
    <w:autoRedefine/>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方正仿宋_GBK" w:hAnsi="方正仿宋_GBK" w:cs="宋体"/>
      <w:kern w:val="0"/>
      <w:sz w:val="24"/>
      <w:szCs w:val="24"/>
    </w:rPr>
  </w:style>
  <w:style w:type="paragraph" w:customStyle="1" w:styleId="89">
    <w:name w:val="xl10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方正仿宋_GBK" w:hAnsi="方正仿宋_GBK" w:cs="宋体"/>
      <w:kern w:val="0"/>
      <w:sz w:val="24"/>
      <w:szCs w:val="24"/>
    </w:rPr>
  </w:style>
  <w:style w:type="paragraph" w:customStyle="1" w:styleId="90">
    <w:name w:val="修订1"/>
    <w:autoRedefine/>
    <w:hidden/>
    <w:semiHidden/>
    <w:qFormat/>
    <w:uiPriority w:val="99"/>
    <w:rPr>
      <w:rFonts w:ascii="Times New Roman" w:hAnsi="Times New Roman" w:eastAsia="方正仿宋_GBK" w:cstheme="minorBidi"/>
      <w:kern w:val="2"/>
      <w:sz w:val="28"/>
      <w:szCs w:val="22"/>
      <w:lang w:val="en-US" w:eastAsia="zh-CN" w:bidi="ar-SA"/>
    </w:rPr>
  </w:style>
  <w:style w:type="paragraph" w:customStyle="1" w:styleId="91">
    <w:name w:val="font6"/>
    <w:basedOn w:val="1"/>
    <w:autoRedefine/>
    <w:qFormat/>
    <w:uiPriority w:val="0"/>
    <w:pPr>
      <w:widowControl/>
      <w:spacing w:before="100" w:beforeAutospacing="1" w:after="100" w:afterAutospacing="1" w:line="240" w:lineRule="auto"/>
      <w:jc w:val="left"/>
    </w:pPr>
    <w:rPr>
      <w:rFonts w:ascii="等线" w:hAnsi="等线" w:eastAsia="等线" w:cs="宋体"/>
      <w:kern w:val="0"/>
      <w:sz w:val="18"/>
      <w:szCs w:val="18"/>
    </w:rPr>
  </w:style>
  <w:style w:type="paragraph" w:customStyle="1" w:styleId="92">
    <w:name w:val="font7"/>
    <w:basedOn w:val="1"/>
    <w:autoRedefine/>
    <w:qFormat/>
    <w:uiPriority w:val="0"/>
    <w:pPr>
      <w:widowControl/>
      <w:spacing w:before="100" w:beforeAutospacing="1" w:after="100" w:afterAutospacing="1" w:line="240" w:lineRule="auto"/>
      <w:jc w:val="left"/>
    </w:pPr>
    <w:rPr>
      <w:rFonts w:eastAsia="宋体" w:cs="Times New Roman"/>
      <w:color w:val="000000"/>
      <w:kern w:val="0"/>
      <w:sz w:val="24"/>
      <w:szCs w:val="24"/>
    </w:rPr>
  </w:style>
  <w:style w:type="paragraph" w:customStyle="1" w:styleId="93">
    <w:name w:val="font8"/>
    <w:basedOn w:val="1"/>
    <w:autoRedefine/>
    <w:qFormat/>
    <w:uiPriority w:val="0"/>
    <w:pPr>
      <w:widowControl/>
      <w:spacing w:before="100" w:beforeAutospacing="1" w:after="100" w:afterAutospacing="1" w:line="240" w:lineRule="auto"/>
      <w:jc w:val="left"/>
    </w:pPr>
    <w:rPr>
      <w:rFonts w:ascii="方正仿宋_GBK" w:hAnsi="方正仿宋_GBK" w:cs="宋体"/>
      <w:color w:val="000000"/>
      <w:kern w:val="0"/>
      <w:sz w:val="24"/>
      <w:szCs w:val="24"/>
    </w:rPr>
  </w:style>
  <w:style w:type="paragraph" w:customStyle="1" w:styleId="94">
    <w:name w:val="font9"/>
    <w:basedOn w:val="1"/>
    <w:autoRedefine/>
    <w:qFormat/>
    <w:uiPriority w:val="0"/>
    <w:pPr>
      <w:widowControl/>
      <w:spacing w:before="100" w:beforeAutospacing="1" w:after="100" w:afterAutospacing="1" w:line="240" w:lineRule="auto"/>
      <w:jc w:val="left"/>
    </w:pPr>
    <w:rPr>
      <w:rFonts w:ascii="方正仿宋_GBK" w:hAnsi="方正仿宋_GBK" w:cs="宋体"/>
      <w:color w:val="000000"/>
      <w:kern w:val="0"/>
      <w:sz w:val="24"/>
      <w:szCs w:val="24"/>
    </w:rPr>
  </w:style>
  <w:style w:type="character" w:customStyle="1" w:styleId="95">
    <w:name w:val="未处理的提及2"/>
    <w:basedOn w:val="26"/>
    <w:autoRedefine/>
    <w:semiHidden/>
    <w:unhideWhenUsed/>
    <w:qFormat/>
    <w:uiPriority w:val="99"/>
    <w:rPr>
      <w:color w:val="605E5C"/>
      <w:shd w:val="clear" w:color="auto" w:fill="E1DFDD"/>
    </w:rPr>
  </w:style>
  <w:style w:type="paragraph" w:customStyle="1" w:styleId="96">
    <w:name w:val="font12"/>
    <w:basedOn w:val="1"/>
    <w:autoRedefine/>
    <w:qFormat/>
    <w:uiPriority w:val="0"/>
    <w:pPr>
      <w:widowControl/>
      <w:spacing w:before="100" w:beforeAutospacing="1" w:after="100" w:afterAutospacing="1" w:line="240" w:lineRule="auto"/>
      <w:jc w:val="left"/>
    </w:pPr>
    <w:rPr>
      <w:rFonts w:ascii="方正仿宋_GBK" w:hAnsi="方正仿宋_GBK" w:cs="宋体"/>
      <w:b/>
      <w:bCs/>
      <w:color w:val="000000"/>
      <w:kern w:val="0"/>
      <w:sz w:val="24"/>
      <w:szCs w:val="24"/>
    </w:rPr>
  </w:style>
  <w:style w:type="paragraph" w:customStyle="1" w:styleId="97">
    <w:name w:val="font13"/>
    <w:basedOn w:val="1"/>
    <w:autoRedefine/>
    <w:qFormat/>
    <w:uiPriority w:val="0"/>
    <w:pPr>
      <w:widowControl/>
      <w:spacing w:before="100" w:beforeAutospacing="1" w:after="100" w:afterAutospacing="1" w:line="240" w:lineRule="auto"/>
      <w:jc w:val="left"/>
    </w:pPr>
    <w:rPr>
      <w:rFonts w:eastAsia="宋体" w:cs="Times New Roman"/>
      <w:color w:val="000000"/>
      <w:kern w:val="0"/>
      <w:sz w:val="22"/>
    </w:rPr>
  </w:style>
  <w:style w:type="table" w:customStyle="1" w:styleId="98">
    <w:name w:val="网格型1"/>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9">
    <w:name w:val="font31"/>
    <w:basedOn w:val="26"/>
    <w:autoRedefine/>
    <w:qFormat/>
    <w:uiPriority w:val="0"/>
    <w:rPr>
      <w:rFonts w:hint="default" w:ascii="Times New Roman" w:hAnsi="Times New Roman" w:cs="Times New Roman"/>
      <w:color w:val="000000"/>
      <w:sz w:val="24"/>
      <w:szCs w:val="24"/>
      <w:u w:val="none"/>
    </w:rPr>
  </w:style>
  <w:style w:type="paragraph" w:customStyle="1" w:styleId="100">
    <w:name w:val="修订2"/>
    <w:autoRedefine/>
    <w:hidden/>
    <w:semiHidden/>
    <w:qFormat/>
    <w:uiPriority w:val="99"/>
    <w:rPr>
      <w:rFonts w:ascii="Times New Roman" w:hAnsi="Times New Roman" w:eastAsia="方正仿宋_GBK" w:cstheme="minorBidi"/>
      <w:kern w:val="2"/>
      <w:sz w:val="28"/>
      <w:szCs w:val="22"/>
      <w:lang w:val="en-US" w:eastAsia="zh-CN" w:bidi="ar-SA"/>
    </w:rPr>
  </w:style>
  <w:style w:type="character" w:customStyle="1" w:styleId="101">
    <w:name w:val="未处理的提及21"/>
    <w:basedOn w:val="26"/>
    <w:autoRedefine/>
    <w:semiHidden/>
    <w:unhideWhenUsed/>
    <w:qFormat/>
    <w:uiPriority w:val="99"/>
    <w:rPr>
      <w:color w:val="605E5C"/>
      <w:shd w:val="clear" w:color="auto" w:fill="E1DFDD"/>
    </w:rPr>
  </w:style>
  <w:style w:type="table" w:customStyle="1" w:styleId="102">
    <w:name w:val="网格列表1"/>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列表2"/>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列表3"/>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列表4"/>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列表5"/>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7">
    <w:name w:val="font14"/>
    <w:basedOn w:val="1"/>
    <w:autoRedefine/>
    <w:qFormat/>
    <w:uiPriority w:val="0"/>
    <w:pPr>
      <w:widowControl/>
      <w:spacing w:before="100" w:beforeAutospacing="1" w:after="100" w:afterAutospacing="1" w:line="240" w:lineRule="auto"/>
      <w:jc w:val="left"/>
    </w:pPr>
    <w:rPr>
      <w:rFonts w:ascii="方正仿宋_GBK" w:hAnsi="宋体" w:cs="宋体"/>
      <w:color w:val="000000"/>
      <w:kern w:val="0"/>
      <w:sz w:val="22"/>
    </w:rPr>
  </w:style>
  <w:style w:type="paragraph" w:customStyle="1" w:styleId="108">
    <w:name w:val="font15"/>
    <w:basedOn w:val="1"/>
    <w:autoRedefine/>
    <w:qFormat/>
    <w:uiPriority w:val="0"/>
    <w:pPr>
      <w:widowControl/>
      <w:spacing w:before="100" w:beforeAutospacing="1" w:after="100" w:afterAutospacing="1" w:line="240" w:lineRule="auto"/>
      <w:jc w:val="left"/>
    </w:pPr>
    <w:rPr>
      <w:rFonts w:ascii="方正仿宋_GBK" w:hAnsi="宋体" w:cs="宋体"/>
      <w:color w:val="000000"/>
      <w:kern w:val="0"/>
      <w:sz w:val="22"/>
    </w:rPr>
  </w:style>
  <w:style w:type="paragraph" w:customStyle="1" w:styleId="109">
    <w:name w:val="font16"/>
    <w:basedOn w:val="1"/>
    <w:autoRedefine/>
    <w:qFormat/>
    <w:uiPriority w:val="0"/>
    <w:pPr>
      <w:widowControl/>
      <w:spacing w:before="100" w:beforeAutospacing="1" w:after="100" w:afterAutospacing="1" w:line="240" w:lineRule="auto"/>
      <w:jc w:val="left"/>
    </w:pPr>
    <w:rPr>
      <w:rFonts w:ascii="方正仿宋_GBK" w:hAnsi="宋体" w:cs="宋体"/>
      <w:color w:val="FF0000"/>
      <w:kern w:val="0"/>
      <w:sz w:val="22"/>
    </w:rPr>
  </w:style>
  <w:style w:type="table" w:customStyle="1" w:styleId="110">
    <w:name w:val="网格列表6"/>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未处理的提及3"/>
    <w:basedOn w:val="26"/>
    <w:autoRedefine/>
    <w:semiHidden/>
    <w:unhideWhenUsed/>
    <w:qFormat/>
    <w:uiPriority w:val="99"/>
    <w:rPr>
      <w:color w:val="605E5C"/>
      <w:shd w:val="clear" w:color="auto" w:fill="E1DFDD"/>
    </w:rPr>
  </w:style>
  <w:style w:type="paragraph" w:customStyle="1" w:styleId="112">
    <w:name w:val="修订3"/>
    <w:autoRedefine/>
    <w:hidden/>
    <w:semiHidden/>
    <w:qFormat/>
    <w:uiPriority w:val="99"/>
    <w:rPr>
      <w:rFonts w:ascii="Times New Roman" w:hAnsi="Times New Roman" w:eastAsia="方正仿宋_GBK" w:cstheme="minorBidi"/>
      <w:kern w:val="2"/>
      <w:sz w:val="28"/>
      <w:szCs w:val="22"/>
      <w:lang w:val="en-US" w:eastAsia="zh-CN" w:bidi="ar-SA"/>
    </w:rPr>
  </w:style>
  <w:style w:type="paragraph" w:customStyle="1" w:styleId="113">
    <w:name w:val="修订4"/>
    <w:autoRedefine/>
    <w:hidden/>
    <w:semiHidden/>
    <w:qFormat/>
    <w:uiPriority w:val="99"/>
    <w:rPr>
      <w:rFonts w:ascii="Times New Roman" w:hAnsi="Times New Roman" w:eastAsia="方正仿宋_GBK" w:cstheme="minorBidi"/>
      <w:kern w:val="2"/>
      <w:sz w:val="28"/>
      <w:szCs w:val="22"/>
      <w:lang w:val="en-US" w:eastAsia="zh-CN" w:bidi="ar-SA"/>
    </w:rPr>
  </w:style>
  <w:style w:type="character" w:customStyle="1" w:styleId="114">
    <w:name w:val="标题 5 Char"/>
    <w:basedOn w:val="26"/>
    <w:link w:val="6"/>
    <w:autoRedefine/>
    <w:semiHidden/>
    <w:qFormat/>
    <w:uiPriority w:val="9"/>
    <w:rPr>
      <w:rFonts w:eastAsia="方正仿宋_GBK" w:cstheme="minorBidi"/>
      <w:b/>
      <w:bCs/>
      <w:kern w:val="2"/>
      <w:sz w:val="28"/>
      <w:szCs w:val="28"/>
    </w:rPr>
  </w:style>
  <w:style w:type="character" w:customStyle="1" w:styleId="115">
    <w:name w:val="未处理的提及4"/>
    <w:basedOn w:val="26"/>
    <w:autoRedefine/>
    <w:semiHidden/>
    <w:unhideWhenUsed/>
    <w:qFormat/>
    <w:uiPriority w:val="99"/>
    <w:rPr>
      <w:color w:val="605E5C"/>
      <w:shd w:val="clear" w:color="auto" w:fill="E1DFDD"/>
    </w:rPr>
  </w:style>
  <w:style w:type="table" w:customStyle="1" w:styleId="116">
    <w:name w:val="网格列表7"/>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网格型2"/>
    <w:basedOn w:val="23"/>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8">
    <w:name w:val="修订5"/>
    <w:autoRedefine/>
    <w:hidden/>
    <w:semiHidden/>
    <w:qFormat/>
    <w:uiPriority w:val="99"/>
    <w:rPr>
      <w:rFonts w:ascii="Times New Roman" w:hAnsi="Times New Roman" w:eastAsia="方正仿宋_GBK" w:cstheme="minorBidi"/>
      <w:kern w:val="2"/>
      <w:sz w:val="28"/>
      <w:szCs w:val="22"/>
      <w:lang w:val="en-US" w:eastAsia="zh-CN" w:bidi="ar-SA"/>
    </w:rPr>
  </w:style>
  <w:style w:type="paragraph" w:customStyle="1" w:styleId="119">
    <w:name w:val="修订6"/>
    <w:autoRedefine/>
    <w:hidden/>
    <w:semiHidden/>
    <w:qFormat/>
    <w:uiPriority w:val="99"/>
    <w:rPr>
      <w:rFonts w:ascii="Times New Roman" w:hAnsi="Times New Roman" w:eastAsia="方正仿宋_GBK" w:cstheme="minorBidi"/>
      <w:kern w:val="2"/>
      <w:sz w:val="28"/>
      <w:szCs w:val="22"/>
      <w:lang w:val="en-US" w:eastAsia="zh-CN" w:bidi="ar-SA"/>
    </w:rPr>
  </w:style>
  <w:style w:type="character" w:customStyle="1" w:styleId="120">
    <w:name w:val="未处理的提及5"/>
    <w:basedOn w:val="26"/>
    <w:autoRedefine/>
    <w:semiHidden/>
    <w:unhideWhenUsed/>
    <w:qFormat/>
    <w:uiPriority w:val="99"/>
    <w:rPr>
      <w:color w:val="605E5C"/>
      <w:shd w:val="clear" w:color="auto" w:fill="E1DFDD"/>
    </w:rPr>
  </w:style>
  <w:style w:type="table" w:customStyle="1" w:styleId="121">
    <w:name w:val="网格型3"/>
    <w:basedOn w:val="23"/>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2">
    <w:name w:val="图."/>
    <w:basedOn w:val="36"/>
    <w:link w:val="124"/>
    <w:autoRedefine/>
    <w:qFormat/>
    <w:uiPriority w:val="0"/>
    <w:pPr>
      <w:spacing w:afterLines="50" w:line="240" w:lineRule="auto"/>
      <w:ind w:firstLine="0" w:firstLineChars="0"/>
      <w:jc w:val="center"/>
    </w:pPr>
    <w:rPr>
      <w:b/>
      <w:bCs/>
      <w:sz w:val="24"/>
      <w:szCs w:val="21"/>
    </w:rPr>
  </w:style>
  <w:style w:type="character" w:customStyle="1" w:styleId="123">
    <w:name w:val="列出段落 Char"/>
    <w:basedOn w:val="26"/>
    <w:link w:val="36"/>
    <w:autoRedefine/>
    <w:qFormat/>
    <w:uiPriority w:val="34"/>
    <w:rPr>
      <w:rFonts w:eastAsia="方正仿宋_GBK" w:cstheme="minorBidi"/>
      <w:kern w:val="2"/>
      <w:sz w:val="28"/>
      <w:szCs w:val="22"/>
    </w:rPr>
  </w:style>
  <w:style w:type="character" w:customStyle="1" w:styleId="124">
    <w:name w:val="图. 字符"/>
    <w:basedOn w:val="123"/>
    <w:link w:val="122"/>
    <w:autoRedefine/>
    <w:qFormat/>
    <w:uiPriority w:val="0"/>
    <w:rPr>
      <w:rFonts w:eastAsia="方正仿宋_GBK" w:cstheme="minorBidi"/>
      <w:b/>
      <w:bCs/>
      <w:kern w:val="2"/>
      <w:sz w:val="24"/>
      <w:szCs w:val="21"/>
    </w:rPr>
  </w:style>
  <w:style w:type="paragraph" w:customStyle="1" w:styleId="125">
    <w:name w:val="Default"/>
    <w:autoRedefine/>
    <w:qFormat/>
    <w:uiPriority w:val="0"/>
    <w:pPr>
      <w:widowControl w:val="0"/>
      <w:autoSpaceDE w:val="0"/>
      <w:autoSpaceDN w:val="0"/>
      <w:adjustRightInd w:val="0"/>
    </w:pPr>
    <w:rPr>
      <w:rFonts w:ascii="方正仿宋_GBK" w:hAnsi="方正仿宋_GBK" w:eastAsia="宋体" w:cs="方正仿宋_GBK"/>
      <w:color w:val="000000"/>
      <w:sz w:val="24"/>
      <w:szCs w:val="24"/>
      <w:lang w:val="en-US" w:eastAsia="zh-CN" w:bidi="ar-SA"/>
    </w:rPr>
  </w:style>
  <w:style w:type="paragraph" w:customStyle="1" w:styleId="126">
    <w:name w:val="TOC 标题2"/>
    <w:basedOn w:val="2"/>
    <w:next w:val="1"/>
    <w:autoRedefine/>
    <w:unhideWhenUsed/>
    <w:qFormat/>
    <w:uiPriority w:val="39"/>
    <w:pPr>
      <w:widowControl/>
      <w:numPr>
        <w:numId w:val="0"/>
      </w:numPr>
      <w:spacing w:beforeLines="0" w:after="0" w:line="259" w:lineRule="auto"/>
      <w:jc w:val="left"/>
      <w:outlineLvl w:val="9"/>
    </w:pPr>
    <w:rPr>
      <w:rFonts w:asciiTheme="majorHAnsi" w:hAnsiTheme="majorHAnsi" w:eastAsiaTheme="majorEastAsia" w:cstheme="majorBidi"/>
      <w:bCs w:val="0"/>
      <w:color w:val="2F5597" w:themeColor="accent1" w:themeShade="BF"/>
      <w:kern w:val="0"/>
      <w:szCs w:val="32"/>
    </w:rPr>
  </w:style>
  <w:style w:type="character" w:customStyle="1" w:styleId="127">
    <w:name w:val="批注框文本 Char"/>
    <w:basedOn w:val="26"/>
    <w:link w:val="13"/>
    <w:autoRedefine/>
    <w:semiHidden/>
    <w:qFormat/>
    <w:uiPriority w:val="99"/>
    <w:rPr>
      <w:rFonts w:eastAsia="方正仿宋_GBK"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emf"/><Relationship Id="rId23" Type="http://schemas.openxmlformats.org/officeDocument/2006/relationships/package" Target="embeddings/Microsoft_Visio___4.vsdx"/><Relationship Id="rId22" Type="http://schemas.openxmlformats.org/officeDocument/2006/relationships/image" Target="media/image10.emf"/><Relationship Id="rId21" Type="http://schemas.openxmlformats.org/officeDocument/2006/relationships/package" Target="embeddings/Microsoft_Visio___3.vsdx"/><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package" Target="embeddings/Microsoft_Visio___2.vsdx"/><Relationship Id="rId14" Type="http://schemas.openxmlformats.org/officeDocument/2006/relationships/image" Target="media/image5.emf"/><Relationship Id="rId13" Type="http://schemas.openxmlformats.org/officeDocument/2006/relationships/package" Target="embeddings/Microsoft_Visio___1.vsdx"/><Relationship Id="rId12" Type="http://schemas.openxmlformats.org/officeDocument/2006/relationships/chart" Target="charts/chart2.xml"/><Relationship Id="rId11" Type="http://schemas.openxmlformats.org/officeDocument/2006/relationships/image" Target="media/image4.pn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https://cugeducn-my.sharepoint.com/personal/1201910343_cug_edu_cn/Documents/&#24037;&#20316;&#8212;&#21335;&#22823;&#29615;&#35268;/&#26080;&#24223;&#22478;&#24066;/1-&#40723;&#27004;&#21306;/&#40723;&#27004;&#21306;&#26080;&#24223;&#22478;&#24066;&#25968;&#25454;&#25972;&#29702;&#21450;&#2104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cugeducn-my.sharepoint.com/personal/1201910343_cug_edu_cn/Documents/&#24037;&#20316;&#8212;&#21335;&#22823;&#29615;&#35268;/&#26080;&#24223;&#22478;&#24066;/5-&#29572;&#27494;&#21306;/&#22478;&#31649;&#23616;/&#22478;&#24066;&#29983;&#27963;&#22403;&#22334;2-5&#65292;2-6/2021&#29572;&#27494;&#21306;&#38468;&#20214;&#65306;&#29983;&#27963;&#22403;&#22334;&#22238;&#25910;&#21033;&#29992;&#29575;&#26376;&#24230;&#32479;&#35745;&#34920;%20-1&#26376;-12&#26376;37.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cugeducn-my.sharepoint.com/personal/1201910343_cug_edu_cn/Documents/&#24037;&#20316;&#8212;&#21335;&#22823;&#29615;&#35268;/&#26080;&#24223;&#22478;&#24066;/5-&#29572;&#27494;&#21306;/&#29983;&#24577;&#29615;&#22659;&#23616;/&#21361;&#24223;/2021&#20135;&#24223;&#21333;&#20301;&#30003;&#25253;&#3492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基本情况!$P$10</c:f>
              <c:strCache>
                <c:ptCount val="1"/>
                <c:pt idx="0">
                  <c:v>绝对值（元）</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基本情况!$A$2:$A$7</c:f>
              <c:strCache>
                <c:ptCount val="6"/>
                <c:pt idx="0">
                  <c:v>2016年</c:v>
                </c:pt>
                <c:pt idx="1">
                  <c:v>2017年</c:v>
                </c:pt>
                <c:pt idx="2">
                  <c:v>2018年</c:v>
                </c:pt>
                <c:pt idx="3">
                  <c:v>2019年</c:v>
                </c:pt>
                <c:pt idx="4">
                  <c:v>2020年</c:v>
                </c:pt>
                <c:pt idx="5">
                  <c:v>2021年</c:v>
                </c:pt>
              </c:strCache>
            </c:strRef>
          </c:cat>
          <c:val>
            <c:numRef>
              <c:f>基本情况!$P$11:$P$16</c:f>
              <c:numCache>
                <c:formatCode>General</c:formatCode>
                <c:ptCount val="6"/>
                <c:pt idx="0">
                  <c:v>55641</c:v>
                </c:pt>
                <c:pt idx="1">
                  <c:v>60648.7</c:v>
                </c:pt>
                <c:pt idx="2">
                  <c:v>65864.49</c:v>
                </c:pt>
                <c:pt idx="3">
                  <c:v>71370.8</c:v>
                </c:pt>
                <c:pt idx="4">
                  <c:v>74882.2</c:v>
                </c:pt>
                <c:pt idx="5">
                  <c:v>81471.8</c:v>
                </c:pt>
              </c:numCache>
            </c:numRef>
          </c:val>
        </c:ser>
        <c:dLbls>
          <c:showLegendKey val="0"/>
          <c:showVal val="1"/>
          <c:showCatName val="0"/>
          <c:showSerName val="0"/>
          <c:showPercent val="0"/>
          <c:showBubbleSize val="0"/>
        </c:dLbls>
        <c:gapWidth val="219"/>
        <c:overlap val="-27"/>
        <c:axId val="1036375904"/>
        <c:axId val="517323744"/>
      </c:barChart>
      <c:lineChart>
        <c:grouping val="standard"/>
        <c:varyColors val="0"/>
        <c:ser>
          <c:idx val="1"/>
          <c:order val="1"/>
          <c:tx>
            <c:strRef>
              <c:f>基本情况!$Q$10</c:f>
              <c:strCache>
                <c:ptCount val="1"/>
                <c:pt idx="0">
                  <c:v>增幅（%）</c:v>
                </c:pt>
              </c:strCache>
            </c:strRef>
          </c:tx>
          <c:spPr>
            <a:ln w="28575" cap="rnd" cmpd="sng" algn="ctr">
              <a:solidFill>
                <a:schemeClr val="accent5"/>
              </a:solidFill>
              <a:prstDash val="solid"/>
              <a:round/>
            </a:ln>
            <a:effectLst/>
          </c:spPr>
          <c:marker>
            <c:symbol val="circle"/>
            <c:size val="6"/>
            <c:spPr>
              <a:solidFill>
                <a:schemeClr val="accent5"/>
              </a:solidFill>
              <a:ln w="6350" cap="flat" cmpd="sng" algn="ctr">
                <a:noFill/>
                <a:prstDash val="solid"/>
                <a:round/>
              </a:ln>
              <a:effectLst/>
            </c:spPr>
          </c:marker>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基本情况!$Q$11:$Q$16</c:f>
              <c:numCache>
                <c:formatCode>General</c:formatCode>
                <c:ptCount val="6"/>
                <c:pt idx="0">
                  <c:v>8.5</c:v>
                </c:pt>
                <c:pt idx="1">
                  <c:v>9</c:v>
                </c:pt>
                <c:pt idx="2">
                  <c:v>8.6</c:v>
                </c:pt>
                <c:pt idx="3">
                  <c:v>8.4</c:v>
                </c:pt>
                <c:pt idx="4">
                  <c:v>4.9</c:v>
                </c:pt>
                <c:pt idx="5">
                  <c:v>8.8</c:v>
                </c:pt>
              </c:numCache>
            </c:numRef>
          </c:val>
          <c:smooth val="0"/>
        </c:ser>
        <c:dLbls>
          <c:showLegendKey val="0"/>
          <c:showVal val="1"/>
          <c:showCatName val="0"/>
          <c:showSerName val="0"/>
          <c:showPercent val="0"/>
          <c:showBubbleSize val="0"/>
        </c:dLbls>
        <c:marker val="1"/>
        <c:smooth val="0"/>
        <c:axId val="517319824"/>
        <c:axId val="517318704"/>
      </c:lineChart>
      <c:catAx>
        <c:axId val="10363759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p>
        </c:txPr>
        <c:crossAx val="517323744"/>
        <c:crosses val="autoZero"/>
        <c:auto val="1"/>
        <c:lblAlgn val="ctr"/>
        <c:lblOffset val="100"/>
        <c:noMultiLvlLbl val="0"/>
      </c:catAx>
      <c:valAx>
        <c:axId val="517323744"/>
        <c:scaling>
          <c:orientation val="minMax"/>
          <c:max val="100000"/>
          <c:min val="0"/>
        </c:scaling>
        <c:delete val="0"/>
        <c:axPos val="l"/>
        <c:majorGridlines>
          <c:spPr>
            <a:ln w="6350"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r>
                  <a:rPr lang="zh-CN" b="0"/>
                  <a:t>城镇居民人均可支配收入（元）</a:t>
                </a:r>
                <a:endParaRPr lang="zh-CN" b="0"/>
              </a:p>
            </c:rich>
          </c:tx>
          <c:layout/>
          <c:overlay val="0"/>
          <c:spPr>
            <a:noFill/>
            <a:ln>
              <a:noFill/>
            </a:ln>
            <a:effectLst/>
          </c:spPr>
        </c:title>
        <c:numFmt formatCode="#,##0_);[Red]\(#,##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p>
        </c:txPr>
        <c:crossAx val="1036375904"/>
        <c:crosses val="autoZero"/>
        <c:crossBetween val="between"/>
        <c:majorUnit val="20000"/>
        <c:minorUnit val="100"/>
      </c:valAx>
      <c:catAx>
        <c:axId val="517319824"/>
        <c:scaling>
          <c:orientation val="minMax"/>
        </c:scaling>
        <c:delete val="1"/>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p>
        </c:txPr>
        <c:crossAx val="517318704"/>
        <c:crosses val="autoZero"/>
        <c:auto val="1"/>
        <c:lblAlgn val="ctr"/>
        <c:lblOffset val="100"/>
        <c:noMultiLvlLbl val="0"/>
      </c:catAx>
      <c:valAx>
        <c:axId val="517318704"/>
        <c:scaling>
          <c:orientation val="minMax"/>
          <c:max val="16"/>
          <c:min val="0"/>
        </c:scaling>
        <c:delete val="0"/>
        <c:axPos val="r"/>
        <c:title>
          <c:tx>
            <c:rich>
              <a:bodyPr rot="-54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r>
                  <a:rPr lang="zh-CN" b="0"/>
                  <a:t>增幅（</a:t>
                </a:r>
                <a:r>
                  <a:rPr lang="en-US" b="0"/>
                  <a:t>%</a:t>
                </a:r>
                <a:r>
                  <a:rPr lang="zh-CN" b="0"/>
                  <a:t>）</a:t>
                </a:r>
                <a:endParaRPr lang="zh-CN" b="0"/>
              </a:p>
            </c:rich>
          </c:tx>
          <c:layout/>
          <c:overlay val="0"/>
          <c:spPr>
            <a:noFill/>
            <a:ln>
              <a:noFill/>
            </a:ln>
            <a:effectLst/>
          </c:spPr>
        </c:title>
        <c:numFmt formatCode="#,##0_);[Red]\(#,##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p>
        </c:txPr>
        <c:crossAx val="517319824"/>
        <c:crosses val="max"/>
        <c:crossBetween val="between"/>
        <c:majorUnit val="2"/>
        <c:minorUnit val="1"/>
      </c:valAx>
      <c:spPr>
        <a:noFill/>
        <a:ln>
          <a:solidFill>
            <a:schemeClr val="bg2">
              <a:lumMod val="90000"/>
            </a:schemeClr>
          </a:solidFill>
        </a:ln>
        <a:effectLst/>
      </c:spPr>
    </c:plotArea>
    <c:plotVisOnly val="1"/>
    <c:dispBlanksAs val="gap"/>
    <c:showDLblsOverMax val="0"/>
    <c:extLst>
      <c:ext uri="{0b15fc19-7d7d-44ad-8c2d-2c3a37ce22c3}">
        <chartProps xmlns="https://web.wps.cn/et/2018/main" chartId="{2f29a918-c173-4fba-8c2b-91fcda16c94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694444444444444"/>
          <c:y val="0.111111111111111"/>
          <c:w val="0.85"/>
          <c:h val="0.718170749489647"/>
        </c:manualLayout>
      </c:layout>
      <c:pie3DChart>
        <c:varyColors val="1"/>
        <c:ser>
          <c:idx val="0"/>
          <c:order val="0"/>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方正仿宋_GBK" panose="03000509000000000000" pitchFamily="4" charset="-122"/>
                    <a:cs typeface="Times New Roman" panose="02020603050405020304" charset="0"/>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'1-12月'!$B$5:$B$10</c:f>
              <c:strCache>
                <c:ptCount val="6"/>
                <c:pt idx="0">
                  <c:v>废纸</c:v>
                </c:pt>
                <c:pt idx="1">
                  <c:v>废塑料</c:v>
                </c:pt>
                <c:pt idx="2">
                  <c:v>废金属</c:v>
                </c:pt>
                <c:pt idx="3">
                  <c:v>废玻璃</c:v>
                </c:pt>
                <c:pt idx="4">
                  <c:v>废织物</c:v>
                </c:pt>
                <c:pt idx="5">
                  <c:v>大件垃圾</c:v>
                </c:pt>
              </c:strCache>
            </c:strRef>
          </c:cat>
          <c:val>
            <c:numRef>
              <c:f>'1-12月'!$C$5:$C$10</c:f>
              <c:numCache>
                <c:formatCode>0.00_ </c:formatCode>
                <c:ptCount val="6"/>
                <c:pt idx="0">
                  <c:v>16726.7150551475</c:v>
                </c:pt>
                <c:pt idx="1">
                  <c:v>6069.0093952723</c:v>
                </c:pt>
                <c:pt idx="2">
                  <c:v>8509.04188139316</c:v>
                </c:pt>
                <c:pt idx="3" c:formatCode="0.0_ ">
                  <c:v>1152.69064464492</c:v>
                </c:pt>
                <c:pt idx="4">
                  <c:v>2553.31339141467</c:v>
                </c:pt>
                <c:pt idx="5" c:formatCode="0.0_ ">
                  <c:v>236.477</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方正仿宋_GBK" panose="03000509000000000000" pitchFamily="4" charset="-122"/>
              <a:ea typeface="方正仿宋_GBK" panose="03000509000000000000" pitchFamily="4" charset="-122"/>
              <a:cs typeface="+mn-cs"/>
            </a:defRPr>
          </a:pPr>
        </a:p>
      </c:txPr>
    </c:legend>
    <c:plotVisOnly val="1"/>
    <c:dispBlanksAs val="zero"/>
    <c:showDLblsOverMax val="0"/>
    <c:extLst>
      <c:ext uri="{0b15fc19-7d7d-44ad-8c2d-2c3a37ce22c3}">
        <chartProps xmlns="https://web.wps.cn/et/2018/main" chartId="{d58460be-fc87-4b57-bb01-db99e48155fe}"/>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527569347949153"/>
          <c:y val="0.137687997028499"/>
          <c:w val="0.844309563606339"/>
          <c:h val="0.804824660075385"/>
        </c:manualLayout>
      </c:layout>
      <c:pie3DChart>
        <c:varyColors val="1"/>
        <c:ser>
          <c:idx val="0"/>
          <c:order val="0"/>
          <c:explosion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Lbls>
            <c:dLbl>
              <c:idx val="0"/>
              <c:layout>
                <c:manualLayout>
                  <c:x val="-0.371545264159053"/>
                  <c:y val="0.02916514764856"/>
                </c:manualLayout>
              </c:layout>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1"/>
                      </a:solidFill>
                      <a:effectLst/>
                      <a:latin typeface="Times New Roman" panose="02020603050405020304" charset="0"/>
                      <a:ea typeface="方正仿宋_GBK" panose="03000509000000000000" pitchFamily="4" charset="-122"/>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257164622714843"/>
                  <c:y val="0"/>
                </c:manualLayout>
              </c:layout>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2"/>
                      </a:solidFill>
                      <a:effectLst/>
                      <a:latin typeface="Times New Roman" panose="02020603050405020304" charset="0"/>
                      <a:ea typeface="方正仿宋_GBK" panose="03000509000000000000" pitchFamily="4" charset="-122"/>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961035968064967"/>
                  <c:y val="0.311795235402356"/>
                </c:manualLayout>
              </c:layout>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3"/>
                      </a:solidFill>
                      <a:effectLst/>
                      <a:latin typeface="Times New Roman" panose="02020603050405020304" charset="0"/>
                      <a:ea typeface="方正仿宋_GBK" panose="03000509000000000000" pitchFamily="4" charset="-122"/>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76470588235294"/>
                      <c:h val="0.254907705830648"/>
                    </c:manualLayout>
                  </c15:layout>
                </c:ext>
              </c:extLst>
            </c:dLbl>
            <c:dLbl>
              <c:idx val="3"/>
              <c:layout>
                <c:manualLayout>
                  <c:x val="0.0324603327023147"/>
                  <c:y val="0.11520520379721"/>
                </c:manualLayout>
              </c:layout>
              <c:numFmt formatCode="0.00%" sourceLinked="0"/>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4"/>
                      </a:solidFill>
                      <a:effectLst/>
                      <a:latin typeface="Times New Roman" panose="02020603050405020304" charset="0"/>
                      <a:ea typeface="方正仿宋_GBK" panose="03000509000000000000" pitchFamily="4" charset="-122"/>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numFmt formatCode="0.00%" sourceLinked="0"/>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5"/>
                      </a:solidFill>
                      <a:effectLst/>
                      <a:latin typeface="Times New Roman" panose="02020603050405020304" charset="0"/>
                      <a:ea typeface="方正仿宋_GBK" panose="03000509000000000000" pitchFamily="4" charset="-122"/>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0638576275526535"/>
                  <c:y val="0.00546846518410499"/>
                </c:manualLayout>
              </c:layout>
              <c:numFmt formatCode="0.00%" sourceLinked="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6"/>
                      </a:solidFill>
                      <a:effectLst/>
                      <a:latin typeface="Times New Roman" panose="02020603050405020304" charset="0"/>
                      <a:ea typeface="方正仿宋_GBK" panose="03000509000000000000" pitchFamily="4" charset="-122"/>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1"/>
                    </a:solidFill>
                    <a:effectLst/>
                    <a:latin typeface="Times New Roman" panose="02020603050405020304" charset="0"/>
                    <a:ea typeface="方正仿宋_GBK" panose="03000509000000000000" pitchFamily="4" charset="-122"/>
                    <a:cs typeface="Times New Roman" panose="02020603050405020304" charset="0"/>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产废企业申报数据!$J$44:$O$44</c:f>
              <c:strCache>
                <c:ptCount val="6"/>
                <c:pt idx="0">
                  <c:v>市内利用</c:v>
                </c:pt>
                <c:pt idx="1">
                  <c:v>市外利用</c:v>
                </c:pt>
                <c:pt idx="2">
                  <c:v>市内处置</c:v>
                </c:pt>
                <c:pt idx="3">
                  <c:v>市外处置</c:v>
                </c:pt>
                <c:pt idx="4">
                  <c:v>市内收集</c:v>
                </c:pt>
                <c:pt idx="5">
                  <c:v>贮存</c:v>
                </c:pt>
              </c:strCache>
            </c:strRef>
          </c:cat>
          <c:val>
            <c:numRef>
              <c:f>产废企业申报数据!$J$45:$O$45</c:f>
              <c:numCache>
                <c:formatCode>0.00</c:formatCode>
                <c:ptCount val="6"/>
                <c:pt idx="0">
                  <c:v>0</c:v>
                </c:pt>
                <c:pt idx="1">
                  <c:v>56.15</c:v>
                </c:pt>
                <c:pt idx="2">
                  <c:v>276.6793</c:v>
                </c:pt>
                <c:pt idx="3">
                  <c:v>205.7609</c:v>
                </c:pt>
                <c:pt idx="4">
                  <c:v>695.5848</c:v>
                </c:pt>
                <c:pt idx="5">
                  <c:v>221.1991</c:v>
                </c:pt>
              </c:numCache>
            </c:numRef>
          </c:val>
        </c:ser>
        <c:dLbls>
          <c:showLegendKey val="0"/>
          <c:showVal val="1"/>
          <c:showCatName val="0"/>
          <c:showSerName val="0"/>
          <c:showPercent val="0"/>
          <c:showBubbleSize val="0"/>
        </c:dLbls>
      </c:pie3DChart>
      <c:spPr>
        <a:noFill/>
        <a:ln>
          <a:noFill/>
        </a:ln>
        <a:effectLst/>
      </c:spPr>
    </c:plotArea>
    <c:plotVisOnly val="1"/>
    <c:dispBlanksAs val="zero"/>
    <c:showDLblsOverMax val="0"/>
    <c:extLst>
      <c:ext uri="{0b15fc19-7d7d-44ad-8c2d-2c3a37ce22c3}">
        <chartProps xmlns="https://web.wps.cn/et/2018/main" chartId="{522bc403-f3fd-458c-8e3c-4093086f9e10}"/>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b="0">
          <a:latin typeface="Times New Roman" panose="02020603050405020304" charset="0"/>
          <a:ea typeface="方正仿宋_GBK" panose="03000509000000000000" pitchFamily="4" charset="-122"/>
          <a:cs typeface="Times New Roman" panose="020206030504050203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109</Pages>
  <Words>7537</Words>
  <Characters>8558</Characters>
  <Lines>353</Lines>
  <Paragraphs>99</Paragraphs>
  <TotalTime>18</TotalTime>
  <ScaleCrop>false</ScaleCrop>
  <LinksUpToDate>false</LinksUpToDate>
  <CharactersWithSpaces>8675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2023-10-17T07:23:00Z</dcterms:created>
  <dc:creator>Liu</dc:creator>
  <cp:lastModifiedBy>Audry</cp:lastModifiedBy>
  <cp:lastPrinted>2023-10-13T01:02:00Z</cp:lastPrinted>
  <dcterms:modified xsi:type="dcterms:W3CDTF">2024-12-19T02:00:23Z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9062204DBDCC47AC990A668EA3A558DB_13</vt:lpwstr>
  </property>
</Properties>
</file>