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w w:val="1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w w:val="100"/>
          <w:sz w:val="44"/>
          <w:szCs w:val="44"/>
        </w:rPr>
        <w:t>玄武区202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</w:rPr>
        <w:t>年政府投资计划</w:t>
      </w:r>
      <w:r>
        <w:rPr>
          <w:rFonts w:hint="eastAsia" w:eastAsia="方正小标宋简体" w:cs="Times New Roman"/>
          <w:w w:val="100"/>
          <w:sz w:val="44"/>
          <w:szCs w:val="44"/>
          <w:lang w:eastAsia="zh-CN"/>
        </w:rPr>
        <w:t>（政策解读）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Cs w:val="24"/>
          <w:lang w:val="en-US" w:eastAsia="zh-CN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lang w:eastAsia="zh-CN"/>
        </w:rPr>
        <w:t>以习近平新时代中国特色社会主义思想为指导，深入贯彻党的十九届六中全会和习近平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lang w:eastAsia="zh-CN"/>
        </w:rPr>
        <w:t>总书记视察江苏重要讲话精神，坚持稳中求进工作总基调，准确把握政府投资在新发展阶段的功能定位，坚定不移贯彻新发展理念、构建新发展格局，更加注重政府投资的质量和效益，为加快建设“四最”城区提供有力支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textAlignment w:val="auto"/>
        <w:rPr>
          <w:rFonts w:hint="default" w:ascii="方正黑体_GBK" w:hAnsi="方正黑体_GBK" w:eastAsia="方正黑体_GBK" w:cs="方正黑体_GBK"/>
          <w:color w:val="auto"/>
          <w:szCs w:val="24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zCs w:val="24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  <w:color w:val="auto"/>
          <w:szCs w:val="24"/>
          <w:lang w:val="en-US" w:eastAsia="zh-CN"/>
        </w:rPr>
        <w:t>、</w:t>
      </w:r>
      <w:r>
        <w:rPr>
          <w:rFonts w:hint="default" w:ascii="方正黑体_GBK" w:hAnsi="方正黑体_GBK" w:eastAsia="方正黑体_GBK" w:cs="方正黑体_GBK"/>
          <w:color w:val="auto"/>
          <w:szCs w:val="24"/>
          <w:lang w:val="en-US" w:eastAsia="zh-CN"/>
        </w:rPr>
        <w:t>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hint="eastAsia" w:ascii="Times New Roman" w:hAnsi="Times New Roman" w:eastAsia="方正仿宋_GBK" w:cs="Times New Roman"/>
          <w:lang w:eastAsia="zh-CN"/>
        </w:rPr>
      </w:pPr>
      <w:r>
        <w:rPr>
          <w:rFonts w:hint="eastAsia" w:cs="Times New Roman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</w:rPr>
        <w:t>合理界定政府投资范围</w:t>
      </w:r>
      <w:r>
        <w:rPr>
          <w:rFonts w:hint="eastAsia" w:cs="Times New Roman"/>
          <w:lang w:eastAsia="zh-CN"/>
        </w:rPr>
        <w:t>。</w:t>
      </w:r>
      <w:r>
        <w:rPr>
          <w:rFonts w:hint="default" w:ascii="Times New Roman" w:hAnsi="Times New Roman" w:eastAsia="方正仿宋_GBK" w:cs="Times New Roman"/>
        </w:rPr>
        <w:t>将政府投资主要集中在市场不能有效配置资源的公共领域项目上，重点促进公共服务设施提质扩面、环境卫生设施提级扩能、市政基础设施提档升级、产业配套设施提质增效</w:t>
      </w:r>
      <w:r>
        <w:rPr>
          <w:rFonts w:hint="eastAsia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hint="eastAsia" w:cs="Times New Roman"/>
          <w:lang w:eastAsia="zh-CN"/>
        </w:rPr>
      </w:pPr>
      <w:r>
        <w:rPr>
          <w:rFonts w:hint="eastAsia" w:cs="Times New Roman"/>
          <w:lang w:eastAsia="zh-CN"/>
        </w:rPr>
        <w:t>（二）聚力提升民生保障水平。以形成优质均衡、共建共享的现代化民生体系为目标，与民生实事等重点工作相协调，切实提升人民群众的获得感。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hint="eastAsia" w:cs="Times New Roman"/>
          <w:lang w:eastAsia="zh-CN"/>
        </w:rPr>
      </w:pPr>
      <w:r>
        <w:rPr>
          <w:rFonts w:hint="eastAsia" w:cs="Times New Roman"/>
          <w:lang w:eastAsia="zh-CN"/>
        </w:rPr>
        <w:t>（三）科学统筹投资需求和可用财力。牢固树立过紧日子思想，按照量入为出要求，优先保障在建项目。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textAlignment w:val="auto"/>
        <w:rPr>
          <w:rFonts w:hint="default" w:ascii="方正黑体_GBK" w:hAnsi="方正黑体_GBK" w:eastAsia="方正黑体_GBK" w:cs="方正黑体_GBK"/>
          <w:color w:val="auto"/>
          <w:szCs w:val="24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zCs w:val="24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color w:val="auto"/>
          <w:szCs w:val="24"/>
          <w:lang w:val="en-US" w:eastAsia="zh-CN"/>
        </w:rPr>
        <w:t>、</w:t>
      </w:r>
      <w:r>
        <w:rPr>
          <w:rFonts w:hint="default" w:ascii="方正黑体_GBK" w:hAnsi="方正黑体_GBK" w:eastAsia="方正黑体_GBK" w:cs="方正黑体_GBK"/>
          <w:color w:val="auto"/>
          <w:szCs w:val="24"/>
          <w:lang w:val="en-US" w:eastAsia="zh-CN"/>
        </w:rPr>
        <w:t>主要任务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202</w:t>
      </w:r>
      <w:r>
        <w:rPr>
          <w:rFonts w:hint="default" w:ascii="Times New Roman" w:hAnsi="Times New Roman" w:eastAsia="方正仿宋_GBK" w:cs="Times New Roman"/>
          <w:lang w:val="en-US" w:eastAsia="zh-CN"/>
        </w:rPr>
        <w:t>2年区政府投资计划</w:t>
      </w:r>
      <w:r>
        <w:rPr>
          <w:rFonts w:hint="eastAsia" w:cs="Times New Roman"/>
          <w:lang w:val="en-US" w:eastAsia="zh-CN"/>
        </w:rPr>
        <w:t>共</w:t>
      </w:r>
      <w:r>
        <w:rPr>
          <w:rFonts w:hint="default" w:ascii="Times New Roman" w:hAnsi="Times New Roman" w:eastAsia="方正仿宋_GBK" w:cs="Times New Roman"/>
          <w:lang w:val="en-US" w:eastAsia="zh-CN"/>
        </w:rPr>
        <w:t>安排76</w:t>
      </w:r>
      <w:r>
        <w:rPr>
          <w:rFonts w:hint="default" w:ascii="Times New Roman" w:hAnsi="Times New Roman" w:eastAsia="方正仿宋_GBK" w:cs="Times New Roman"/>
        </w:rPr>
        <w:t>个</w:t>
      </w:r>
      <w:r>
        <w:rPr>
          <w:rFonts w:hint="default" w:ascii="Times New Roman" w:hAnsi="Times New Roman" w:eastAsia="方正仿宋_GBK" w:cs="Times New Roman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lang w:val="en-US" w:eastAsia="zh-CN"/>
        </w:rPr>
        <w:t>。A类项目55个，</w:t>
      </w:r>
      <w:r>
        <w:rPr>
          <w:rFonts w:hint="default" w:ascii="Times New Roman" w:hAnsi="Times New Roman" w:eastAsia="方正仿宋_GBK" w:cs="Times New Roman"/>
          <w:lang w:eastAsia="zh-CN"/>
        </w:rPr>
        <w:t>年度计划投资</w:t>
      </w:r>
      <w:r>
        <w:rPr>
          <w:rFonts w:hint="default" w:ascii="Times New Roman" w:hAnsi="Times New Roman" w:eastAsia="方正仿宋_GBK" w:cs="Times New Roman"/>
          <w:lang w:val="en-US" w:eastAsia="zh-CN"/>
        </w:rPr>
        <w:t>23.74亿元；B类项目8个；C类项目13个。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textAlignment w:val="auto"/>
        <w:rPr>
          <w:rFonts w:hint="eastAsia" w:eastAsia="方正楷体_GBK" w:cs="Times New Roman"/>
          <w:color w:val="auto"/>
          <w:lang w:val="en-US" w:eastAsia="zh-CN"/>
        </w:rPr>
      </w:pPr>
      <w:r>
        <w:rPr>
          <w:rFonts w:hint="eastAsia" w:eastAsia="方正楷体_GBK" w:cs="Times New Roman"/>
          <w:color w:val="auto"/>
          <w:lang w:val="en-US" w:eastAsia="zh-CN"/>
        </w:rPr>
        <w:t>（一）公共服务、医疗教育方面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hint="eastAsia" w:cs="Times New Roman"/>
          <w:highlight w:val="none"/>
          <w:lang w:val="en-US" w:eastAsia="zh-CN"/>
        </w:rPr>
      </w:pPr>
      <w:r>
        <w:rPr>
          <w:rFonts w:hint="eastAsia" w:cs="Times New Roman"/>
          <w:highlight w:val="none"/>
          <w:lang w:val="en-US" w:eastAsia="zh-CN"/>
        </w:rPr>
        <w:t>共17个项目，2022年安排投资6.49亿元。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22"/>
          <w:highlight w:val="none"/>
          <w:lang w:val="en-US" w:eastAsia="zh-CN" w:bidi="ar-SA"/>
        </w:rPr>
        <w:t>主要任务为：一是加大优质教育资源供给，统筹各类教育均衡发展；二是推动优质医疗资源均衡布局；三是完善公共文化服务体系。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textAlignment w:val="auto"/>
        <w:rPr>
          <w:rFonts w:hint="eastAsia" w:eastAsia="方正楷体_GBK" w:cs="Times New Roman"/>
          <w:color w:val="auto"/>
          <w:lang w:val="en-US" w:eastAsia="zh-CN"/>
        </w:rPr>
      </w:pPr>
      <w:r>
        <w:rPr>
          <w:rFonts w:hint="eastAsia" w:eastAsia="方正楷体_GBK" w:cs="Times New Roman"/>
          <w:color w:val="auto"/>
          <w:lang w:val="en-US" w:eastAsia="zh-CN"/>
        </w:rPr>
        <w:t>（二）区域协调、城乡融合方面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hint="eastAsia" w:cs="Times New Roman"/>
          <w:highlight w:val="none"/>
          <w:lang w:val="en-US" w:eastAsia="zh-CN"/>
        </w:rPr>
      </w:pPr>
      <w:r>
        <w:rPr>
          <w:rFonts w:hint="eastAsia" w:cs="Times New Roman"/>
          <w:highlight w:val="none"/>
          <w:lang w:val="en-US" w:eastAsia="zh-CN"/>
        </w:rPr>
        <w:t>共27个项目，2022年安排投资</w:t>
      </w:r>
      <w:r>
        <w:rPr>
          <w:rFonts w:hint="default" w:ascii="Times New Roman" w:hAnsi="Times New Roman" w:eastAsia="方正仿宋_GBK" w:cs="Times New Roman"/>
          <w:highlight w:val="none"/>
          <w:lang w:val="en-US" w:eastAsia="zh-CN"/>
        </w:rPr>
        <w:t>16.46</w:t>
      </w:r>
      <w:r>
        <w:rPr>
          <w:rFonts w:hint="eastAsia" w:cs="Times New Roman"/>
          <w:highlight w:val="none"/>
          <w:lang w:val="en-US" w:eastAsia="zh-CN"/>
        </w:rPr>
        <w:t>亿元。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22"/>
          <w:highlight w:val="none"/>
          <w:lang w:val="en-US" w:eastAsia="zh-CN" w:bidi="ar-SA"/>
        </w:rPr>
        <w:t>主要任务为：一是加快完善综合交通运输体系；二是推进城市有机更新；三是积极促进城市品质提升。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textAlignment w:val="auto"/>
        <w:rPr>
          <w:rFonts w:hint="eastAsia" w:eastAsia="方正楷体_GBK" w:cs="Times New Roman"/>
          <w:color w:val="auto"/>
          <w:lang w:val="en-US" w:eastAsia="zh-CN"/>
        </w:rPr>
      </w:pPr>
      <w:r>
        <w:rPr>
          <w:rFonts w:hint="eastAsia" w:eastAsia="方正楷体_GBK" w:cs="Times New Roman"/>
          <w:color w:val="auto"/>
          <w:lang w:val="en-US" w:eastAsia="zh-CN"/>
        </w:rPr>
        <w:t>（三）制度创新、治理变革方面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hint="eastAsia" w:cs="Times New Roman"/>
          <w:highlight w:val="none"/>
          <w:lang w:val="en-US" w:eastAsia="zh-CN"/>
        </w:rPr>
      </w:pPr>
      <w:r>
        <w:rPr>
          <w:rFonts w:hint="eastAsia" w:cs="Times New Roman"/>
          <w:highlight w:val="none"/>
          <w:lang w:val="en-US" w:eastAsia="zh-CN"/>
        </w:rPr>
        <w:t>共11个项目，2022年安排投资0.79亿元。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22"/>
          <w:highlight w:val="none"/>
          <w:lang w:val="en-US" w:eastAsia="zh-CN" w:bidi="ar-SA"/>
        </w:rPr>
        <w:t>主要任务为：一是</w:t>
      </w:r>
      <w:r>
        <w:rPr>
          <w:rFonts w:hint="eastAsia" w:cs="Times New Roman"/>
          <w:b w:val="0"/>
          <w:kern w:val="2"/>
          <w:sz w:val="32"/>
          <w:szCs w:val="22"/>
          <w:highlight w:val="none"/>
          <w:lang w:val="en-US" w:eastAsia="zh-CN" w:bidi="ar-SA"/>
        </w:rPr>
        <w:t>以高水平推进政府治理体系和治理能力；二是不断强化政务服务能力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22"/>
          <w:highlight w:val="none"/>
          <w:lang w:val="en-US" w:eastAsia="zh-CN" w:bidi="ar-SA"/>
        </w:rPr>
        <w:t>；</w:t>
      </w:r>
      <w:r>
        <w:rPr>
          <w:rFonts w:hint="eastAsia" w:cs="Times New Roman"/>
          <w:b w:val="0"/>
          <w:kern w:val="2"/>
          <w:sz w:val="32"/>
          <w:szCs w:val="22"/>
          <w:highlight w:val="none"/>
          <w:lang w:val="en-US" w:eastAsia="zh-CN" w:bidi="ar-SA"/>
        </w:rPr>
        <w:t>三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22"/>
          <w:highlight w:val="none"/>
          <w:lang w:val="en-US" w:eastAsia="zh-CN" w:bidi="ar-SA"/>
        </w:rPr>
        <w:t>是</w:t>
      </w:r>
      <w:r>
        <w:rPr>
          <w:rFonts w:hint="eastAsia" w:cs="Times New Roman"/>
          <w:b w:val="0"/>
          <w:kern w:val="2"/>
          <w:sz w:val="32"/>
          <w:szCs w:val="22"/>
          <w:highlight w:val="none"/>
          <w:lang w:val="en-US" w:eastAsia="zh-CN" w:bidi="ar-SA"/>
        </w:rPr>
        <w:t>以信息化手段提升现代化城市治理能力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2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kern w:val="2"/>
          <w:sz w:val="32"/>
          <w:szCs w:val="22"/>
          <w:highlight w:val="none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8" w:header="851" w:footer="1400" w:gutter="0"/>
      <w:pgNumType w:fmt="decimal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kern w:val="0"/>
                              <w:sz w:val="24"/>
                              <w:szCs w:val="24"/>
                            </w:rPr>
                            <w:id w:val="25722849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jc w:val="center"/>
                                <w:rPr>
                                  <w:rFonts w:ascii="Times New Roman" w:hAnsi="Times New Roman" w:cs="Times New Roman"/>
                                  <w:kern w:val="0"/>
                                  <w:sz w:val="28"/>
                                  <w:szCs w:val="28"/>
                                </w:rPr>
                              </w:pPr>
                            </w:p>
                          </w:sdtContent>
                        </w:sdt>
                        <w:p>
                          <w:pPr>
                            <w:rPr>
                              <w:rFonts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CLaJPc4QEAALk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="Times New Roman" w:hAnsi="Times New Roman" w:cs="Times New Roman"/>
                        <w:kern w:val="0"/>
                        <w:sz w:val="24"/>
                        <w:szCs w:val="24"/>
                      </w:rPr>
                      <w:id w:val="25722849"/>
                      <w:docPartObj>
                        <w:docPartGallery w:val="autotext"/>
                      </w:docPartObj>
                    </w:sdtPr>
                    <w:sdtEndPr>
                      <w:rPr>
                        <w:rFonts w:ascii="Times New Roman" w:hAnsi="Times New Roman" w:cs="Times New Roman"/>
                        <w:kern w:val="0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jc w:val="center"/>
                          <w:rPr>
                            <w:rFonts w:ascii="Times New Roman" w:hAnsi="Times New Roman" w:cs="Times New Roman"/>
                            <w:kern w:val="0"/>
                            <w:sz w:val="28"/>
                            <w:szCs w:val="28"/>
                          </w:rPr>
                        </w:pPr>
                      </w:p>
                    </w:sdtContent>
                  </w:sdt>
                  <w:p>
                    <w:pPr>
                      <w:rPr>
                        <w:rFonts w:ascii="Times New Roman" w:hAnsi="Times New Roman" w:cs="Times New Roman"/>
                        <w:kern w:val="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3YTI0MzA5ZWQ0MDAwNjJjZmI0YTFhMDA2M2ZlNDEifQ=="/>
  </w:docVars>
  <w:rsids>
    <w:rsidRoot w:val="14B92A48"/>
    <w:rsid w:val="02457DA9"/>
    <w:rsid w:val="04043DFA"/>
    <w:rsid w:val="09266CB8"/>
    <w:rsid w:val="0B1C0A4C"/>
    <w:rsid w:val="0D4E1A09"/>
    <w:rsid w:val="14B92A48"/>
    <w:rsid w:val="16F06BEA"/>
    <w:rsid w:val="1AB6324D"/>
    <w:rsid w:val="238A5DA7"/>
    <w:rsid w:val="24051D1D"/>
    <w:rsid w:val="25560ED9"/>
    <w:rsid w:val="30DF1F38"/>
    <w:rsid w:val="35502B69"/>
    <w:rsid w:val="39830911"/>
    <w:rsid w:val="399766E6"/>
    <w:rsid w:val="3CE15514"/>
    <w:rsid w:val="3D791966"/>
    <w:rsid w:val="3ECA752B"/>
    <w:rsid w:val="42B919A3"/>
    <w:rsid w:val="444515CB"/>
    <w:rsid w:val="47A7041D"/>
    <w:rsid w:val="4DC06CAF"/>
    <w:rsid w:val="502A0322"/>
    <w:rsid w:val="51023751"/>
    <w:rsid w:val="5A2B0420"/>
    <w:rsid w:val="61613BCF"/>
    <w:rsid w:val="62862D4C"/>
    <w:rsid w:val="69997ACF"/>
    <w:rsid w:val="6AF54862"/>
    <w:rsid w:val="6E9A68E7"/>
    <w:rsid w:val="71C327FC"/>
    <w:rsid w:val="73D240E8"/>
    <w:rsid w:val="75494AD9"/>
    <w:rsid w:val="770B1E88"/>
    <w:rsid w:val="7BE0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32"/>
      <w:szCs w:val="24"/>
    </w:rPr>
  </w:style>
  <w:style w:type="paragraph" w:styleId="4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2021-03-09T06:36:00Z</dcterms:created>
  <dc:creator>南城半凉1426065969</dc:creator>
  <cp:lastModifiedBy>Audry</cp:lastModifiedBy>
  <cp:lastPrinted>2022-04-13T02:04:00Z</cp:lastPrinted>
  <dcterms:modified xsi:type="dcterms:W3CDTF">2022-05-18T09:57:33Z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653D695AD40B488A9FC0EFD9332B6F55</vt:lpwstr>
  </property>
</Properties>
</file>