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玄政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〔2021〕</w:t>
      </w: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关于印发《</w:t>
      </w:r>
      <w:r>
        <w:rPr>
          <w:rFonts w:hint="eastAsia" w:ascii="方正小标宋_GBK" w:hAnsi="方正小标宋_GBK" w:eastAsia="方正小标宋_GBK" w:cs="方正小标宋_GBK"/>
          <w:sz w:val="44"/>
          <w:szCs w:val="44"/>
          <w:lang w:val="en-US" w:eastAsia="zh-CN"/>
        </w:rPr>
        <w:t>南京市</w:t>
      </w:r>
      <w:r>
        <w:rPr>
          <w:rFonts w:hint="eastAsia" w:ascii="方正小标宋_GBK" w:hAnsi="方正小标宋_GBK" w:eastAsia="方正小标宋_GBK" w:cs="方正小标宋_GBK"/>
          <w:sz w:val="44"/>
          <w:szCs w:val="44"/>
        </w:rPr>
        <w:t>玄武区街道权力清单</w:t>
      </w:r>
      <w:r>
        <w:rPr>
          <w:rFonts w:hint="default" w:ascii="Times New Roman" w:hAnsi="Times New Roman" w:eastAsia="方正小标宋_GBK" w:cs="Times New Roman"/>
          <w:spacing w:val="-20"/>
          <w:sz w:val="44"/>
          <w:szCs w:val="44"/>
        </w:rPr>
        <w:t>》的通知</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各街道办事处、园区，各委办局，各直属单位：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南京市</w:t>
      </w:r>
      <w:r>
        <w:rPr>
          <w:rFonts w:hint="default" w:ascii="Times New Roman" w:hAnsi="Times New Roman" w:eastAsia="方正仿宋_GBK" w:cs="Times New Roman"/>
          <w:kern w:val="0"/>
          <w:sz w:val="32"/>
          <w:szCs w:val="32"/>
        </w:rPr>
        <w:t>玄武区街道权力清单》</w:t>
      </w:r>
      <w:r>
        <w:rPr>
          <w:rFonts w:hint="default" w:ascii="Times New Roman" w:hAnsi="Times New Roman" w:eastAsia="方正仿宋_GBK" w:cs="Times New Roman"/>
          <w:sz w:val="32"/>
          <w:szCs w:val="32"/>
        </w:rPr>
        <w:t>已经区政府同意，现印发给你们，请认真组织实施。</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5"/>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南京市玄武区人民政府办公室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30</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autoSpaceDE/>
        <w:autoSpaceDN/>
        <w:bidi w:val="0"/>
        <w:spacing w:line="560" w:lineRule="exact"/>
        <w:jc w:val="both"/>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autoSpaceDE/>
        <w:autoSpaceDN/>
        <w:bidi w:val="0"/>
        <w:spacing w:line="560" w:lineRule="exact"/>
        <w:jc w:val="both"/>
        <w:textAlignment w:val="auto"/>
        <w:rPr>
          <w:rFonts w:hint="default" w:ascii="Times New Roman" w:hAnsi="Times New Roman" w:eastAsia="方正小标宋_GBK" w:cs="Times New Roman"/>
          <w:sz w:val="36"/>
          <w:szCs w:val="36"/>
        </w:rPr>
      </w:pPr>
    </w:p>
    <w:p>
      <w:pPr>
        <w:keepNext w:val="0"/>
        <w:keepLines w:val="0"/>
        <w:pageBreakBefore w:val="0"/>
        <w:widowControl w:val="0"/>
        <w:pBdr>
          <w:top w:val="single" w:color="auto" w:sz="4" w:space="1"/>
          <w:bottom w:val="single" w:color="auto" w:sz="4" w:space="1"/>
        </w:pBdr>
        <w:kinsoku/>
        <w:wordWrap/>
        <w:overflowPunct/>
        <w:autoSpaceDE/>
        <w:autoSpaceDN/>
        <w:bidi w:val="0"/>
        <w:adjustRightInd w:val="0"/>
        <w:snapToGrid w:val="0"/>
        <w:spacing w:line="540" w:lineRule="exact"/>
        <w:textAlignment w:val="auto"/>
        <w:rPr>
          <w:rFonts w:hint="default" w:ascii="Times New Roman" w:hAnsi="Times New Roman" w:eastAsia="方正小标宋_GBK" w:cs="Times New Roman"/>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decimal" w:start="1"/>
          <w:cols w:space="425" w:num="1"/>
          <w:docGrid w:type="lines" w:linePitch="312" w:charSpace="0"/>
        </w:sectPr>
      </w:pPr>
      <w:r>
        <w:rPr>
          <w:rFonts w:hint="default" w:ascii="Times New Roman" w:hAnsi="Times New Roman" w:eastAsia="仿宋_GB2312" w:cs="Times New Roman"/>
          <w:kern w:val="0"/>
          <w:sz w:val="28"/>
          <w:szCs w:val="28"/>
        </w:rPr>
        <w:t xml:space="preserve">玄武区人民政府办公室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2021年</w:t>
      </w:r>
      <w:r>
        <w:rPr>
          <w:rFonts w:hint="eastAsia" w:ascii="Times New Roman" w:hAnsi="Times New Roman" w:eastAsia="仿宋_GB2312" w:cs="Times New Roman"/>
          <w:kern w:val="0"/>
          <w:sz w:val="28"/>
          <w:szCs w:val="28"/>
          <w:lang w:val="en-US" w:eastAsia="zh-CN"/>
        </w:rPr>
        <w:t>11</w:t>
      </w:r>
      <w:r>
        <w:rPr>
          <w:rFonts w:hint="default"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30</w:t>
      </w:r>
      <w:r>
        <w:rPr>
          <w:rFonts w:hint="default" w:ascii="Times New Roman" w:hAnsi="Times New Roman" w:eastAsia="仿宋_GB2312" w:cs="Times New Roman"/>
          <w:kern w:val="0"/>
          <w:sz w:val="28"/>
          <w:szCs w:val="28"/>
        </w:rPr>
        <w:t>日印发</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南京市玄武区街道权力清单</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lang w:val="en-US" w:eastAsia="zh-CN"/>
        </w:rPr>
      </w:pPr>
    </w:p>
    <w:tbl>
      <w:tblPr>
        <w:tblStyle w:val="5"/>
        <w:tblW w:w="13968" w:type="dxa"/>
        <w:jc w:val="center"/>
        <w:shd w:val="clear" w:color="auto" w:fill="auto"/>
        <w:tblLayout w:type="fixed"/>
        <w:tblCellMar>
          <w:top w:w="15" w:type="dxa"/>
          <w:left w:w="15" w:type="dxa"/>
          <w:bottom w:w="15" w:type="dxa"/>
          <w:right w:w="15" w:type="dxa"/>
        </w:tblCellMar>
      </w:tblPr>
      <w:tblGrid>
        <w:gridCol w:w="654"/>
        <w:gridCol w:w="1230"/>
        <w:gridCol w:w="1676"/>
        <w:gridCol w:w="4151"/>
        <w:gridCol w:w="4962"/>
        <w:gridCol w:w="1295"/>
      </w:tblGrid>
      <w:tr>
        <w:tblPrEx>
          <w:shd w:val="clear" w:color="auto" w:fill="auto"/>
          <w:tblCellMar>
            <w:top w:w="15" w:type="dxa"/>
            <w:left w:w="15" w:type="dxa"/>
            <w:bottom w:w="15" w:type="dxa"/>
            <w:right w:w="15" w:type="dxa"/>
          </w:tblCellMar>
        </w:tblPrEx>
        <w:trPr>
          <w:trHeight w:val="964" w:hRule="atLeast"/>
          <w:tblHeader/>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1"/>
                <w:szCs w:val="21"/>
                <w:highlight w:val="none"/>
              </w:rPr>
            </w:pPr>
            <w:r>
              <w:rPr>
                <w:rFonts w:hint="eastAsia" w:ascii="方正黑体_GBK" w:hAnsi="方正仿宋_GBK" w:eastAsia="方正黑体_GBK" w:cs="方正仿宋_GBK"/>
                <w:color w:val="auto"/>
                <w:sz w:val="21"/>
                <w:szCs w:val="21"/>
                <w:highlight w:val="none"/>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权力类型</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权力编码</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权力名称</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left="21" w:leftChars="10" w:right="21" w:rightChars="10"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设定依据</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tcMar>
              <w:left w:w="0" w:type="dxa"/>
              <w:right w:w="0" w:type="dxa"/>
            </w:tcMar>
            <w:vAlign w:val="center"/>
          </w:tcPr>
          <w:p>
            <w:pPr>
              <w:widowControl/>
              <w:snapToGrid/>
              <w:spacing w:line="300" w:lineRule="exact"/>
              <w:ind w:firstLine="0"/>
              <w:jc w:val="center"/>
              <w:textAlignment w:val="center"/>
              <w:rPr>
                <w:rFonts w:hint="eastAsia" w:ascii="方正黑体_GBK" w:hAnsi="方正仿宋_GBK" w:eastAsia="方正黑体_GBK" w:cs="方正仿宋_GBK"/>
                <w:color w:val="auto"/>
                <w:sz w:val="24"/>
                <w:szCs w:val="24"/>
                <w:highlight w:val="none"/>
              </w:rPr>
            </w:pPr>
            <w:r>
              <w:rPr>
                <w:rFonts w:hint="eastAsia" w:ascii="方正黑体_GBK" w:hAnsi="方正仿宋_GBK" w:eastAsia="方正黑体_GBK" w:cs="方正仿宋_GBK"/>
                <w:color w:val="auto"/>
                <w:sz w:val="24"/>
                <w:szCs w:val="24"/>
                <w:highlight w:val="none"/>
                <w:lang w:bidi="ar"/>
              </w:rPr>
              <w:t>备注</w:t>
            </w:r>
          </w:p>
        </w:tc>
      </w:tr>
      <w:tr>
        <w:tblPrEx>
          <w:shd w:val="clear" w:color="auto" w:fill="auto"/>
          <w:tblCellMar>
            <w:top w:w="15" w:type="dxa"/>
            <w:left w:w="15" w:type="dxa"/>
            <w:bottom w:w="15" w:type="dxa"/>
            <w:right w:w="15" w:type="dxa"/>
          </w:tblCellMar>
        </w:tblPrEx>
        <w:trPr>
          <w:trHeight w:val="156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000511001000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最低生活保障对象认定、保障金给付</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right="21" w:rightChars="10"/>
              <w:jc w:val="left"/>
              <w:textAlignment w:val="center"/>
              <w:rPr>
                <w:rFonts w:eastAsia="宋体"/>
                <w:color w:val="auto"/>
                <w:sz w:val="21"/>
                <w:szCs w:val="21"/>
                <w:highlight w:val="none"/>
                <w:lang w:bidi="ar"/>
              </w:rPr>
            </w:pPr>
            <w:r>
              <w:rPr>
                <w:rFonts w:hAnsi="宋体" w:eastAsia="宋体"/>
                <w:color w:val="auto"/>
                <w:sz w:val="21"/>
                <w:szCs w:val="21"/>
                <w:highlight w:val="none"/>
                <w:lang w:bidi="ar"/>
              </w:rPr>
              <w:t>《社会救助暂行办法》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Fonts w:eastAsia="宋体"/>
                <w:color w:val="auto"/>
                <w:sz w:val="21"/>
                <w:szCs w:val="21"/>
                <w:highlight w:val="none"/>
                <w:lang w:bidi="ar"/>
              </w:rPr>
              <w:t>000511001000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13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000511004000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对孤儿基本生活保障金的给付</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right="21" w:rightChars="10"/>
              <w:textAlignment w:val="center"/>
              <w:rPr>
                <w:rFonts w:eastAsia="宋体"/>
                <w:color w:val="auto"/>
                <w:spacing w:val="-4"/>
                <w:sz w:val="21"/>
                <w:szCs w:val="21"/>
                <w:highlight w:val="none"/>
                <w:lang w:bidi="ar"/>
              </w:rPr>
            </w:pPr>
            <w:r>
              <w:rPr>
                <w:rFonts w:hAnsi="宋体" w:eastAsia="宋体"/>
                <w:color w:val="auto"/>
                <w:spacing w:val="-4"/>
                <w:sz w:val="21"/>
                <w:szCs w:val="21"/>
                <w:highlight w:val="none"/>
                <w:lang w:bidi="ar"/>
              </w:rPr>
              <w:t>《国务院办公厅关于加强孤儿保障工作的意见》</w:t>
            </w:r>
          </w:p>
          <w:p>
            <w:pPr>
              <w:widowControl/>
              <w:snapToGrid/>
              <w:spacing w:line="300" w:lineRule="exact"/>
              <w:ind w:right="21" w:rightChars="10"/>
              <w:textAlignment w:val="center"/>
              <w:rPr>
                <w:rFonts w:eastAsia="宋体"/>
                <w:color w:val="auto"/>
                <w:spacing w:val="-4"/>
                <w:sz w:val="21"/>
                <w:szCs w:val="21"/>
                <w:highlight w:val="none"/>
              </w:rPr>
            </w:pPr>
            <w:r>
              <w:rPr>
                <w:rFonts w:hAnsi="宋体" w:eastAsia="宋体"/>
                <w:color w:val="auto"/>
                <w:spacing w:val="-4"/>
                <w:sz w:val="21"/>
                <w:szCs w:val="21"/>
                <w:highlight w:val="none"/>
                <w:lang w:bidi="ar"/>
              </w:rPr>
              <w:t>《民政部财政部关于发放孤儿基本生活费的通知》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Fonts w:eastAsia="宋体"/>
                <w:color w:val="auto"/>
                <w:sz w:val="21"/>
                <w:szCs w:val="21"/>
                <w:highlight w:val="none"/>
                <w:lang w:bidi="ar"/>
              </w:rPr>
              <w:t>000511004000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Style w:val="7"/>
                <w:rFonts w:hint="default" w:ascii="Times New Roman" w:hAnsi="Times New Roman" w:cs="Times New Roman"/>
                <w:color w:val="auto"/>
                <w:sz w:val="21"/>
                <w:szCs w:val="21"/>
                <w:highlight w:val="none"/>
                <w:lang w:bidi="ar"/>
              </w:rPr>
              <w:t>000511006000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特困人员认定、救助供养金给付</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40" w:lineRule="exact"/>
              <w:ind w:right="21" w:rightChars="10"/>
              <w:jc w:val="left"/>
              <w:textAlignment w:val="center"/>
              <w:rPr>
                <w:rFonts w:eastAsia="宋体"/>
                <w:color w:val="auto"/>
                <w:sz w:val="21"/>
                <w:szCs w:val="21"/>
                <w:highlight w:val="none"/>
                <w:lang w:bidi="ar"/>
              </w:rPr>
            </w:pPr>
            <w:r>
              <w:rPr>
                <w:rFonts w:hAnsi="宋体" w:eastAsia="宋体"/>
                <w:color w:val="auto"/>
                <w:sz w:val="21"/>
                <w:szCs w:val="21"/>
                <w:highlight w:val="none"/>
                <w:lang w:bidi="ar"/>
              </w:rPr>
              <w:t>《社会救助暂行办法》</w:t>
            </w:r>
          </w:p>
          <w:p>
            <w:pPr>
              <w:widowControl/>
              <w:snapToGrid/>
              <w:spacing w:line="24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《特困人员认定办法》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Fonts w:eastAsia="宋体"/>
                <w:color w:val="auto"/>
                <w:sz w:val="21"/>
                <w:szCs w:val="21"/>
                <w:highlight w:val="none"/>
                <w:lang w:bidi="ar"/>
              </w:rPr>
              <w:t>000511006000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lang w:bidi="ar"/>
              </w:rPr>
            </w:pPr>
            <w:r>
              <w:rPr>
                <w:rFonts w:hAnsi="宋体" w:eastAsia="宋体"/>
                <w:color w:val="auto"/>
                <w:sz w:val="21"/>
                <w:szCs w:val="21"/>
                <w:highlight w:val="none"/>
                <w:lang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Style w:val="7"/>
                <w:rFonts w:hint="default" w:ascii="Times New Roman" w:hAnsi="Times New Roman" w:cs="Times New Roman"/>
                <w:color w:val="auto"/>
                <w:sz w:val="21"/>
                <w:szCs w:val="21"/>
                <w:highlight w:val="none"/>
                <w:lang w:bidi="ar"/>
              </w:rPr>
            </w:pPr>
            <w:r>
              <w:rPr>
                <w:rStyle w:val="7"/>
                <w:rFonts w:hint="default" w:ascii="Times New Roman" w:hAnsi="Times New Roman" w:cs="Times New Roman"/>
                <w:color w:val="auto"/>
                <w:sz w:val="21"/>
                <w:szCs w:val="21"/>
                <w:highlight w:val="none"/>
                <w:lang w:bidi="ar"/>
              </w:rPr>
              <w:t>000511009000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lang w:bidi="ar"/>
              </w:rPr>
            </w:pPr>
            <w:r>
              <w:rPr>
                <w:rFonts w:hAnsi="宋体" w:eastAsia="宋体"/>
                <w:color w:val="auto"/>
                <w:sz w:val="21"/>
                <w:szCs w:val="21"/>
                <w:highlight w:val="none"/>
                <w:lang w:bidi="ar"/>
              </w:rPr>
              <w:t>困难残疾人生活补贴和重度残疾人护理补贴</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60" w:lineRule="exact"/>
              <w:ind w:right="21" w:rightChars="10"/>
              <w:jc w:val="left"/>
              <w:textAlignment w:val="center"/>
              <w:rPr>
                <w:rFonts w:hAnsi="宋体" w:eastAsia="宋体"/>
                <w:color w:val="auto"/>
                <w:sz w:val="21"/>
                <w:szCs w:val="21"/>
                <w:highlight w:val="none"/>
                <w:lang w:bidi="ar"/>
              </w:rPr>
            </w:pPr>
            <w:r>
              <w:rPr>
                <w:rFonts w:hAnsi="宋体" w:eastAsia="宋体"/>
                <w:color w:val="auto"/>
                <w:sz w:val="21"/>
                <w:szCs w:val="21"/>
                <w:highlight w:val="none"/>
                <w:lang w:bidi="ar"/>
              </w:rPr>
              <w:t>《国务院关于全面建立困难残疾人生活补贴和重度残疾人护理补贴制度的意见》</w:t>
            </w:r>
          </w:p>
          <w:p>
            <w:pPr>
              <w:widowControl/>
              <w:snapToGrid/>
              <w:spacing w:line="260" w:lineRule="exact"/>
              <w:ind w:right="21" w:rightChars="10"/>
              <w:jc w:val="left"/>
              <w:textAlignment w:val="center"/>
              <w:rPr>
                <w:rFonts w:eastAsia="宋体"/>
                <w:color w:val="auto"/>
                <w:sz w:val="21"/>
                <w:szCs w:val="21"/>
                <w:highlight w:val="none"/>
                <w:lang w:bidi="ar"/>
              </w:rPr>
            </w:pPr>
            <w:r>
              <w:rPr>
                <w:rFonts w:hAnsi="宋体" w:eastAsia="宋体"/>
                <w:color w:val="auto"/>
                <w:sz w:val="21"/>
                <w:szCs w:val="21"/>
                <w:highlight w:val="none"/>
                <w:lang w:bidi="ar"/>
              </w:rPr>
              <w:t>《省政府关于完善困难残疾人生活补贴和重度残疾人护理补贴制度的意见》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lang w:bidi="ar"/>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行政给付事项</w:t>
            </w:r>
            <w:r>
              <w:rPr>
                <w:rStyle w:val="7"/>
                <w:rFonts w:hint="default" w:ascii="Times New Roman" w:hAnsi="Times New Roman" w:cs="Times New Roman"/>
                <w:color w:val="auto"/>
                <w:sz w:val="21"/>
                <w:szCs w:val="21"/>
                <w:highlight w:val="none"/>
                <w:lang w:bidi="ar"/>
              </w:rPr>
              <w:t>000511009000</w:t>
            </w:r>
            <w:r>
              <w:rPr>
                <w:rFonts w:hAnsi="宋体" w:eastAsia="宋体"/>
                <w:color w:val="auto"/>
                <w:sz w:val="21"/>
                <w:szCs w:val="21"/>
                <w:highlight w:val="none"/>
                <w:lang w:bidi="ar"/>
              </w:rPr>
              <w:t>增加设定依据和行使层级。</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3207</w:t>
            </w:r>
            <w:r>
              <w:rPr>
                <w:rStyle w:val="7"/>
                <w:rFonts w:hint="default" w:ascii="Times New Roman" w:hAnsi="Times New Roman" w:cs="Times New Roman"/>
                <w:color w:val="auto"/>
                <w:sz w:val="21"/>
                <w:szCs w:val="21"/>
                <w:highlight w:val="none"/>
                <w:lang w:bidi="ar"/>
              </w:rPr>
              <w:t>XZ001000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出具法律援助经济状况证明</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firstLine="0"/>
              <w:textAlignment w:val="center"/>
              <w:rPr>
                <w:rFonts w:eastAsia="宋体"/>
                <w:color w:val="auto"/>
                <w:sz w:val="21"/>
                <w:szCs w:val="21"/>
                <w:highlight w:val="none"/>
              </w:rPr>
            </w:pPr>
            <w:r>
              <w:rPr>
                <w:rFonts w:hAnsi="宋体" w:eastAsia="宋体"/>
                <w:color w:val="auto"/>
                <w:sz w:val="21"/>
                <w:szCs w:val="21"/>
                <w:highlight w:val="none"/>
                <w:lang w:bidi="ar"/>
              </w:rPr>
              <w:t>《江苏省法律援助条例》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3207</w:t>
            </w:r>
            <w:r>
              <w:rPr>
                <w:rStyle w:val="7"/>
                <w:rFonts w:hint="default" w:ascii="Times New Roman" w:hAnsi="Times New Roman" w:cs="Times New Roman"/>
                <w:color w:val="auto"/>
                <w:sz w:val="21"/>
                <w:szCs w:val="21"/>
                <w:highlight w:val="none"/>
                <w:lang w:bidi="ar"/>
              </w:rPr>
              <w:t>XZ002000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开具购买毒性中药证明</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《医疗用毒性药品管理办法》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hint="eastAsia" w:hAnsi="宋体" w:eastAsia="宋体"/>
                <w:color w:val="auto"/>
                <w:sz w:val="21"/>
                <w:szCs w:val="21"/>
                <w:highlight w:val="none"/>
                <w:lang w:bidi="ar"/>
              </w:rPr>
            </w:pPr>
            <w:r>
              <w:rPr>
                <w:rFonts w:hAnsi="宋体" w:eastAsia="宋体"/>
                <w:color w:val="auto"/>
                <w:sz w:val="21"/>
                <w:szCs w:val="21"/>
                <w:highlight w:val="none"/>
                <w:lang w:bidi="ar"/>
              </w:rPr>
              <w:t>其他行政</w:t>
            </w:r>
          </w:p>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3210</w:t>
            </w:r>
            <w:r>
              <w:rPr>
                <w:rStyle w:val="7"/>
                <w:rFonts w:hint="default" w:ascii="Times New Roman" w:hAnsi="Times New Roman" w:cs="Times New Roman"/>
                <w:color w:val="auto"/>
                <w:sz w:val="21"/>
                <w:szCs w:val="21"/>
                <w:highlight w:val="none"/>
                <w:lang w:bidi="ar"/>
              </w:rPr>
              <w:t>XZ001000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对病残儿医学鉴定申请的审核转报</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eastAsia="宋体"/>
                <w:color w:val="auto"/>
                <w:sz w:val="21"/>
                <w:szCs w:val="21"/>
                <w:highlight w:val="none"/>
                <w:lang w:bidi="ar"/>
              </w:rPr>
            </w:pPr>
            <w:r>
              <w:rPr>
                <w:rFonts w:hAnsi="宋体" w:eastAsia="宋体"/>
                <w:color w:val="auto"/>
                <w:sz w:val="21"/>
                <w:szCs w:val="21"/>
                <w:highlight w:val="none"/>
                <w:lang w:bidi="ar"/>
              </w:rPr>
              <w:t>《病残儿医学鉴定管理办法》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hint="eastAsia" w:hAnsi="宋体" w:eastAsia="宋体"/>
                <w:color w:val="auto"/>
                <w:sz w:val="21"/>
                <w:szCs w:val="21"/>
                <w:highlight w:val="none"/>
                <w:lang w:bidi="ar"/>
              </w:rPr>
            </w:pPr>
            <w:r>
              <w:rPr>
                <w:rFonts w:hAnsi="宋体" w:eastAsia="宋体"/>
                <w:color w:val="auto"/>
                <w:sz w:val="21"/>
                <w:szCs w:val="21"/>
                <w:highlight w:val="none"/>
                <w:lang w:bidi="ar"/>
              </w:rPr>
              <w:t>其他行政</w:t>
            </w:r>
          </w:p>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3210</w:t>
            </w:r>
            <w:r>
              <w:rPr>
                <w:rStyle w:val="7"/>
                <w:rFonts w:hint="default" w:ascii="Times New Roman" w:hAnsi="Times New Roman" w:cs="Times New Roman"/>
                <w:color w:val="auto"/>
                <w:sz w:val="21"/>
                <w:szCs w:val="21"/>
                <w:highlight w:val="none"/>
                <w:lang w:bidi="ar"/>
              </w:rPr>
              <w:t>XZ002000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对事实无人抚养儿童保障资格的查验核实和终止</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《民政部最高人民法院</w:t>
            </w:r>
            <w:r>
              <w:rPr>
                <w:rFonts w:hint="eastAsia" w:hAnsi="宋体" w:eastAsia="宋体"/>
                <w:color w:val="auto"/>
                <w:sz w:val="21"/>
                <w:szCs w:val="21"/>
                <w:highlight w:val="none"/>
                <w:lang w:val="en-US" w:eastAsia="zh-CN" w:bidi="ar"/>
              </w:rPr>
              <w:t>等部门</w:t>
            </w:r>
            <w:r>
              <w:rPr>
                <w:rFonts w:hAnsi="宋体" w:eastAsia="宋体"/>
                <w:color w:val="auto"/>
                <w:sz w:val="21"/>
                <w:szCs w:val="21"/>
                <w:highlight w:val="none"/>
                <w:lang w:bidi="ar"/>
              </w:rPr>
              <w:t>关于进一步加强事实无人抚养儿童保障工作的意见》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hint="eastAsia" w:hAnsi="宋体" w:eastAsia="宋体"/>
                <w:color w:val="auto"/>
                <w:sz w:val="21"/>
                <w:szCs w:val="21"/>
                <w:highlight w:val="none"/>
                <w:lang w:bidi="ar"/>
              </w:rPr>
            </w:pPr>
            <w:r>
              <w:rPr>
                <w:rFonts w:hAnsi="宋体" w:eastAsia="宋体"/>
                <w:color w:val="auto"/>
                <w:sz w:val="21"/>
                <w:szCs w:val="21"/>
                <w:highlight w:val="none"/>
                <w:lang w:bidi="ar"/>
              </w:rPr>
              <w:t>其他行政</w:t>
            </w:r>
          </w:p>
          <w:p>
            <w:pPr>
              <w:widowControl/>
              <w:snapToGrid/>
              <w:spacing w:line="300" w:lineRule="exact"/>
              <w:ind w:firstLine="0"/>
              <w:jc w:val="center"/>
              <w:textAlignment w:val="center"/>
              <w:rPr>
                <w:rFonts w:eastAsia="宋体"/>
                <w:color w:val="auto"/>
                <w:sz w:val="21"/>
                <w:szCs w:val="21"/>
                <w:highlight w:val="none"/>
              </w:rPr>
            </w:pPr>
            <w:r>
              <w:rPr>
                <w:rFonts w:hAnsi="宋体" w:eastAsia="宋体"/>
                <w:color w:val="auto"/>
                <w:sz w:val="21"/>
                <w:szCs w:val="21"/>
                <w:highlight w:val="none"/>
                <w:lang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textAlignment w:val="center"/>
              <w:rPr>
                <w:rFonts w:eastAsia="宋体"/>
                <w:color w:val="auto"/>
                <w:sz w:val="21"/>
                <w:szCs w:val="21"/>
                <w:highlight w:val="none"/>
              </w:rPr>
            </w:pPr>
            <w:r>
              <w:rPr>
                <w:rFonts w:eastAsia="宋体"/>
                <w:color w:val="auto"/>
                <w:sz w:val="21"/>
                <w:szCs w:val="21"/>
                <w:highlight w:val="none"/>
                <w:lang w:bidi="ar"/>
              </w:rPr>
              <w:t>3210</w:t>
            </w:r>
            <w:r>
              <w:rPr>
                <w:rStyle w:val="7"/>
                <w:rFonts w:hint="default" w:ascii="Times New Roman" w:hAnsi="Times New Roman" w:cs="Times New Roman"/>
                <w:color w:val="auto"/>
                <w:sz w:val="21"/>
                <w:szCs w:val="21"/>
                <w:highlight w:val="none"/>
                <w:lang w:bidi="ar"/>
              </w:rPr>
              <w:t>XZ004000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300" w:lineRule="exact"/>
              <w:ind w:firstLine="0"/>
              <w:textAlignment w:val="center"/>
              <w:rPr>
                <w:rFonts w:eastAsia="宋体"/>
                <w:color w:val="auto"/>
                <w:sz w:val="21"/>
                <w:szCs w:val="21"/>
                <w:highlight w:val="none"/>
              </w:rPr>
            </w:pPr>
            <w:r>
              <w:rPr>
                <w:rFonts w:hAnsi="宋体" w:eastAsia="宋体"/>
                <w:color w:val="auto"/>
                <w:sz w:val="21"/>
                <w:szCs w:val="21"/>
                <w:highlight w:val="none"/>
                <w:lang w:bidi="ar"/>
              </w:rPr>
              <w:t>对经济适用住房资格申请的审核</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left"/>
              <w:textAlignment w:val="center"/>
              <w:rPr>
                <w:rFonts w:eastAsia="宋体"/>
                <w:color w:val="auto"/>
                <w:sz w:val="21"/>
                <w:szCs w:val="21"/>
                <w:highlight w:val="none"/>
              </w:rPr>
            </w:pPr>
            <w:r>
              <w:rPr>
                <w:rFonts w:hAnsi="宋体" w:eastAsia="宋体"/>
                <w:color w:val="auto"/>
                <w:sz w:val="21"/>
                <w:szCs w:val="21"/>
                <w:highlight w:val="none"/>
                <w:lang w:bidi="ar"/>
              </w:rPr>
              <w:t>《经济适用住房管理办法》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食品摊贩备案</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《江苏省食品小作坊和食品摊贩管理条例》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XZ012000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村（居）民自治章程、村（居）规民约备案</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《中华人民共和国村民委员会组织法》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《中华人民共和国城市居民委员会组织法》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XZ013000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社区戒毒、社区康复</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《中华人民共和国禁毒法》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《戒毒条例》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《江苏省禁毒条例》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XZ017000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对可能引发社会安全事件的矛盾纠纷调解处理</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《中华人民共和国突发事件应对法》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《江苏省实施〈中华人民共和国突发事件应对法〉办法》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321017039000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业委会备案</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《物业管理条例》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《江苏省物业管理条例》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left"/>
              <w:textAlignment w:val="center"/>
              <w:rPr>
                <w:rFonts w:eastAsia="宋体"/>
                <w:color w:val="auto"/>
                <w:sz w:val="21"/>
                <w:szCs w:val="21"/>
                <w:highlight w:val="none"/>
              </w:rPr>
            </w:pPr>
            <w:r>
              <w:rPr>
                <w:rFonts w:hint="eastAsia" w:eastAsia="宋体"/>
                <w:color w:val="auto"/>
                <w:sz w:val="21"/>
                <w:szCs w:val="21"/>
                <w:highlight w:val="none"/>
                <w:lang w:bidi="ar"/>
              </w:rPr>
              <w:t>“</w:t>
            </w:r>
            <w:r>
              <w:rPr>
                <w:rFonts w:hAnsi="宋体" w:eastAsia="宋体"/>
                <w:color w:val="auto"/>
                <w:sz w:val="21"/>
                <w:szCs w:val="21"/>
                <w:highlight w:val="none"/>
                <w:lang w:bidi="ar"/>
              </w:rPr>
              <w:t>四级四同</w:t>
            </w:r>
            <w:r>
              <w:rPr>
                <w:rFonts w:hint="eastAsia" w:hAnsi="宋体" w:eastAsia="宋体"/>
                <w:color w:val="auto"/>
                <w:sz w:val="21"/>
                <w:szCs w:val="21"/>
                <w:highlight w:val="none"/>
                <w:lang w:bidi="ar"/>
              </w:rPr>
              <w:t>”</w:t>
            </w:r>
            <w:r>
              <w:rPr>
                <w:rFonts w:hAnsi="宋体" w:eastAsia="宋体"/>
                <w:color w:val="auto"/>
                <w:sz w:val="21"/>
                <w:szCs w:val="21"/>
                <w:highlight w:val="none"/>
                <w:lang w:bidi="ar"/>
              </w:rPr>
              <w:t>其他行政权力</w:t>
            </w:r>
            <w:r>
              <w:rPr>
                <w:rFonts w:eastAsia="宋体"/>
                <w:color w:val="auto"/>
                <w:sz w:val="21"/>
                <w:szCs w:val="21"/>
                <w:highlight w:val="none"/>
                <w:lang w:bidi="ar"/>
              </w:rPr>
              <w:t>321017039000</w:t>
            </w:r>
            <w:r>
              <w:rPr>
                <w:rFonts w:hAnsi="宋体" w:eastAsia="宋体"/>
                <w:color w:val="auto"/>
                <w:sz w:val="21"/>
                <w:szCs w:val="21"/>
                <w:highlight w:val="none"/>
                <w:lang w:bidi="ar"/>
              </w:rPr>
              <w:t>增加行使层级和设定依据。</w:t>
            </w: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设立健身气功站点审核</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《健身气功管理办法》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对符合救助条件的居民住房恢复重建补助对象的审核</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《自然灾害救助条例》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企业劳动争议调解</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《中华人民共和国人民调解法》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《中华人民共和国劳动争议调解仲裁法》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《人民调解委员会组织条例》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《企业劳动争议协商调解规定》</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XZ028000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对申请享受光荣院集中供养、优惠服务的转报</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《光荣院管理办法》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对涉及农民专业合作社矛盾纠纷的调解处理</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《江苏省农民专业合作社条例》</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责令生产经营单位改正、排除安全生产违法行为或者生产安全事故隐患</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《江苏省安全生产条例》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对申请医疗救助对象的初审（最低生活保障家庭成员和特困供养人员除外）</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《社会救助暂行办法》</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其他行政</w:t>
            </w:r>
          </w:p>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权力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3210</w:t>
            </w:r>
            <w:r>
              <w:rPr>
                <w:rFonts w:hint="default" w:hAnsi="宋体" w:eastAsia="宋体"/>
                <w:color w:val="auto"/>
                <w:sz w:val="21"/>
                <w:szCs w:val="21"/>
                <w:highlight w:val="none"/>
                <w:lang w:val="en-US" w:eastAsia="zh-CN" w:bidi="ar"/>
              </w:rPr>
              <w:t>XZ037000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对申请公共租赁住房保障或住房租赁补贴的初审</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《江苏省公共租赁住房管理办法》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《江苏省廉租住房保障办法》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《住房城乡建设部财政部国家发展改革委关于公共租赁住房和廉租住房并轨运行的通知》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《住房城乡建设部财政部关于做好城镇住房保障家庭租赁补贴工作的指导意见》</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行政奖励</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default"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3208NJ009000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对在生活垃圾减量、定时定点集中投放和分类收集工作中做出突出贡献的单位、住宅区、农村居住区和个人的奖励</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《南京市生活垃圾管理条例》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3207NJ006000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对未实行物业管理或者不能确定管理责任人的生活垃圾分类投放管理责任人的确定</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《南京市生活垃圾管理条例》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shd w:val="clear" w:color="auto" w:fill="auto"/>
          <w:tblCellMar>
            <w:top w:w="15" w:type="dxa"/>
            <w:left w:w="15" w:type="dxa"/>
            <w:bottom w:w="15" w:type="dxa"/>
            <w:right w:w="15"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行政确认</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3207NJ007000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noWrap w:val="0"/>
            <w:tcMar>
              <w:left w:w="57" w:type="dxa"/>
              <w:right w:w="57" w:type="dxa"/>
            </w:tcMar>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对直接使用公共财政资金进行城市公共区域生活垃圾收集、运输和处置单位的确定</w:t>
            </w:r>
          </w:p>
        </w:tc>
        <w:tc>
          <w:tcPr>
            <w:tcW w:w="4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《南京市生活垃圾管理条例》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napToGrid/>
              <w:spacing w:line="300" w:lineRule="exact"/>
              <w:ind w:firstLine="0"/>
              <w:jc w:val="center"/>
              <w:rPr>
                <w:rFonts w:eastAsia="宋体"/>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000511011000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老年人福利补贴</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《中华人民共和国老年人权益保障法》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《江苏省老年人权益保障条例》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w:t>
            </w:r>
            <w:r>
              <w:rPr>
                <w:rFonts w:hint="default" w:hAnsi="宋体" w:eastAsia="宋体"/>
                <w:color w:val="auto"/>
                <w:sz w:val="21"/>
                <w:szCs w:val="21"/>
                <w:highlight w:val="none"/>
                <w:lang w:val="en-US" w:eastAsia="zh-CN" w:bidi="ar"/>
              </w:rPr>
              <w:t>关于印发</w:t>
            </w:r>
            <w:r>
              <w:rPr>
                <w:rFonts w:hint="eastAsia" w:hAnsi="宋体" w:eastAsia="宋体"/>
                <w:color w:val="auto"/>
                <w:sz w:val="21"/>
                <w:szCs w:val="21"/>
                <w:highlight w:val="none"/>
                <w:lang w:val="en-US" w:eastAsia="zh-CN" w:bidi="ar"/>
              </w:rPr>
              <w:t>&lt;</w:t>
            </w:r>
            <w:r>
              <w:rPr>
                <w:rFonts w:hint="default" w:hAnsi="宋体" w:eastAsia="宋体"/>
                <w:color w:val="auto"/>
                <w:sz w:val="21"/>
                <w:szCs w:val="21"/>
                <w:highlight w:val="none"/>
                <w:lang w:val="en-US" w:eastAsia="zh-CN" w:bidi="ar"/>
              </w:rPr>
              <w:t>南京市玄武区赋予街道经济社会管理 权限目录（行政许可及公共服务类）</w:t>
            </w:r>
            <w:r>
              <w:rPr>
                <w:rFonts w:hint="eastAsia" w:hAnsi="宋体" w:eastAsia="宋体"/>
                <w:color w:val="auto"/>
                <w:sz w:val="21"/>
                <w:szCs w:val="21"/>
                <w:highlight w:val="none"/>
                <w:lang w:val="en-US" w:eastAsia="zh-CN" w:bidi="ar"/>
              </w:rPr>
              <w:t>&gt;</w:t>
            </w:r>
            <w:r>
              <w:rPr>
                <w:rFonts w:hint="default" w:hAnsi="宋体" w:eastAsia="宋体"/>
                <w:color w:val="auto"/>
                <w:sz w:val="21"/>
                <w:szCs w:val="21"/>
                <w:highlight w:val="none"/>
                <w:lang w:val="en-US" w:eastAsia="zh-CN" w:bidi="ar"/>
              </w:rPr>
              <w:t>的通知</w:t>
            </w:r>
            <w:r>
              <w:rPr>
                <w:rFonts w:hint="eastAsia" w:hAnsi="宋体" w:eastAsia="宋体"/>
                <w:color w:val="auto"/>
                <w:sz w:val="21"/>
                <w:szCs w:val="21"/>
                <w:highlight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行政给付</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000523005000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计划生育家庭特别扶助金</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《中华人民共和国人口与计划生育法》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《江苏省人口与计划生育条例》</w:t>
            </w:r>
          </w:p>
          <w:p>
            <w:pPr>
              <w:widowControl/>
              <w:snapToGrid/>
              <w:spacing w:line="280" w:lineRule="exact"/>
              <w:ind w:right="21" w:rightChars="10"/>
              <w:textAlignment w:val="center"/>
              <w:rPr>
                <w:rFonts w:hint="default"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w:t>
            </w:r>
            <w:r>
              <w:rPr>
                <w:rFonts w:hint="default" w:hAnsi="宋体" w:eastAsia="宋体"/>
                <w:color w:val="auto"/>
                <w:sz w:val="21"/>
                <w:szCs w:val="21"/>
                <w:highlight w:val="none"/>
                <w:lang w:val="en-US" w:eastAsia="zh-CN" w:bidi="ar"/>
              </w:rPr>
              <w:t>关于印发</w:t>
            </w:r>
            <w:r>
              <w:rPr>
                <w:rFonts w:hint="eastAsia" w:hAnsi="宋体" w:eastAsia="宋体"/>
                <w:color w:val="auto"/>
                <w:sz w:val="21"/>
                <w:szCs w:val="21"/>
                <w:highlight w:val="none"/>
                <w:lang w:val="en-US" w:eastAsia="zh-CN" w:bidi="ar"/>
              </w:rPr>
              <w:t>&lt;</w:t>
            </w:r>
            <w:r>
              <w:rPr>
                <w:rFonts w:hint="default" w:hAnsi="宋体" w:eastAsia="宋体"/>
                <w:color w:val="auto"/>
                <w:sz w:val="21"/>
                <w:szCs w:val="21"/>
                <w:highlight w:val="none"/>
                <w:lang w:val="en-US" w:eastAsia="zh-CN" w:bidi="ar"/>
              </w:rPr>
              <w:t>南京市玄武区赋予街道经济社会管理 权限目录（行政许可及公共服务类</w:t>
            </w:r>
            <w:r>
              <w:rPr>
                <w:rFonts w:hint="eastAsia" w:hAnsi="宋体" w:eastAsia="宋体"/>
                <w:color w:val="auto"/>
                <w:sz w:val="21"/>
                <w:szCs w:val="21"/>
                <w:highlight w:val="none"/>
                <w:lang w:val="en-US" w:eastAsia="zh-CN" w:bidi="ar"/>
              </w:rPr>
              <w:t>）&gt;</w:t>
            </w:r>
            <w:r>
              <w:rPr>
                <w:rFonts w:hint="default" w:hAnsi="宋体" w:eastAsia="宋体"/>
                <w:color w:val="auto"/>
                <w:sz w:val="21"/>
                <w:szCs w:val="21"/>
                <w:highlight w:val="none"/>
                <w:lang w:val="en-US" w:eastAsia="zh-CN" w:bidi="ar"/>
              </w:rPr>
              <w:t>的通知</w:t>
            </w:r>
            <w:r>
              <w:rPr>
                <w:rFonts w:hint="eastAsia" w:hAnsi="宋体" w:eastAsia="宋体"/>
                <w:color w:val="auto"/>
                <w:sz w:val="21"/>
                <w:szCs w:val="21"/>
                <w:highlight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default"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对携带清真禁忌食品、物品进入清真食品的专营场所行为的处罚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对在非专营清真食品场所内设置清真食品柜台或者摊点，未采取有效措施，与清真禁忌食品、物品柜台或者摊点相隔离行为的处罚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对邻近清真食品专营场所设置清真禁忌食品、物品经营场所或者摊点，未与清真食品专营场所保持适当距离或者未采取相应的隔离措施，影响清真食品专营场所的经营活动行为的处罚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对未按少数民族的清真饮食习俗屠宰畜禽或者加工、制作清真食品行为的处罚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对未按照清真要求采购制成品、原料行为的处罚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r>
              <w:rPr>
                <w:rFonts w:hint="default" w:hAnsi="宋体" w:eastAsia="宋体"/>
                <w:color w:val="auto"/>
                <w:sz w:val="21"/>
                <w:szCs w:val="21"/>
                <w:highlight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对清真食品的运输车辆、计量器具、储藏容器和加工、储存、销售的场地，用以运送、称量、存放清真禁忌食品、物品行为的处罚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对专门从事清真食品生产、经营的企业和个体工商户在其字号、招牌上使用有清真饮食习俗的少数民族禁忌的语言、文字、图像的；或者其他从事食品生产、经营的企业和个体工商户在其字号、招牌上使用</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清真</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字样或者标有清真含义符号行为的处罚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对企业和个体工商户在其生产、经营的清真食品的名称、包装上使用有清真饮食习俗的少数民族禁忌的语言、文字、图像的；或者非清真食品的名称、包装上使用</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清真</w:t>
            </w:r>
            <w:r>
              <w:rPr>
                <w:rFonts w:hint="default" w:hAnsi="宋体" w:eastAsia="宋体"/>
                <w:color w:val="auto"/>
                <w:sz w:val="21"/>
                <w:szCs w:val="21"/>
                <w:highlight w:val="none"/>
                <w:lang w:val="en-US" w:eastAsia="zh-CN" w:bidi="ar"/>
              </w:rPr>
              <w:t>”</w:t>
            </w:r>
            <w:r>
              <w:rPr>
                <w:rFonts w:hint="eastAsia" w:hAnsi="宋体" w:eastAsia="宋体"/>
                <w:color w:val="auto"/>
                <w:sz w:val="21"/>
                <w:szCs w:val="21"/>
                <w:highlight w:val="none"/>
                <w:lang w:val="en-US" w:eastAsia="zh-CN" w:bidi="ar"/>
              </w:rPr>
              <w:t>字样或者标有清真含义的符号行为的处罚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r>
              <w:rPr>
                <w:rFonts w:hint="default" w:hAnsi="宋体" w:eastAsia="宋体"/>
                <w:color w:val="auto"/>
                <w:sz w:val="21"/>
                <w:szCs w:val="21"/>
                <w:highlight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对伪造、转让、租借或者买卖清真标志牌行为的处罚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《江苏省清真食品监督保护条例》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r>
              <w:rPr>
                <w:rFonts w:hint="default" w:hAnsi="宋体" w:eastAsia="宋体"/>
                <w:color w:val="auto"/>
                <w:sz w:val="21"/>
                <w:szCs w:val="21"/>
                <w:highlight w:val="none"/>
                <w:lang w:val="en-US" w:eastAsia="zh-CN" w:bidi="ar"/>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对宗教活动场所未建立有关管理制度或者管理制度不符合要求的处罚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320208020000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对假冒宗教教职人员进行宗教活动或者骗取钱财等违法活动的处罚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对强制公民信仰宗教或者不信仰宗教，或者干扰宗教团体、宗教活动场所正常的宗教活动的处罚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320208003000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对破坏民族团结和制造民族分裂行为的处罚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《江苏省少数民族权益保障条例》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320208021000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对擅自举行大型宗教活动行为的处罚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对宗教活动场所内发生重大事故、重大事件未及时报告，造成严重后果的处罚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对擅自设立宗教活动场所的，宗教活动场所已被撤销登记或者吊销登记证书仍然进行宗教活动的，或者擅自设立宗教院校的处罚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320208018000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对非宗教团体、非宗教院校、非宗教活动场所、非指定的临时活动地点组织、举行宗教活动，接受宗教性捐赠的处罚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320208025000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对违反规定修建大型露天宗教造像的处罚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《宗教事务条例》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违反工作时间规定的处罚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 xml:space="preserve">《劳动保障监察条例》     </w:t>
            </w:r>
          </w:p>
          <w:p>
            <w:pPr>
              <w:widowControl/>
              <w:snapToGrid/>
              <w:spacing w:line="280" w:lineRule="exact"/>
              <w:ind w:right="21" w:rightChars="10"/>
              <w:textAlignment w:val="center"/>
              <w:rPr>
                <w:rFonts w:hint="eastAsia"/>
                <w:lang w:val="en-US" w:eastAsia="zh-CN"/>
              </w:rPr>
            </w:pPr>
            <w:r>
              <w:rPr>
                <w:rFonts w:hint="eastAsia"/>
                <w:lang w:val="en-US" w:eastAsia="zh-CN"/>
              </w:rPr>
              <w:t xml:space="preserve">《劳动保障监察条例》 </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320214042000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违反禁止使用童工规定的处罚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《中华人民共和国劳动法》</w:t>
            </w:r>
          </w:p>
          <w:p>
            <w:pPr>
              <w:widowControl/>
              <w:snapToGrid/>
              <w:spacing w:line="280" w:lineRule="exact"/>
              <w:ind w:right="21" w:rightChars="10"/>
              <w:textAlignment w:val="center"/>
              <w:rPr>
                <w:rFonts w:hint="eastAsia"/>
                <w:lang w:val="en-US" w:eastAsia="zh-CN"/>
              </w:rPr>
            </w:pPr>
            <w:r>
              <w:rPr>
                <w:rFonts w:hint="eastAsia"/>
                <w:lang w:val="en-US" w:eastAsia="zh-CN"/>
              </w:rPr>
              <w:t>《禁止使用童工规定》</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320214065000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拒不接受或配合劳动保障监察的处罚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 xml:space="preserve">《劳动保障监察条例》 </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320214039000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违反招用人员规定的处罚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《就业服务与就业管理规定》</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320214043000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违反职业介绍管理规定的处罚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《中华人民共和国就业促进法》</w:t>
            </w:r>
          </w:p>
          <w:p>
            <w:pPr>
              <w:widowControl/>
              <w:snapToGrid/>
              <w:spacing w:line="280" w:lineRule="exact"/>
              <w:ind w:right="21" w:rightChars="10"/>
              <w:textAlignment w:val="center"/>
              <w:rPr>
                <w:rFonts w:hint="eastAsia"/>
                <w:lang w:val="en-US" w:eastAsia="zh-CN"/>
              </w:rPr>
            </w:pPr>
            <w:r>
              <w:rPr>
                <w:rFonts w:hint="eastAsia"/>
                <w:lang w:val="en-US" w:eastAsia="zh-CN"/>
              </w:rPr>
              <w:t>《就业服务与就业管理规定》</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违反劳务派遣行政许可规定的处罚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 xml:space="preserve">《劳务派遣行政许可实施办法》      </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违反劳务派遣管理规定的处罚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《劳务派遣暂行规定》</w:t>
            </w:r>
          </w:p>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《劳务派遣暂行规定》</w:t>
            </w:r>
          </w:p>
          <w:p>
            <w:pPr>
              <w:widowControl/>
              <w:snapToGrid/>
              <w:spacing w:line="280" w:lineRule="exact"/>
              <w:ind w:right="21" w:rightChars="10"/>
              <w:textAlignment w:val="center"/>
              <w:rPr>
                <w:rFonts w:hint="eastAsia"/>
                <w:lang w:val="en-US" w:eastAsia="zh-CN"/>
              </w:rPr>
            </w:pPr>
            <w:r>
              <w:rPr>
                <w:rFonts w:hint="eastAsia"/>
                <w:lang w:val="en-US" w:eastAsia="zh-CN"/>
              </w:rPr>
              <w:t>《劳动合同法实施条例》</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320214054000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违反工资分配、工资支付管理规定的处罚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《江苏省工资支付条例》</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320214046000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违反建立职工名册规定的处罚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《中华人民共和国劳动合同法》</w:t>
            </w:r>
          </w:p>
          <w:p>
            <w:pPr>
              <w:widowControl/>
              <w:snapToGrid/>
              <w:spacing w:line="280" w:lineRule="exact"/>
              <w:ind w:right="21" w:rightChars="10"/>
              <w:textAlignment w:val="center"/>
              <w:rPr>
                <w:rFonts w:hint="eastAsia"/>
                <w:lang w:val="en-US" w:eastAsia="zh-CN"/>
              </w:rPr>
            </w:pPr>
            <w:r>
              <w:rPr>
                <w:rFonts w:hint="eastAsia"/>
                <w:lang w:val="en-US" w:eastAsia="zh-CN"/>
              </w:rPr>
              <w:t>《劳动合同法实施条例》</w:t>
            </w:r>
          </w:p>
          <w:p>
            <w:pPr>
              <w:widowControl/>
              <w:snapToGrid/>
              <w:spacing w:line="280" w:lineRule="exact"/>
              <w:ind w:right="21" w:rightChars="10"/>
              <w:textAlignment w:val="center"/>
              <w:rPr>
                <w:rFonts w:hint="eastAsia"/>
                <w:lang w:val="en-US" w:eastAsia="zh-CN"/>
              </w:rPr>
            </w:pPr>
            <w:r>
              <w:rPr>
                <w:rFonts w:hint="eastAsia"/>
                <w:lang w:val="en-US" w:eastAsia="zh-CN"/>
              </w:rPr>
              <w:t>《劳动保障监察条例》</w:t>
            </w:r>
          </w:p>
          <w:p>
            <w:pPr>
              <w:widowControl/>
              <w:snapToGrid/>
              <w:spacing w:line="280" w:lineRule="exact"/>
              <w:ind w:right="21" w:rightChars="10"/>
              <w:textAlignment w:val="center"/>
              <w:rPr>
                <w:rFonts w:hint="eastAsia"/>
                <w:lang w:val="en-US" w:eastAsia="zh-CN"/>
              </w:rPr>
            </w:pPr>
            <w:r>
              <w:rPr>
                <w:rFonts w:hint="eastAsia"/>
                <w:lang w:val="en-US" w:eastAsia="zh-CN"/>
              </w:rPr>
              <w:t>《关于实施&lt;劳动保障监察条例&gt;若干规定》</w:t>
            </w:r>
          </w:p>
          <w:p>
            <w:pPr>
              <w:widowControl/>
              <w:snapToGrid/>
              <w:spacing w:line="280" w:lineRule="exact"/>
              <w:ind w:right="21" w:rightChars="10"/>
              <w:textAlignment w:val="center"/>
              <w:rPr>
                <w:rFonts w:hint="eastAsia"/>
                <w:lang w:val="en-US" w:eastAsia="zh-CN"/>
              </w:rPr>
            </w:pPr>
            <w:r>
              <w:rPr>
                <w:rFonts w:hint="eastAsia"/>
                <w:lang w:val="en-US" w:eastAsia="zh-CN"/>
              </w:rPr>
              <w:t>《江苏省劳动监察规定》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320217033000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对未取得施工许可证或者为规避办理施工许可证将工程项目分解后擅自施工的处罚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《中华人民共和国建筑法》</w:t>
            </w:r>
          </w:p>
          <w:p>
            <w:pPr>
              <w:widowControl/>
              <w:snapToGrid/>
              <w:spacing w:line="280" w:lineRule="exact"/>
              <w:ind w:right="21" w:rightChars="10"/>
              <w:textAlignment w:val="center"/>
              <w:rPr>
                <w:rFonts w:hint="eastAsia"/>
                <w:lang w:val="en-US" w:eastAsia="zh-CN"/>
              </w:rPr>
            </w:pPr>
            <w:r>
              <w:rPr>
                <w:rFonts w:hint="eastAsia"/>
                <w:lang w:val="en-US" w:eastAsia="zh-CN"/>
              </w:rPr>
              <w:t>《建设工程质量管理条例》</w:t>
            </w:r>
          </w:p>
          <w:p>
            <w:pPr>
              <w:widowControl/>
              <w:snapToGrid/>
              <w:spacing w:line="280" w:lineRule="exact"/>
              <w:ind w:right="21" w:rightChars="10"/>
              <w:textAlignment w:val="center"/>
              <w:rPr>
                <w:rFonts w:hint="eastAsia"/>
                <w:lang w:val="en-US" w:eastAsia="zh-CN"/>
              </w:rPr>
            </w:pPr>
            <w:r>
              <w:rPr>
                <w:rFonts w:hint="eastAsia"/>
                <w:lang w:val="en-US" w:eastAsia="zh-CN"/>
              </w:rPr>
              <w:t>《建筑工程施工许可管理办法》</w:t>
            </w:r>
          </w:p>
          <w:p>
            <w:pPr>
              <w:widowControl/>
              <w:snapToGrid/>
              <w:spacing w:line="280" w:lineRule="exact"/>
              <w:ind w:right="21" w:rightChars="10"/>
              <w:textAlignment w:val="center"/>
              <w:rPr>
                <w:rFonts w:hint="eastAsia"/>
                <w:lang w:val="en-US" w:eastAsia="zh-CN"/>
              </w:rPr>
            </w:pPr>
            <w:r>
              <w:rPr>
                <w:rFonts w:hint="eastAsia"/>
                <w:lang w:val="en-US" w:eastAsia="zh-CN"/>
              </w:rPr>
              <w:t>《建筑业企业资质管理规定》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320217681000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对砍伐、擅自迁移古树名木或者因养护不善致使古树名木受到损伤或者死亡行为的处罚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《城市绿化条例》</w:t>
            </w:r>
          </w:p>
          <w:p>
            <w:pPr>
              <w:widowControl/>
              <w:snapToGrid/>
              <w:spacing w:line="280" w:lineRule="exact"/>
              <w:ind w:right="21" w:rightChars="10"/>
              <w:textAlignment w:val="center"/>
              <w:rPr>
                <w:rFonts w:hint="eastAsia"/>
                <w:lang w:val="en-US" w:eastAsia="zh-CN"/>
              </w:rPr>
            </w:pPr>
            <w:r>
              <w:rPr>
                <w:rFonts w:hint="eastAsia"/>
                <w:lang w:val="en-US" w:eastAsia="zh-CN"/>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320217453000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对市容环卫责任人不履行市容环卫责任的处罚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对擅自在城市街道两侧和公共场地搭建临时设施的处罚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对擅自在城市街道两侧和公共场地堆放物料的处罚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对擅自占用道路、人行过街桥、人行地下过街通道、地铁通道以及其他公共场地摆摊设点的处罚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320217690000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对在树木、地面、建筑物、构筑物或者其他设施上刻画、涂写、张贴的处罚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 《关于印发赋予乡镇（街道）经济社会管理权限指导目录的通知》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320217463000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对随地吐痰、便溺、乱倒污水、乱扔口香糖等废弃物的处罚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320217161000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对乱倒垃圾、粪便的处罚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320217292000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对收旧、车辆清洗、维修、饮食等单位或者个人污染环境的处罚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320217485000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对在实施城市生活垃圾分类处理的区域，将废电池、荧光灯管、电子显示屏等有毒有害垃圾倒入生活垃圾容器或者任意排放、遗弃的处罚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320217374000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对在城市建成区露天焚烧落叶的处罚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《中华人民共和国大气污染防治法》</w:t>
            </w:r>
          </w:p>
          <w:p>
            <w:pPr>
              <w:widowControl/>
              <w:snapToGrid/>
              <w:spacing w:line="280" w:lineRule="exact"/>
              <w:ind w:right="21" w:rightChars="10"/>
              <w:textAlignment w:val="center"/>
              <w:rPr>
                <w:rFonts w:hint="eastAsia"/>
                <w:lang w:val="en-US" w:eastAsia="zh-CN"/>
              </w:rPr>
            </w:pPr>
            <w:r>
              <w:rPr>
                <w:rFonts w:hint="eastAsia"/>
                <w:lang w:val="en-US" w:eastAsia="zh-CN"/>
              </w:rPr>
              <w:t>《江苏省大气污染防治条例》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320217375000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对饲养宠物和信鸽污染环境的处罚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320217678000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对环境卫生设施未经验收或者验收不合格即投入使用的处罚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320217423000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对未按规定配套建设环卫设施的处罚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对未按照规定设置垃圾收集容器的处罚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对超出门、窗进行店外占道经营、作业的处罚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320217674000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对未及时修复残损的户外广告设施的处罚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《江苏省广告条例》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320217479000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对未按照规定设置垃圾收集容器的处罚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320217649000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对擅自砍伐城市树木的处罚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《城市绿化条例》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320217682000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对损坏城市绿化设施行为的处罚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《城市绿化条例》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320217696000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对不服从公共绿地管理单位管理的商业、服务摊点的处罚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 xml:space="preserve">《城市绿化条例》                                              </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《江苏省城市绿化管理条例》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320217796000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对机动车在桥梁或者非指定的城市道路上试刹车的处罚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320217662000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对其他损害、侵占城市道路行为的处罚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320217435000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对擅自占用或者挖掘城市道路处罚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320217660000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对未在城市道路施工现场设置明显标志和安全防围设施的处罚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320217663000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对依附于城市道路建设各种管线、杆线等设施，不按照规定办理批准手续的处罚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320217784000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对擅自在桥梁或者路灯设施上设置广告牌或者其他挂浮物的处罚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《城市道路管理条例》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320217020000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对擅自在城市桥梁上架设各类管线、设置广告等辅助物的处罚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《城市桥梁检测和养护维修管理办法》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320217070000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对擅自拆除、迁移、改动城市道路照明设施的处罚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320217028000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对擅自在城市照明设施上张贴、悬挂、设置宣传品、广告的处罚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320217029000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对擅自在城市照明设施上架设线缆、安置其它设施或者接用电源的处罚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320217071000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对在城市照明设施上刻画</w:t>
            </w:r>
            <w:bookmarkStart w:id="0" w:name="_GoBack"/>
            <w:bookmarkEnd w:id="0"/>
            <w:r>
              <w:rPr>
                <w:rFonts w:hint="eastAsia" w:hAnsi="宋体" w:eastAsia="宋体"/>
                <w:color w:val="auto"/>
                <w:sz w:val="21"/>
                <w:szCs w:val="21"/>
                <w:highlight w:val="none"/>
                <w:lang w:val="en-US" w:eastAsia="zh-CN" w:bidi="ar"/>
              </w:rPr>
              <w:t>、涂污的处罚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《城市照明管理规定》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default"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行政强制措施</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320317001000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对擅自占用道路、人行过街桥、人行地下过街通道、地铁通道以及其他公共场地摆摊设点的兜售的物品及其装盛器具的暂扣</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《江苏省城市市容和环境卫生管理条例》</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320223187000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对未按照规定进行职业病危害预评价的处罚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320223188000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对建设项目的职业病防护设施未按照规定与主体工程同时设计、同时施工、同时投入生产和使用的处罚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320223190000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未按照规定对职业病防护设施进行职业病危害控制效果评价的处罚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320223192000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对工作场所职业病危害因素检测、评价结果没有存档、上报、公布的处罚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320223080000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对未设置或者指定职业卫生管理机构或者组织，配备专职或者兼职的职业卫生管理人员，负责本单位的职业病防治工作的处罚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320223198000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对未按照规定公布有关职业病防治的规章制度、操作规程、职业病危害事故应急救援措施的处罚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对用人单位未按照规定及时、如实向安全生产监督管理部门申报产生职业病危害的项目的处罚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《职业病危害项目申报办法》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对用人单位未实施由专人负责的职业病危害因素日常监测，或者监测系统不能正常监测的处罚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对用人单位订立或者变更劳动合同时，未告知劳动者职业病危害真实情况的处罚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3"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对用人单位未按照规定组织职业健康检查、建立职业健康监护档案或者未将检查结果书面告知劳动者的处罚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《职业病危害项目申报办法》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320223208000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对用人单位未依照本法规定在劳动者离开用人单位时提供职业健康监护档案复印件的处罚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对用人单位未提供职业病防护设施和个人使用的职业病防护用品，或者提供的职业病防护设施和个人使用的职业病防护用品不符合国家职业卫生标准和卫生要求的处罚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lang w:val="en-US" w:eastAsia="zh-CN"/>
              </w:rPr>
            </w:pPr>
            <w:r>
              <w:rPr>
                <w:rFonts w:hint="eastAsia"/>
                <w:lang w:val="en-US" w:eastAsia="zh-CN"/>
              </w:rPr>
              <w:t>《中华人民共和国职业病防治法》</w:t>
            </w:r>
          </w:p>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lang w:val="en-US" w:eastAsia="zh-CN"/>
              </w:rPr>
            </w:pPr>
            <w:r>
              <w:rPr>
                <w:rFonts w:hint="eastAsia"/>
                <w:lang w:val="en-US" w:eastAsia="zh-CN"/>
              </w:rPr>
              <w:t>《工作场所职业卫生监督管理规定》</w:t>
            </w:r>
          </w:p>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keepNext w:val="0"/>
              <w:keepLines w:val="0"/>
              <w:pageBreakBefore w:val="0"/>
              <w:widowControl/>
              <w:kinsoku/>
              <w:wordWrap/>
              <w:overflowPunct/>
              <w:topLinePunct w:val="0"/>
              <w:autoSpaceDE/>
              <w:autoSpaceDN/>
              <w:bidi w:val="0"/>
              <w:adjustRightInd/>
              <w:snapToGrid/>
              <w:spacing w:line="26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keepNext w:val="0"/>
              <w:keepLines w:val="0"/>
              <w:pageBreakBefore w:val="0"/>
              <w:kinsoku/>
              <w:wordWrap/>
              <w:overflowPunct/>
              <w:topLinePunct w:val="0"/>
              <w:autoSpaceDE/>
              <w:autoSpaceDN/>
              <w:bidi w:val="0"/>
              <w:adjustRightInd/>
              <w:snapToGrid/>
              <w:spacing w:line="260" w:lineRule="exact"/>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对用人单位对职业病防护设备、应急救援设施和个人使用的职业病防护用品未按照规定进行维护、检修、检测，或者不能保持正常运行、使用状态的处罚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320223212000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对用人单位未按照规定对工作场所职业病危害因素进行检测、评价的处罚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7"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对用人单位工作场所职业病危害因素经治理仍然达不到国家职业卫生标准和卫生要求时，未停止存在职业病危害因素的作业的处罚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对用人单位未按照规定安排职业病病人、疑似职业病病人进行诊治的处罚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《中华人民共和国职业病防治法》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2"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对用人单位发生或者可能发生急性职业病危害事故时，未立即采取应急救援和控制措施或者未按照规定及时报告的处罚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对用人单位未按照规定在产生严重职业病危害的作业岗位醒目位置设置警示标识和中文警示说明的处罚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对用人单位拒绝职业卫生监督管理部门监督检查的处罚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320223218000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对用人单位隐瞒、伪造、篡改、毁损职业健康监护档案、工作场所职业病危害因素检测评价结果等相关资料，或者拒不提供职业病诊断、鉴定所需资料的处罚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320223219000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对用人单位未按照规定承担职业病诊断、鉴定费用和职业病病人的医疗、生活保障费用的处罚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320223220000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对向用人单位提供可能产生职业病危害的设备、材料，未按照规定提供中文说明书或者设置警示标识和中文警示说明的处罚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320223101000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对用人单位和医疗卫生机构未按照规定报告职业病、疑似职业病或弄虚作假的处罚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default"/>
                <w:lang w:val="en-US" w:eastAsia="zh-CN"/>
              </w:rPr>
            </w:pPr>
            <w:r>
              <w:rPr>
                <w:rFonts w:hint="eastAsia"/>
                <w:lang w:val="en-US" w:eastAsia="zh-CN"/>
              </w:rPr>
              <w:t>《中华人民共和国职业病防治法》</w:t>
            </w:r>
            <w:r>
              <w:rPr>
                <w:rFonts w:hint="default"/>
                <w:lang w:val="en-US" w:eastAsia="zh-CN"/>
              </w:rPr>
              <w:t xml:space="preserve">      </w:t>
            </w:r>
          </w:p>
          <w:p>
            <w:pPr>
              <w:widowControl/>
              <w:snapToGrid/>
              <w:spacing w:line="280" w:lineRule="exact"/>
              <w:ind w:right="21" w:rightChars="10"/>
              <w:textAlignment w:val="center"/>
              <w:rPr>
                <w:rFonts w:hint="eastAsia"/>
                <w:lang w:val="en-US" w:eastAsia="zh-CN"/>
              </w:rPr>
            </w:pPr>
            <w:r>
              <w:rPr>
                <w:rFonts w:hint="eastAsia"/>
                <w:lang w:val="en-US" w:eastAsia="zh-CN"/>
              </w:rPr>
              <w:t>《职业健康监护管理办法》</w:t>
            </w:r>
          </w:p>
          <w:p>
            <w:pPr>
              <w:widowControl/>
              <w:snapToGrid/>
              <w:spacing w:line="280" w:lineRule="exact"/>
              <w:ind w:right="21" w:rightChars="10"/>
              <w:textAlignment w:val="center"/>
              <w:rPr>
                <w:rFonts w:hint="eastAsia"/>
                <w:lang w:val="en-US" w:eastAsia="zh-CN"/>
              </w:rPr>
            </w:pPr>
            <w:r>
              <w:rPr>
                <w:rFonts w:hint="eastAsia"/>
                <w:lang w:val="en-US" w:eastAsia="zh-CN"/>
              </w:rPr>
              <w:t>《职业病诊断与鉴定管理办法》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320223221000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对隐瞒技术、工艺、设备、材料所产生的职业病危害而采用的处罚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320223223000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对可能发生急性职业损伤的有毒、有害工作场所、放射工作场所或者放射性同位素的运输、贮存不符合规定的处罚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320223224000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对使用国家明令禁止使用的可能产生职业病危害的设备或者材料的处罚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320223225000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对将产生职业病危害的作业转移给没有职业病防护条件的单位和个人，或者没有职业病防护条件的单位和个人接受产生职业病危害的作业的处罚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320223226000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对擅自拆除、停止使用职业病防护设备或者应急救援设施的处罚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lang w:val="en-US" w:eastAsia="zh-CN"/>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i w:val="0"/>
                <w:iCs w:val="0"/>
                <w:color w:val="000000"/>
                <w:kern w:val="0"/>
                <w:sz w:val="21"/>
                <w:szCs w:val="21"/>
                <w:u w:val="none"/>
                <w:lang w:val="en-US" w:eastAsia="zh-CN" w:bidi="ar"/>
              </w:rPr>
              <w:t>117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bidi="ar"/>
              </w:rPr>
            </w:pPr>
            <w:r>
              <w:rPr>
                <w:rFonts w:hint="eastAsia" w:hAnsi="宋体" w:eastAsia="宋体"/>
                <w:color w:val="auto"/>
                <w:sz w:val="21"/>
                <w:szCs w:val="21"/>
                <w:highlight w:val="none"/>
                <w:lang w:val="en-US" w:eastAsia="zh-CN" w:bidi="ar"/>
              </w:rPr>
              <w:t>行政处罚</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jc w:val="center"/>
              <w:textAlignment w:val="center"/>
              <w:rPr>
                <w:rFonts w:hint="eastAsia" w:hAnsi="宋体" w:eastAsia="宋体"/>
                <w:color w:val="auto"/>
                <w:sz w:val="21"/>
                <w:szCs w:val="21"/>
                <w:highlight w:val="none"/>
                <w:lang w:bidi="ar"/>
              </w:rPr>
            </w:pPr>
            <w:r>
              <w:rPr>
                <w:rFonts w:hint="eastAsia" w:hAnsi="宋体" w:eastAsia="宋体"/>
                <w:color w:val="auto"/>
                <w:sz w:val="21"/>
                <w:szCs w:val="21"/>
                <w:highlight w:val="none"/>
                <w:lang w:val="en-US" w:eastAsia="zh-CN" w:bidi="ar"/>
              </w:rPr>
              <w:t>320223227000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hAnsi="宋体" w:eastAsia="宋体"/>
                <w:color w:val="auto"/>
                <w:sz w:val="21"/>
                <w:szCs w:val="21"/>
                <w:highlight w:val="none"/>
                <w:lang w:bidi="ar"/>
              </w:rPr>
            </w:pPr>
            <w:r>
              <w:rPr>
                <w:rFonts w:hint="eastAsia" w:hAnsi="宋体" w:eastAsia="宋体"/>
                <w:color w:val="auto"/>
                <w:sz w:val="21"/>
                <w:szCs w:val="21"/>
                <w:highlight w:val="none"/>
                <w:lang w:val="en-US" w:eastAsia="zh-CN" w:bidi="ar"/>
              </w:rPr>
              <w:t>对安排未经职业健康检查的劳动者、有职业禁忌的劳动者、未成年工或者孕期、哺乳期女职工从事接触职业病危害的作业或者禁忌作业的处罚</w:t>
            </w:r>
          </w:p>
        </w:tc>
        <w:tc>
          <w:tcPr>
            <w:tcW w:w="49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right="21" w:rightChars="10"/>
              <w:textAlignment w:val="center"/>
              <w:rPr>
                <w:rFonts w:hint="eastAsia"/>
                <w:lang w:val="en-US" w:eastAsia="zh-CN"/>
              </w:rPr>
            </w:pPr>
            <w:r>
              <w:rPr>
                <w:rFonts w:hint="eastAsia"/>
                <w:lang w:val="en-US" w:eastAsia="zh-CN"/>
              </w:rPr>
              <w:t>《中华人民共和国职业病防治法》</w:t>
            </w:r>
          </w:p>
          <w:p>
            <w:pPr>
              <w:widowControl/>
              <w:snapToGrid/>
              <w:spacing w:line="280" w:lineRule="exact"/>
              <w:ind w:right="21" w:rightChars="10"/>
              <w:textAlignment w:val="center"/>
              <w:rPr>
                <w:rFonts w:hint="eastAsia"/>
                <w:lang w:val="en-US" w:eastAsia="zh-CN"/>
              </w:rPr>
            </w:pPr>
            <w:r>
              <w:rPr>
                <w:rFonts w:hint="eastAsia"/>
                <w:lang w:val="en-US" w:eastAsia="zh-CN"/>
              </w:rPr>
              <w:t>《工作场所职业卫生监督管理规定》</w:t>
            </w:r>
          </w:p>
          <w:p>
            <w:pPr>
              <w:widowControl/>
              <w:snapToGrid/>
              <w:spacing w:line="280" w:lineRule="exact"/>
              <w:ind w:right="21" w:rightChars="10"/>
              <w:textAlignment w:val="center"/>
              <w:rPr>
                <w:rFonts w:hint="eastAsia"/>
                <w:lang w:val="en-US" w:eastAsia="zh-CN"/>
              </w:rPr>
            </w:pPr>
            <w:r>
              <w:rPr>
                <w:rFonts w:hint="eastAsia"/>
                <w:lang w:val="en-US" w:eastAsia="zh-CN"/>
              </w:rPr>
              <w:t>《用人单位职业健康监护监督管理办法》</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《关于印发赋予乡镇（街道）经济社会管理权限指导目录的通知》</w:t>
            </w:r>
          </w:p>
          <w:p>
            <w:pPr>
              <w:widowControl/>
              <w:snapToGrid/>
              <w:spacing w:line="280" w:lineRule="exact"/>
              <w:ind w:right="21" w:rightChars="10"/>
              <w:textAlignment w:val="center"/>
              <w:rPr>
                <w:rFonts w:hint="eastAsia" w:hAnsi="宋体" w:eastAsia="宋体"/>
                <w:color w:val="auto"/>
                <w:sz w:val="21"/>
                <w:szCs w:val="21"/>
                <w:highlight w:val="none"/>
                <w:lang w:val="en-US" w:eastAsia="zh-CN" w:bidi="ar"/>
              </w:rPr>
            </w:pPr>
            <w:r>
              <w:rPr>
                <w:rFonts w:hint="eastAsia" w:hAnsi="宋体" w:eastAsia="宋体"/>
                <w:color w:val="auto"/>
                <w:sz w:val="21"/>
                <w:szCs w:val="21"/>
                <w:highlight w:val="none"/>
                <w:lang w:val="en-US" w:eastAsia="zh-CN" w:bidi="ar"/>
              </w:rPr>
              <w:t>《江苏省司法厅关于南京市在镇（街道）开展相对集中行政处罚权工作的复函》</w:t>
            </w:r>
          </w:p>
          <w:p>
            <w:pPr>
              <w:pStyle w:val="4"/>
              <w:ind w:left="0" w:leftChars="0" w:firstLine="0" w:firstLineChars="0"/>
              <w:rPr>
                <w:rFonts w:hint="eastAsia"/>
              </w:rPr>
            </w:pPr>
            <w:r>
              <w:rPr>
                <w:rFonts w:hint="eastAsia" w:hAnsi="宋体" w:eastAsia="宋体"/>
                <w:color w:val="auto"/>
                <w:sz w:val="21"/>
                <w:szCs w:val="21"/>
                <w:highlight w:val="none"/>
                <w:lang w:val="en-US" w:eastAsia="zh-CN" w:bidi="ar"/>
              </w:rPr>
              <w:t>《关于公布南京市玄武区第二批相対集中行政处罚权目录的通知》</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line="280" w:lineRule="exact"/>
              <w:ind w:left="21" w:leftChars="10" w:right="21" w:rightChars="10" w:firstLine="420" w:firstLineChars="200"/>
              <w:textAlignment w:val="center"/>
              <w:rPr>
                <w:rFonts w:hint="eastAsia" w:hAnsi="宋体" w:eastAsia="宋体"/>
                <w:color w:val="auto"/>
                <w:sz w:val="21"/>
                <w:szCs w:val="21"/>
                <w:highlight w:val="none"/>
                <w:lang w:val="en-US" w:eastAsia="zh-CN" w:bidi="ar"/>
              </w:rPr>
            </w:pPr>
          </w:p>
        </w:tc>
      </w:tr>
    </w:tbl>
    <w:p>
      <w:pPr>
        <w:widowControl/>
        <w:snapToGrid/>
        <w:spacing w:line="280" w:lineRule="exact"/>
        <w:ind w:left="21" w:leftChars="10" w:right="21" w:rightChars="10" w:firstLine="420" w:firstLineChars="200"/>
        <w:textAlignment w:val="center"/>
        <w:rPr>
          <w:rFonts w:hint="default" w:hAnsi="宋体" w:eastAsia="宋体"/>
          <w:color w:val="auto"/>
          <w:sz w:val="21"/>
          <w:szCs w:val="21"/>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方正仿宋_GBK" w:hAnsi="方正仿宋_GBK" w:eastAsia="方正仿宋_GBK" w:cs="方正仿宋_GBK"/>
          <w:sz w:val="32"/>
          <w:szCs w:val="32"/>
        </w:rPr>
      </w:pPr>
    </w:p>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p>
                          <w:pPr>
                            <w:pStyle w:val="2"/>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w:t>
                    </w:r>
                  </w:p>
                  <w:p>
                    <w:pPr>
                      <w:pStyle w:val="2"/>
                      <w:rPr>
                        <w:rFonts w:hint="default" w:ascii="Times New Roman" w:hAnsi="Times New Roman" w:cs="Times New Roman"/>
                        <w:sz w:val="28"/>
                        <w:szCs w:val="28"/>
                      </w:rPr>
                    </w:pPr>
                  </w:p>
                </w:txbxContent>
              </v:textbox>
            </v:shape>
          </w:pict>
        </mc:Fallback>
      </mc:AlternateContent>
    </w:r>
    <w:r>
      <w:rPr>
        <w:rFonts w:hint="eastAsia"/>
        <w:sz w:val="28"/>
        <w:szCs w:val="28"/>
        <w:lang w:val="en-US" w:eastAsia="zh-CN"/>
      </w:rPr>
      <w:t xml:space="preserve">  </w:t>
    </w:r>
  </w:p>
  <w:p>
    <w:pPr>
      <w:pStyle w:val="2"/>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jgyNTQxMzVkNWY3NmQxYTAxY2I4OGY0NmRiZWMifQ=="/>
  </w:docVars>
  <w:rsids>
    <w:rsidRoot w:val="7CF80E7A"/>
    <w:rsid w:val="04D23246"/>
    <w:rsid w:val="1C534FB2"/>
    <w:rsid w:val="24513274"/>
    <w:rsid w:val="35A24DF2"/>
    <w:rsid w:val="507136FB"/>
    <w:rsid w:val="7CF8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First Indent 2"/>
    <w:qFormat/>
    <w:uiPriority w:val="99"/>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7">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16079</Words>
  <Characters>17561</Characters>
  <Lines>0</Lines>
  <Paragraphs>0</Paragraphs>
  <TotalTime>2</TotalTime>
  <ScaleCrop>false</ScaleCrop>
  <LinksUpToDate>false</LinksUpToDate>
  <CharactersWithSpaces>17715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2021-12-01T07:17:00Z</dcterms:created>
  <dc:creator>huyss</dc:creator>
  <cp:lastModifiedBy>档案局机要员</cp:lastModifiedBy>
  <cp:lastPrinted>2021-12-09T09:11:00Z</cp:lastPrinted>
  <dcterms:modified xsi:type="dcterms:W3CDTF">2022-05-26T01:34:38Z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B5C2D7341B344C85859DD9B3E17E0ED0</vt:lpwstr>
  </property>
</Properties>
</file>