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bookmarkStart w:id="0" w:name="_GoBack"/>
      <w:bookmarkEnd w:id="0"/>
      <w:r>
        <w:rPr>
          <w:rFonts w:hint="eastAsia" w:ascii="方正小标宋_GBK" w:hAnsi="华文中宋" w:eastAsia="方正小标宋_GBK"/>
          <w:sz w:val="36"/>
          <w:szCs w:val="36"/>
        </w:rPr>
        <w:t>南京市玄武区安全生产领域政府信息公开目录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2268"/>
        <w:gridCol w:w="2694"/>
        <w:gridCol w:w="1275"/>
        <w:gridCol w:w="1134"/>
        <w:gridCol w:w="1134"/>
        <w:gridCol w:w="21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0" w:type="dxa"/>
            <w:gridSpan w:val="2"/>
            <w:tcBorders>
              <w:bottom w:val="single" w:color="auto" w:sz="4" w:space="0"/>
            </w:tcBorders>
            <w:shd w:val="pct10" w:color="auto" w:fill="auto"/>
            <w:vAlign w:val="center"/>
          </w:tcPr>
          <w:p>
            <w:pPr>
              <w:jc w:val="center"/>
              <w:rPr>
                <w:rFonts w:ascii="黑体" w:hAnsi="黑体" w:eastAsia="黑体"/>
              </w:rPr>
            </w:pPr>
            <w:r>
              <w:rPr>
                <w:rFonts w:ascii="黑体" w:hAnsi="黑体" w:eastAsia="黑体"/>
              </w:rPr>
              <w:t>公开名称</w:t>
            </w:r>
          </w:p>
        </w:tc>
        <w:tc>
          <w:tcPr>
            <w:tcW w:w="2268"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269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275"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2127"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b/>
              </w:rPr>
            </w:pPr>
            <w:r>
              <w:rPr>
                <w:b/>
              </w:rPr>
              <w:t>一级目录</w:t>
            </w:r>
          </w:p>
        </w:tc>
        <w:tc>
          <w:tcPr>
            <w:tcW w:w="1701" w:type="dxa"/>
            <w:shd w:val="pct10" w:color="auto" w:fill="auto"/>
            <w:vAlign w:val="center"/>
          </w:tcPr>
          <w:p>
            <w:pPr>
              <w:jc w:val="center"/>
              <w:rPr>
                <w:b/>
              </w:rPr>
            </w:pPr>
            <w:r>
              <w:rPr>
                <w:b/>
              </w:rPr>
              <w:t>二级目录</w:t>
            </w:r>
          </w:p>
        </w:tc>
        <w:tc>
          <w:tcPr>
            <w:tcW w:w="2268" w:type="dxa"/>
            <w:vMerge w:val="continue"/>
          </w:tcPr>
          <w:p>
            <w:pPr>
              <w:jc w:val="left"/>
            </w:pPr>
          </w:p>
        </w:tc>
        <w:tc>
          <w:tcPr>
            <w:tcW w:w="2694" w:type="dxa"/>
            <w:vMerge w:val="continue"/>
            <w:vAlign w:val="center"/>
          </w:tcPr>
          <w:p>
            <w:pPr>
              <w:jc w:val="center"/>
            </w:pPr>
          </w:p>
        </w:tc>
        <w:tc>
          <w:tcPr>
            <w:tcW w:w="1275" w:type="dxa"/>
            <w:vMerge w:val="continue"/>
            <w:vAlign w:val="center"/>
          </w:tcPr>
          <w:p/>
        </w:tc>
        <w:tc>
          <w:tcPr>
            <w:tcW w:w="1134" w:type="dxa"/>
            <w:vMerge w:val="continue"/>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政策文件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法律法规</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与安全生产有关的法律、法规</w:t>
            </w:r>
          </w:p>
        </w:tc>
        <w:tc>
          <w:tcPr>
            <w:tcW w:w="2694" w:type="dxa"/>
            <w:vMerge w:val="restart"/>
            <w:tcBorders>
              <w:top w:val="single" w:color="auto" w:sz="4" w:space="0"/>
              <w:left w:val="nil"/>
              <w:right w:val="single" w:color="auto" w:sz="4" w:space="0"/>
            </w:tcBorders>
            <w:shd w:val="clear" w:color="auto" w:fill="auto"/>
            <w:vAlign w:val="center"/>
          </w:tcPr>
          <w:p>
            <w:pPr>
              <w:jc w:val="center"/>
            </w:pPr>
            <w:r>
              <w:rPr>
                <w:rFonts w:hint="eastAsia"/>
              </w:rPr>
              <w:t>《中华人民共和国政府信息公开条例》(国务院令第711号）</w:t>
            </w:r>
          </w:p>
        </w:tc>
        <w:tc>
          <w:tcPr>
            <w:tcW w:w="1275" w:type="dxa"/>
            <w:vMerge w:val="restart"/>
            <w:tcBorders>
              <w:top w:val="single" w:color="auto" w:sz="4" w:space="0"/>
              <w:left w:val="nil"/>
              <w:right w:val="single" w:color="auto" w:sz="4" w:space="0"/>
            </w:tcBorders>
            <w:shd w:val="clear" w:color="auto" w:fill="auto"/>
            <w:vAlign w:val="center"/>
          </w:tcPr>
          <w:p>
            <w:pPr>
              <w:jc w:val="center"/>
            </w:pPr>
            <w:r>
              <w:rPr>
                <w:rFonts w:hint="eastAsia"/>
              </w:rPr>
              <w:t>信息形成或变更之日起20个工作日内</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Merge w:val="restart"/>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部门和地方规章</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与安全生产有关的部门和地方规章</w:t>
            </w:r>
          </w:p>
        </w:tc>
        <w:tc>
          <w:tcPr>
            <w:tcW w:w="2694" w:type="dxa"/>
            <w:vMerge w:val="continue"/>
            <w:tcBorders>
              <w:left w:val="nil"/>
              <w:right w:val="single" w:color="auto" w:sz="4" w:space="0"/>
            </w:tcBorders>
            <w:shd w:val="clear" w:color="auto" w:fill="auto"/>
            <w:vAlign w:val="center"/>
          </w:tcPr>
          <w:p>
            <w:pPr>
              <w:jc w:val="center"/>
            </w:pP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其他政策文件</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其他可以公开的与安全生产有关的政策文件，包括改革方案、发展规划、专项规划、工作计划等</w:t>
            </w:r>
          </w:p>
        </w:tc>
        <w:tc>
          <w:tcPr>
            <w:tcW w:w="2694" w:type="dxa"/>
            <w:vMerge w:val="continue"/>
            <w:tcBorders>
              <w:left w:val="nil"/>
              <w:right w:val="single" w:color="auto" w:sz="4" w:space="0"/>
            </w:tcBorders>
            <w:shd w:val="clear" w:color="auto" w:fill="auto"/>
            <w:vAlign w:val="center"/>
          </w:tcPr>
          <w:p>
            <w:pPr>
              <w:jc w:val="center"/>
            </w:pP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标准</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安全生产领域有关的国家标准、行业标准、地方标准等</w:t>
            </w:r>
          </w:p>
        </w:tc>
        <w:tc>
          <w:tcPr>
            <w:tcW w:w="2694" w:type="dxa"/>
            <w:vMerge w:val="continue"/>
            <w:tcBorders>
              <w:left w:val="nil"/>
              <w:bottom w:val="single" w:color="auto" w:sz="4" w:space="0"/>
              <w:right w:val="single" w:color="auto" w:sz="4" w:space="0"/>
            </w:tcBorders>
            <w:shd w:val="clear" w:color="auto" w:fill="auto"/>
            <w:vAlign w:val="center"/>
          </w:tcPr>
          <w:p>
            <w:pPr>
              <w:jc w:val="center"/>
            </w:pPr>
          </w:p>
        </w:tc>
        <w:tc>
          <w:tcPr>
            <w:tcW w:w="1275" w:type="dxa"/>
            <w:vMerge w:val="continue"/>
            <w:tcBorders>
              <w:left w:val="nil"/>
              <w:bottom w:val="single" w:color="auto" w:sz="4" w:space="0"/>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重大决策草案</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涉及管理相对人切身利益、需社会广泛知晓的重要改革方案等重大决策，决策前向社会公开决策草案、决策依据</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重大政策解读及回应</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有关重大政策的解读与回应，安全生产相关热点问题的解读与回应</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《中华人民共和国政府信息公开条例》(国务院令第711号）、中办国办《关于全面推进政务公开工作的意见》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重大决策作出后及时公开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广播电视</w:t>
            </w:r>
          </w:p>
          <w:p>
            <w:pPr>
              <w:jc w:val="center"/>
            </w:pPr>
            <w:r>
              <w:t>纸质媒体</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重要会议</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通过会议讨论作出重要改革方案等重大决策时，经党组研究认为有必要公开讨论决策过程的会议</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提前一周发通知邀请</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便民服务站</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t>政策文件</w:t>
            </w: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征集采纳社会公众意见情况</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重大决策草案公布后征集到的社会公众意见情况、采纳与否情况及理由等</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征求意见时对外公布的时限内公开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公开查阅点</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依法行政</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行政许可</w:t>
            </w:r>
          </w:p>
        </w:tc>
        <w:tc>
          <w:tcPr>
            <w:tcW w:w="2268" w:type="dxa"/>
            <w:tcBorders>
              <w:top w:val="nil"/>
              <w:left w:val="nil"/>
              <w:bottom w:val="nil"/>
              <w:right w:val="single" w:color="auto" w:sz="4" w:space="0"/>
            </w:tcBorders>
            <w:shd w:val="clear" w:color="auto" w:fill="auto"/>
            <w:vAlign w:val="center"/>
          </w:tcPr>
          <w:p>
            <w:pPr>
              <w:jc w:val="left"/>
            </w:pPr>
            <w:r>
              <w:rPr>
                <w:rFonts w:hint="eastAsia"/>
              </w:rPr>
              <w:t>办理行政许可和其他对外管理服务事项的依据、条件、程序</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《中华人民共和国政府信息公开条例》(国务院令第711号）、《中共中央国务院关于推进安全生产领域改革发展的意见》</w:t>
            </w:r>
          </w:p>
        </w:tc>
        <w:tc>
          <w:tcPr>
            <w:tcW w:w="1275" w:type="dxa"/>
            <w:vMerge w:val="restart"/>
            <w:tcBorders>
              <w:top w:val="single" w:color="auto" w:sz="4" w:space="0"/>
              <w:left w:val="nil"/>
              <w:right w:val="single" w:color="auto" w:sz="4" w:space="0"/>
            </w:tcBorders>
            <w:shd w:val="clear" w:color="auto" w:fill="auto"/>
            <w:vAlign w:val="center"/>
          </w:tcPr>
          <w:p>
            <w:pPr>
              <w:jc w:val="center"/>
            </w:pPr>
            <w:r>
              <w:rPr>
                <w:rFonts w:hint="eastAsia"/>
              </w:rPr>
              <w:t>信息形成或变更之日起20个工作日内</w:t>
            </w:r>
          </w:p>
        </w:tc>
        <w:tc>
          <w:tcPr>
            <w:tcW w:w="1134" w:type="dxa"/>
            <w:vMerge w:val="continue"/>
            <w:vAlign w:val="center"/>
          </w:tcPr>
          <w:p>
            <w:pPr>
              <w:jc w:val="center"/>
            </w:pPr>
          </w:p>
        </w:tc>
        <w:tc>
          <w:tcPr>
            <w:tcW w:w="1134" w:type="dxa"/>
            <w:vMerge w:val="continue"/>
            <w:vAlign w:val="center"/>
          </w:tcPr>
          <w:p>
            <w:pPr>
              <w:jc w:val="center"/>
            </w:pPr>
          </w:p>
        </w:tc>
        <w:tc>
          <w:tcPr>
            <w:tcW w:w="2127" w:type="dxa"/>
            <w:vMerge w:val="restart"/>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nil"/>
              <w:bottom w:val="nil"/>
              <w:right w:val="nil"/>
            </w:tcBorders>
            <w:shd w:val="clear" w:color="auto" w:fill="auto"/>
            <w:vAlign w:val="center"/>
          </w:tcPr>
          <w:p>
            <w:pPr>
              <w:jc w:val="center"/>
            </w:pPr>
            <w:r>
              <w:rPr>
                <w:rFonts w:hint="eastAsia"/>
              </w:rPr>
              <w:t>行政处罚</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办理行政处罚的依据、条件、程序以及本级行政机关认为具有一定社会影响的行政处罚决定</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《中华人民共和国政府信息公开条例》(国务院令第711号）、《中共中央国务院关于推进安全生产领域改革发展的意见》</w:t>
            </w: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行政强制</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办理行政强制的依据、条件、程序</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《中华人民共和国政府信息公开条例》(国务院令第711号）《中华人民共和国突发事件应对法》、《突发事件应急预案管理办法》、《中共中央国务院关于推进安全生产领域改革发展的意见》</w:t>
            </w:r>
          </w:p>
        </w:tc>
        <w:tc>
          <w:tcPr>
            <w:tcW w:w="1275" w:type="dxa"/>
            <w:vMerge w:val="continue"/>
            <w:tcBorders>
              <w:left w:val="nil"/>
              <w:bottom w:val="single" w:color="auto" w:sz="4" w:space="0"/>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行政管理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隐患管理</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重大隐患排查、挂牌督办及其整改情况，安全生产举报电话等</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《安全生产法》、《中华人民共和国政府信息公开条例》(国务院令第711号）、《中共中央国务院关于推进安全生产领域改革发展的意见》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广播电视</w:t>
            </w:r>
          </w:p>
          <w:p>
            <w:pPr>
              <w:jc w:val="center"/>
            </w:pPr>
            <w:r>
              <w:t>公开查阅点</w:t>
            </w:r>
          </w:p>
          <w:p>
            <w:pPr>
              <w:jc w:val="center"/>
            </w:pPr>
            <w:r>
              <w:t>社区公示栏</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应急管理</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承担处置主责、非敏感的应急信息，包括事故灾害类预警信息、事故信息、事故后采取的应急处置措施和应对结果等</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《中华人民共和国政府信息公开条例》(国务院令第711号），《中华人民共和国突发事件应对法》，中央办公厅、国务院办公厅《关于全面加强政务公开工作的意见》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left"/>
            </w:pPr>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广播电视</w:t>
            </w:r>
          </w:p>
          <w:p>
            <w:pPr>
              <w:jc w:val="center"/>
            </w:pPr>
            <w:r>
              <w:t>公开查阅点</w:t>
            </w:r>
          </w:p>
          <w:p>
            <w:pPr>
              <w:jc w:val="center"/>
            </w:pPr>
            <w:r>
              <w:t>政务服务中心</w:t>
            </w:r>
          </w:p>
          <w:p>
            <w:pPr>
              <w:jc w:val="center"/>
            </w:pPr>
            <w:r>
              <w:t>便民服务站</w:t>
            </w:r>
          </w:p>
          <w:p>
            <w:pPr>
              <w:jc w:val="center"/>
            </w:pPr>
            <w:r>
              <w:t>社区公示栏</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黑名单管理</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列入或撤销纳入安全生产黑名单管理的企业信息，具体企业名称、证照编号、经营地址、负责人姓名等</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《中华人民共和国政府信息公开条例》（国务院令第711号）、《社会信用体系建设规划纲要（2014-2020年）》</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信息形成或变更之日起20个工作日内</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事故通报</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事故信息:本部门接报查实的各类生产安全事故情况（事故发生时间、地点、伤亡情况、简要经过）●典型事故通报:各类典型安全生产事故情况通报，主要包括发生时间、地点、起因、经过、结果、相关领导批示情况、预防性措施建议等内容●事故调查报告：依照事故调查处理权限，经批复的生产安全事故调查报告，依法应当保密的除外</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《安全生产法》、《中华人民共和国政府信息公开条例》(国务院令第711号）、《中共中央国务院关于推进安全生产领域改革发展的意见》</w:t>
            </w:r>
          </w:p>
        </w:tc>
        <w:tc>
          <w:tcPr>
            <w:tcW w:w="1275" w:type="dxa"/>
            <w:tcBorders>
              <w:top w:val="nil"/>
              <w:left w:val="nil"/>
              <w:bottom w:val="single" w:color="auto" w:sz="4" w:space="0"/>
              <w:right w:val="single" w:color="auto" w:sz="4" w:space="0"/>
            </w:tcBorders>
            <w:shd w:val="clear" w:color="auto" w:fill="auto"/>
            <w:vAlign w:val="center"/>
          </w:tcPr>
          <w:p>
            <w:pPr>
              <w:jc w:val="left"/>
            </w:pPr>
            <w:r>
              <w:rPr>
                <w:rFonts w:hint="eastAsia"/>
              </w:rPr>
              <w:t>按照中央有关要求公开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行政管理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rPr>
              <w:t>动态信息</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●业务工作动态●安全生产执法检查动态</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发布会</w:t>
            </w:r>
          </w:p>
          <w:p>
            <w:pPr>
              <w:jc w:val="center"/>
            </w:pPr>
            <w:r>
              <w:t>广播电视</w:t>
            </w:r>
          </w:p>
          <w:p>
            <w:pPr>
              <w:jc w:val="center"/>
            </w:pPr>
            <w:r>
              <w:t>纸质媒体</w:t>
            </w:r>
          </w:p>
          <w:p>
            <w:pPr>
              <w:jc w:val="center"/>
            </w:pPr>
            <w:r>
              <w:t>其他</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安全生产预警提示信息</w:t>
            </w:r>
          </w:p>
        </w:tc>
        <w:tc>
          <w:tcPr>
            <w:tcW w:w="2268" w:type="dxa"/>
            <w:tcBorders>
              <w:top w:val="nil"/>
              <w:left w:val="nil"/>
              <w:bottom w:val="single" w:color="auto" w:sz="4" w:space="0"/>
              <w:right w:val="single" w:color="auto" w:sz="4" w:space="0"/>
            </w:tcBorders>
            <w:shd w:val="clear" w:color="auto" w:fill="auto"/>
            <w:vAlign w:val="center"/>
          </w:tcPr>
          <w:p>
            <w:r>
              <w:rPr>
                <w:rFonts w:hint="eastAsia"/>
              </w:rPr>
              <w:t>●气象及灾害预警信息</w:t>
            </w:r>
          </w:p>
          <w:p>
            <w:r>
              <w:rPr>
                <w:rFonts w:hint="eastAsia"/>
              </w:rPr>
              <w:t>●不同时段、不同领域安全生产提示信息</w:t>
            </w:r>
          </w:p>
        </w:tc>
        <w:tc>
          <w:tcPr>
            <w:tcW w:w="2694" w:type="dxa"/>
            <w:tcBorders>
              <w:top w:val="nil"/>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nil"/>
              <w:left w:val="nil"/>
              <w:bottom w:val="single" w:color="auto" w:sz="4" w:space="0"/>
              <w:right w:val="single" w:color="auto" w:sz="4" w:space="0"/>
            </w:tcBorders>
            <w:shd w:val="clear" w:color="auto" w:fill="auto"/>
            <w:vAlign w:val="center"/>
          </w:tcPr>
          <w:p>
            <w:r>
              <w:rPr>
                <w:rFonts w:hint="eastAsia"/>
              </w:rPr>
              <w:t>信息形成后及时公开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发布会</w:t>
            </w:r>
          </w:p>
          <w:p>
            <w:pPr>
              <w:jc w:val="center"/>
            </w:pPr>
            <w:r>
              <w:t>广播电视</w:t>
            </w:r>
          </w:p>
          <w:p>
            <w:pPr>
              <w:jc w:val="center"/>
            </w:pPr>
            <w:r>
              <w:t>纸质媒体</w:t>
            </w:r>
          </w:p>
          <w:p>
            <w:pPr>
              <w:jc w:val="center"/>
            </w:pPr>
            <w:r>
              <w:t>便民服务站</w:t>
            </w:r>
          </w:p>
          <w:p>
            <w:pPr>
              <w:jc w:val="center"/>
            </w:pPr>
            <w:r>
              <w:t>入户</w:t>
            </w:r>
            <w:r>
              <w:rPr>
                <w:rFonts w:hint="eastAsia"/>
              </w:rPr>
              <w:t>/</w:t>
            </w:r>
            <w:r>
              <w:t>现场</w:t>
            </w:r>
          </w:p>
          <w:p>
            <w:pPr>
              <w:jc w:val="center"/>
            </w:pPr>
            <w:r>
              <w:t>社区公示栏</w:t>
            </w:r>
          </w:p>
          <w:p>
            <w:pPr>
              <w:jc w:val="center"/>
            </w:pPr>
            <w:r>
              <w:t>其他</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重点领域信息公开</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检查和巡查发现安全监管监察问题</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检查和巡查发现的、并要求向社会公开的问题及整改落实情况</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重大工程项目信息</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项目名称、执行措施、责任分工、取得成效、后续举措等</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《中华人民共和国政府信息公开条例》(国务院令第711号）、《国务院办公厅关于推进重大建设项目批准和实施领域政府信息公开的意见》（国办发〔2017〕94号）</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按照中央有关要求公开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t>公共服务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主要业务办事指南</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主要业务工作的办事依据、程序、时限，办事时间、地点、部门、联系方式及相关办理结果</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信息形成或者变更之日起20个工作日内</w:t>
            </w:r>
          </w:p>
        </w:tc>
        <w:tc>
          <w:tcPr>
            <w:tcW w:w="1134" w:type="dxa"/>
            <w:vAlign w:val="center"/>
          </w:tcPr>
          <w:p>
            <w:pPr>
              <w:jc w:val="center"/>
            </w:pPr>
            <w:r>
              <w:t>区应急管理局</w:t>
            </w:r>
          </w:p>
        </w:tc>
        <w:tc>
          <w:tcPr>
            <w:tcW w:w="1134" w:type="dxa"/>
            <w:vAlign w:val="center"/>
          </w:tcPr>
          <w:p>
            <w:pPr>
              <w:jc w:val="center"/>
            </w:pPr>
            <w:r>
              <w:t>主动公开</w:t>
            </w:r>
          </w:p>
        </w:tc>
        <w:tc>
          <w:tcPr>
            <w:tcW w:w="2127" w:type="dxa"/>
            <w:vAlign w:val="center"/>
          </w:tcPr>
          <w:p>
            <w:pPr>
              <w:jc w:val="center"/>
            </w:pPr>
            <w:r>
              <w:t>政府网站</w:t>
            </w:r>
          </w:p>
          <w:p>
            <w:pPr>
              <w:jc w:val="center"/>
            </w:pPr>
            <w:r>
              <w:t>公开查阅点</w:t>
            </w:r>
          </w:p>
          <w:p>
            <w:pPr>
              <w:jc w:val="center"/>
            </w:pPr>
            <w:r>
              <w:t>政务服务中心</w:t>
            </w:r>
          </w:p>
        </w:tc>
        <w:tc>
          <w:tcPr>
            <w:tcW w:w="1134" w:type="dxa"/>
            <w:vAlign w:val="center"/>
          </w:tcPr>
          <w:p>
            <w:pPr>
              <w:jc w:val="center"/>
            </w:pPr>
            <w:r>
              <w:t>全社会</w:t>
            </w: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5094"/>
    <w:rsid w:val="00021B1F"/>
    <w:rsid w:val="00023E48"/>
    <w:rsid w:val="000265F9"/>
    <w:rsid w:val="00052A35"/>
    <w:rsid w:val="000569F8"/>
    <w:rsid w:val="0006518A"/>
    <w:rsid w:val="00084F6E"/>
    <w:rsid w:val="0008726A"/>
    <w:rsid w:val="0009292B"/>
    <w:rsid w:val="00094CB5"/>
    <w:rsid w:val="001166A7"/>
    <w:rsid w:val="00123415"/>
    <w:rsid w:val="00134E1C"/>
    <w:rsid w:val="00142691"/>
    <w:rsid w:val="00142F28"/>
    <w:rsid w:val="00157013"/>
    <w:rsid w:val="00166E51"/>
    <w:rsid w:val="00174482"/>
    <w:rsid w:val="0019282F"/>
    <w:rsid w:val="001A2610"/>
    <w:rsid w:val="001A66AB"/>
    <w:rsid w:val="001B60A0"/>
    <w:rsid w:val="001C7D28"/>
    <w:rsid w:val="001E2737"/>
    <w:rsid w:val="00206C30"/>
    <w:rsid w:val="00207DBB"/>
    <w:rsid w:val="002203B1"/>
    <w:rsid w:val="00242C70"/>
    <w:rsid w:val="00245348"/>
    <w:rsid w:val="00250B18"/>
    <w:rsid w:val="00277E0C"/>
    <w:rsid w:val="002829C9"/>
    <w:rsid w:val="002B7620"/>
    <w:rsid w:val="002C47B4"/>
    <w:rsid w:val="002F1828"/>
    <w:rsid w:val="00303A58"/>
    <w:rsid w:val="003117AB"/>
    <w:rsid w:val="00330DBF"/>
    <w:rsid w:val="0036134B"/>
    <w:rsid w:val="00367083"/>
    <w:rsid w:val="00375BBF"/>
    <w:rsid w:val="003879D1"/>
    <w:rsid w:val="003A337F"/>
    <w:rsid w:val="003B0F98"/>
    <w:rsid w:val="003D31CC"/>
    <w:rsid w:val="003E4DFB"/>
    <w:rsid w:val="003F2F25"/>
    <w:rsid w:val="0041621E"/>
    <w:rsid w:val="0043432F"/>
    <w:rsid w:val="00442E50"/>
    <w:rsid w:val="0045231A"/>
    <w:rsid w:val="00464C4A"/>
    <w:rsid w:val="004724D0"/>
    <w:rsid w:val="004911FD"/>
    <w:rsid w:val="004A32BB"/>
    <w:rsid w:val="004B20FD"/>
    <w:rsid w:val="004B27D4"/>
    <w:rsid w:val="004D38DF"/>
    <w:rsid w:val="004E00B3"/>
    <w:rsid w:val="005245CD"/>
    <w:rsid w:val="00532054"/>
    <w:rsid w:val="00537115"/>
    <w:rsid w:val="00540917"/>
    <w:rsid w:val="005457A2"/>
    <w:rsid w:val="00555AEC"/>
    <w:rsid w:val="0056729B"/>
    <w:rsid w:val="00573E31"/>
    <w:rsid w:val="005839AD"/>
    <w:rsid w:val="0058437C"/>
    <w:rsid w:val="00586B48"/>
    <w:rsid w:val="00590EC7"/>
    <w:rsid w:val="00593434"/>
    <w:rsid w:val="00596028"/>
    <w:rsid w:val="005B421B"/>
    <w:rsid w:val="005B6B26"/>
    <w:rsid w:val="005E065D"/>
    <w:rsid w:val="005F1B8C"/>
    <w:rsid w:val="0061692A"/>
    <w:rsid w:val="006251C3"/>
    <w:rsid w:val="0063455C"/>
    <w:rsid w:val="00637CB6"/>
    <w:rsid w:val="006436B3"/>
    <w:rsid w:val="00645233"/>
    <w:rsid w:val="006562CB"/>
    <w:rsid w:val="00673F8C"/>
    <w:rsid w:val="00682E8E"/>
    <w:rsid w:val="00694FCE"/>
    <w:rsid w:val="00697918"/>
    <w:rsid w:val="006B0323"/>
    <w:rsid w:val="006B4341"/>
    <w:rsid w:val="006C2D8A"/>
    <w:rsid w:val="006D4475"/>
    <w:rsid w:val="007169EE"/>
    <w:rsid w:val="00720C95"/>
    <w:rsid w:val="007250C7"/>
    <w:rsid w:val="00740275"/>
    <w:rsid w:val="00776475"/>
    <w:rsid w:val="007800A3"/>
    <w:rsid w:val="007813A6"/>
    <w:rsid w:val="00787ED3"/>
    <w:rsid w:val="00797D2B"/>
    <w:rsid w:val="007A3580"/>
    <w:rsid w:val="007C28DC"/>
    <w:rsid w:val="007C73FB"/>
    <w:rsid w:val="007D71CD"/>
    <w:rsid w:val="007E065A"/>
    <w:rsid w:val="007E4A0D"/>
    <w:rsid w:val="007E7603"/>
    <w:rsid w:val="007F453B"/>
    <w:rsid w:val="007F4DEE"/>
    <w:rsid w:val="00805D6E"/>
    <w:rsid w:val="00811F3A"/>
    <w:rsid w:val="008356D1"/>
    <w:rsid w:val="008606F9"/>
    <w:rsid w:val="00860EA1"/>
    <w:rsid w:val="008642B2"/>
    <w:rsid w:val="0087169D"/>
    <w:rsid w:val="00895EBD"/>
    <w:rsid w:val="008A1B04"/>
    <w:rsid w:val="008A6335"/>
    <w:rsid w:val="008C1476"/>
    <w:rsid w:val="008D0794"/>
    <w:rsid w:val="008D3076"/>
    <w:rsid w:val="0091301D"/>
    <w:rsid w:val="00920711"/>
    <w:rsid w:val="00945F8A"/>
    <w:rsid w:val="009522E7"/>
    <w:rsid w:val="009A3880"/>
    <w:rsid w:val="009B31AF"/>
    <w:rsid w:val="009D7C4C"/>
    <w:rsid w:val="009F3115"/>
    <w:rsid w:val="00A07C64"/>
    <w:rsid w:val="00A12857"/>
    <w:rsid w:val="00A42FE4"/>
    <w:rsid w:val="00A56F74"/>
    <w:rsid w:val="00A57FFC"/>
    <w:rsid w:val="00AB245E"/>
    <w:rsid w:val="00AD0CD1"/>
    <w:rsid w:val="00AE50F4"/>
    <w:rsid w:val="00AF132F"/>
    <w:rsid w:val="00B16CD0"/>
    <w:rsid w:val="00B2051F"/>
    <w:rsid w:val="00B35130"/>
    <w:rsid w:val="00B56849"/>
    <w:rsid w:val="00B7528F"/>
    <w:rsid w:val="00B97795"/>
    <w:rsid w:val="00BB7A51"/>
    <w:rsid w:val="00BC16AC"/>
    <w:rsid w:val="00BE267F"/>
    <w:rsid w:val="00BE6DCF"/>
    <w:rsid w:val="00C00E96"/>
    <w:rsid w:val="00C12B0F"/>
    <w:rsid w:val="00C220AD"/>
    <w:rsid w:val="00C62EFE"/>
    <w:rsid w:val="00C74C2B"/>
    <w:rsid w:val="00C7698E"/>
    <w:rsid w:val="00C822DD"/>
    <w:rsid w:val="00C83364"/>
    <w:rsid w:val="00C876C5"/>
    <w:rsid w:val="00C905BF"/>
    <w:rsid w:val="00CA09F5"/>
    <w:rsid w:val="00CA5FBA"/>
    <w:rsid w:val="00CC327F"/>
    <w:rsid w:val="00CC5513"/>
    <w:rsid w:val="00CD256D"/>
    <w:rsid w:val="00D05F29"/>
    <w:rsid w:val="00D22A82"/>
    <w:rsid w:val="00D22E87"/>
    <w:rsid w:val="00D25094"/>
    <w:rsid w:val="00D60711"/>
    <w:rsid w:val="00D610DC"/>
    <w:rsid w:val="00D64012"/>
    <w:rsid w:val="00D64FA1"/>
    <w:rsid w:val="00D75041"/>
    <w:rsid w:val="00D8078C"/>
    <w:rsid w:val="00D91F70"/>
    <w:rsid w:val="00DA2891"/>
    <w:rsid w:val="00DB0B8B"/>
    <w:rsid w:val="00DB5322"/>
    <w:rsid w:val="00DE13EE"/>
    <w:rsid w:val="00E032C8"/>
    <w:rsid w:val="00E03B57"/>
    <w:rsid w:val="00E24EA3"/>
    <w:rsid w:val="00E37D5C"/>
    <w:rsid w:val="00E44A60"/>
    <w:rsid w:val="00E63D3C"/>
    <w:rsid w:val="00E97483"/>
    <w:rsid w:val="00EF7342"/>
    <w:rsid w:val="00F308B5"/>
    <w:rsid w:val="00F32380"/>
    <w:rsid w:val="00F33A22"/>
    <w:rsid w:val="00F33DF9"/>
    <w:rsid w:val="00F409B0"/>
    <w:rsid w:val="00F50F62"/>
    <w:rsid w:val="00F60D54"/>
    <w:rsid w:val="00F750F9"/>
    <w:rsid w:val="00F766D8"/>
    <w:rsid w:val="00FB0C38"/>
    <w:rsid w:val="00FB3DAA"/>
    <w:rsid w:val="00FC0BCA"/>
    <w:rsid w:val="00FE17EA"/>
    <w:rsid w:val="00FE3FD3"/>
    <w:rsid w:val="00FE72F3"/>
    <w:rsid w:val="68C00A53"/>
    <w:rsid w:val="7E824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2444</Words>
  <Characters>2494</Characters>
  <Lines>19</Lines>
  <Paragraphs>5</Paragraphs>
  <TotalTime>0</TotalTime>
  <ScaleCrop>false</ScaleCrop>
  <LinksUpToDate>false</LinksUpToDate>
  <CharactersWithSpaces>2494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2020-12-11T09:28:00Z</dcterms:created>
  <dc:creator>米苏(misu)</dc:creator>
  <cp:lastModifiedBy>Audry</cp:lastModifiedBy>
  <dcterms:modified xsi:type="dcterms:W3CDTF">2022-03-29T10:07:49Z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72CC064C7C944339AD1A07BDCD2033EE</vt:lpwstr>
  </property>
</Properties>
</file>