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华文中宋" w:eastAsia="方正小标宋_GBK"/>
          <w:sz w:val="36"/>
          <w:szCs w:val="36"/>
        </w:rPr>
      </w:pPr>
      <w:r>
        <w:rPr>
          <w:rFonts w:hint="eastAsia" w:ascii="方正小标宋_GBK" w:hAnsi="华文中宋" w:eastAsia="方正小标宋_GBK"/>
          <w:sz w:val="36"/>
          <w:szCs w:val="36"/>
        </w:rPr>
        <w:t>南京市玄武区财政预决算领域政府信息公开目录</w:t>
      </w:r>
    </w:p>
    <w:tbl>
      <w:tblPr>
        <w:tblStyle w:val="5"/>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47"/>
        <w:gridCol w:w="2268"/>
        <w:gridCol w:w="3686"/>
        <w:gridCol w:w="1559"/>
        <w:gridCol w:w="1134"/>
        <w:gridCol w:w="1134"/>
        <w:gridCol w:w="130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76" w:type="dxa"/>
            <w:gridSpan w:val="2"/>
            <w:tcBorders>
              <w:bottom w:val="single" w:color="auto" w:sz="4" w:space="0"/>
            </w:tcBorders>
            <w:shd w:val="pct10" w:color="auto" w:fill="auto"/>
            <w:vAlign w:val="center"/>
          </w:tcPr>
          <w:p>
            <w:pPr>
              <w:jc w:val="center"/>
              <w:rPr>
                <w:rFonts w:ascii="黑体" w:hAnsi="黑体" w:eastAsia="黑体"/>
              </w:rPr>
            </w:pPr>
            <w:r>
              <w:rPr>
                <w:rFonts w:ascii="黑体" w:hAnsi="黑体" w:eastAsia="黑体"/>
              </w:rPr>
              <w:t>公开名称</w:t>
            </w:r>
          </w:p>
        </w:tc>
        <w:tc>
          <w:tcPr>
            <w:tcW w:w="2268" w:type="dxa"/>
            <w:vMerge w:val="restart"/>
            <w:shd w:val="pct10" w:color="auto" w:fill="auto"/>
            <w:vAlign w:val="center"/>
          </w:tcPr>
          <w:p>
            <w:pPr>
              <w:jc w:val="center"/>
              <w:rPr>
                <w:rFonts w:ascii="黑体" w:hAnsi="黑体" w:eastAsia="黑体"/>
              </w:rPr>
            </w:pPr>
            <w:r>
              <w:rPr>
                <w:rFonts w:hint="eastAsia" w:ascii="黑体" w:hAnsi="黑体" w:eastAsia="黑体"/>
              </w:rPr>
              <w:t>公开内容</w:t>
            </w:r>
          </w:p>
        </w:tc>
        <w:tc>
          <w:tcPr>
            <w:tcW w:w="3686"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依据</w:t>
            </w:r>
          </w:p>
        </w:tc>
        <w:tc>
          <w:tcPr>
            <w:tcW w:w="1559" w:type="dxa"/>
            <w:vMerge w:val="restart"/>
            <w:shd w:val="pct10" w:color="auto" w:fill="auto"/>
            <w:vAlign w:val="center"/>
          </w:tcPr>
          <w:p>
            <w:pPr>
              <w:jc w:val="center"/>
              <w:rPr>
                <w:rFonts w:ascii="黑体" w:hAnsi="黑体" w:eastAsia="黑体"/>
              </w:rPr>
            </w:pPr>
            <w:r>
              <w:rPr>
                <w:rFonts w:hint="eastAsia" w:ascii="黑体" w:hAnsi="黑体" w:eastAsia="黑体"/>
              </w:rPr>
              <w:t>公开</w:t>
            </w:r>
            <w:r>
              <w:rPr>
                <w:rFonts w:ascii="黑体" w:hAnsi="黑体" w:eastAsia="黑体"/>
              </w:rPr>
              <w:t>时限</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w:t>
            </w:r>
            <w:r>
              <w:rPr>
                <w:rFonts w:hint="eastAsia" w:ascii="黑体" w:hAnsi="黑体" w:eastAsia="黑体"/>
              </w:rPr>
              <w:t>主体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公开方式</w:t>
            </w:r>
          </w:p>
        </w:tc>
        <w:tc>
          <w:tcPr>
            <w:tcW w:w="1305" w:type="dxa"/>
            <w:vMerge w:val="restart"/>
            <w:shd w:val="pct10" w:color="auto" w:fill="auto"/>
            <w:vAlign w:val="center"/>
          </w:tcPr>
          <w:p>
            <w:pPr>
              <w:jc w:val="center"/>
              <w:rPr>
                <w:rFonts w:ascii="黑体" w:hAnsi="黑体" w:eastAsia="黑体"/>
              </w:rPr>
            </w:pPr>
            <w:r>
              <w:rPr>
                <w:rFonts w:hint="eastAsia" w:ascii="黑体" w:hAnsi="黑体" w:eastAsia="黑体"/>
              </w:rPr>
              <w:t>公开渠道</w:t>
            </w:r>
          </w:p>
        </w:tc>
        <w:tc>
          <w:tcPr>
            <w:tcW w:w="1134" w:type="dxa"/>
            <w:vMerge w:val="restart"/>
            <w:shd w:val="pct10" w:color="auto" w:fill="auto"/>
            <w:vAlign w:val="center"/>
          </w:tcPr>
          <w:p>
            <w:pPr>
              <w:jc w:val="center"/>
              <w:rPr>
                <w:rFonts w:ascii="黑体" w:hAnsi="黑体" w:eastAsia="黑体"/>
              </w:rPr>
            </w:pPr>
            <w:r>
              <w:rPr>
                <w:rFonts w:ascii="黑体" w:hAnsi="黑体" w:eastAsia="黑体"/>
              </w:rPr>
              <w:t>公开对象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29" w:type="dxa"/>
            <w:shd w:val="pct10" w:color="auto" w:fill="auto"/>
            <w:vAlign w:val="center"/>
          </w:tcPr>
          <w:p>
            <w:pPr>
              <w:jc w:val="center"/>
              <w:rPr>
                <w:b/>
              </w:rPr>
            </w:pPr>
            <w:r>
              <w:rPr>
                <w:b/>
              </w:rPr>
              <w:t>一级目录</w:t>
            </w:r>
          </w:p>
        </w:tc>
        <w:tc>
          <w:tcPr>
            <w:tcW w:w="1247" w:type="dxa"/>
            <w:shd w:val="pct10" w:color="auto" w:fill="auto"/>
            <w:vAlign w:val="center"/>
          </w:tcPr>
          <w:p>
            <w:pPr>
              <w:jc w:val="center"/>
              <w:rPr>
                <w:b/>
              </w:rPr>
            </w:pPr>
            <w:r>
              <w:rPr>
                <w:b/>
              </w:rPr>
              <w:t>二级目录</w:t>
            </w:r>
          </w:p>
        </w:tc>
        <w:tc>
          <w:tcPr>
            <w:tcW w:w="2268" w:type="dxa"/>
            <w:vMerge w:val="continue"/>
          </w:tcPr>
          <w:p>
            <w:pPr>
              <w:jc w:val="left"/>
            </w:pPr>
          </w:p>
        </w:tc>
        <w:tc>
          <w:tcPr>
            <w:tcW w:w="3686" w:type="dxa"/>
            <w:vMerge w:val="continue"/>
            <w:vAlign w:val="center"/>
          </w:tcPr>
          <w:p>
            <w:pPr>
              <w:jc w:val="center"/>
            </w:pPr>
          </w:p>
        </w:tc>
        <w:tc>
          <w:tcPr>
            <w:tcW w:w="1559" w:type="dxa"/>
            <w:vMerge w:val="continue"/>
            <w:vAlign w:val="center"/>
          </w:tcPr>
          <w:p/>
        </w:tc>
        <w:tc>
          <w:tcPr>
            <w:tcW w:w="1134" w:type="dxa"/>
            <w:vMerge w:val="continue"/>
          </w:tcPr>
          <w:p>
            <w:pPr>
              <w:jc w:val="center"/>
            </w:pPr>
          </w:p>
        </w:tc>
        <w:tc>
          <w:tcPr>
            <w:tcW w:w="1134" w:type="dxa"/>
            <w:vMerge w:val="continue"/>
            <w:vAlign w:val="center"/>
          </w:tcPr>
          <w:p>
            <w:pPr>
              <w:jc w:val="center"/>
            </w:pPr>
          </w:p>
        </w:tc>
        <w:tc>
          <w:tcPr>
            <w:tcW w:w="1305" w:type="dxa"/>
            <w:vMerge w:val="continue"/>
            <w:vAlign w:val="center"/>
          </w:tcPr>
          <w:p>
            <w:pPr>
              <w:jc w:val="center"/>
            </w:pPr>
          </w:p>
        </w:tc>
        <w:tc>
          <w:tcPr>
            <w:tcW w:w="1134"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129" w:type="dxa"/>
            <w:vMerge w:val="restar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预决算</w:t>
            </w: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政府预算</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政府预算报告、政府预算草案、政府预算草案说明</w:t>
            </w:r>
          </w:p>
        </w:tc>
        <w:tc>
          <w:tcPr>
            <w:tcW w:w="3686"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《中华人民共和国预算法》、《中华人民共和国预算法实施条例》（国务院令第729号）、《中共中央办公厅 国务院办公厅关于进一步推进预算公开工作的意见》（中办发〔2016〕13号）、《中华人民共和国政府信息公开条例》（国务院令第711号）、《财政部关于印发&lt;地方预决算公开操作规程的通知&gt;》（财预〔2016〕143号）、《财政部关于印发&lt;地方政府债务信息公开办法（试行）&gt;的通知》（财预〔2018〕209号）、《财政部办公厅关于印发财政预决算领域基层政务公开标准指引的通知》（财办发〔2019〕77号）、《江苏省预决算信息公开管理暂行办法》（苏办发〔2016〕37号）等法律法规和文件规定</w:t>
            </w: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人大批准后20日内</w:t>
            </w:r>
          </w:p>
        </w:tc>
        <w:tc>
          <w:tcPr>
            <w:tcW w:w="1134"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区财政局</w:t>
            </w:r>
          </w:p>
        </w:tc>
        <w:tc>
          <w:tcPr>
            <w:tcW w:w="1134" w:type="dxa"/>
            <w:vMerge w:val="restar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305" w:type="dxa"/>
            <w:vMerge w:val="restar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省预决算公开平台</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Merge w:val="restart"/>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政府预算调整</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区级全口径预算的收支调整情况</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人大常委会批准后20日内</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政府决算</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财政决算、财政决算草案、财政决算草案说明</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人大常委会批准后20日内</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专项资金管理清单</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专项资金管理清单</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人大批准后20日内公开</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行政事业性收费项目目录清单</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行政事业性收费项目目录清单</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动态公开、更新</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政府性基金项目目录清单</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政府性基金项目目录清单</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动态公开、更新</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重大财税制度文件</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相关财政制度</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动态公开、更新</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29" w:type="dxa"/>
            <w:vMerge w:val="restar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预决算</w:t>
            </w: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部门预算</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部门概况、部门预算公开表、部门预算公开说明、名词解释</w:t>
            </w:r>
          </w:p>
        </w:tc>
        <w:tc>
          <w:tcPr>
            <w:tcW w:w="3686" w:type="dxa"/>
            <w:vMerge w:val="restart"/>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《中华人民共和国预算法》、《中华人民共和国预算法实施条例》（国务院令第729号）、《中共中央办公厅 国务院办公厅关于进一步推进预算公开工作的意见》（中办发〔2016〕13号）、《中华人民共和国政府信息公开条例》（国务院令第711号）、《财政部关于印发&lt;地方预决算公开操作规程的通知&gt;》（财预〔2016〕143号）、《财政部关于印发&lt;地方政府债务信息公开办法（试行）&gt;的通知》（财预〔2018〕209号）、《财政部办公厅关于印发财政预决算领域基层政务公开标准指引的通知》（财办发〔2019〕77号）、《江苏省预决算信息公开管理暂行办法》（苏办发〔2016〕37号）等法律法规和文件规定</w:t>
            </w: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财政批复后20日内</w:t>
            </w:r>
          </w:p>
        </w:tc>
        <w:tc>
          <w:tcPr>
            <w:tcW w:w="1134" w:type="dxa"/>
            <w:vMerge w:val="restart"/>
            <w:vAlign w:val="center"/>
          </w:tcPr>
          <w:p>
            <w:pPr>
              <w:widowControl/>
              <w:rPr>
                <w:rFonts w:ascii="宋体" w:hAnsi="宋体" w:eastAsia="宋体" w:cs="宋体"/>
                <w:color w:val="000000"/>
                <w:kern w:val="0"/>
                <w:szCs w:val="21"/>
              </w:rPr>
            </w:pPr>
            <w:bookmarkStart w:id="0" w:name="_GoBack"/>
            <w:bookmarkEnd w:id="0"/>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区各部门</w:t>
            </w:r>
          </w:p>
        </w:tc>
        <w:tc>
          <w:tcPr>
            <w:tcW w:w="1134" w:type="dxa"/>
            <w:vMerge w:val="restart"/>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主动公开</w:t>
            </w:r>
          </w:p>
        </w:tc>
        <w:tc>
          <w:tcPr>
            <w:tcW w:w="1305" w:type="dxa"/>
            <w:vMerge w:val="restart"/>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省预决算公开平台</w:t>
            </w:r>
          </w:p>
          <w:p>
            <w:pPr>
              <w:jc w:val="center"/>
              <w:rPr>
                <w:rFonts w:ascii="宋体" w:hAnsi="宋体" w:eastAsia="宋体" w:cs="宋体"/>
                <w:color w:val="000000"/>
                <w:kern w:val="0"/>
                <w:szCs w:val="21"/>
              </w:rPr>
            </w:pPr>
            <w:r>
              <w:rPr>
                <w:rFonts w:hint="eastAsia" w:ascii="宋体" w:hAnsi="宋体" w:eastAsia="宋体" w:cs="宋体"/>
                <w:color w:val="000000"/>
                <w:kern w:val="0"/>
                <w:szCs w:val="21"/>
              </w:rPr>
              <w:t>政府网站</w:t>
            </w:r>
          </w:p>
        </w:tc>
        <w:tc>
          <w:tcPr>
            <w:tcW w:w="1134" w:type="dxa"/>
            <w:vMerge w:val="restart"/>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部门决算</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部门概况、部门决算表、部门决算情况说明、名词解释</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财政批复后20日内</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部门专项资金</w:t>
            </w:r>
          </w:p>
        </w:tc>
        <w:tc>
          <w:tcPr>
            <w:tcW w:w="2268"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纳入部门专项资金管理清单的专项资金相关资金分配等信息</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根据资金分配流程及时公开</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部门资产信息</w:t>
            </w:r>
          </w:p>
        </w:tc>
        <w:tc>
          <w:tcPr>
            <w:tcW w:w="226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部门占有、使用国有资产的有关情况，包括车辆信息、设备信息等</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在公开部门预决算时同步公开</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部门绩效信息</w:t>
            </w:r>
          </w:p>
        </w:tc>
        <w:tc>
          <w:tcPr>
            <w:tcW w:w="226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绩效目标、绩效评价结果等相关信息</w:t>
            </w:r>
          </w:p>
        </w:tc>
        <w:tc>
          <w:tcPr>
            <w:tcW w:w="3686" w:type="dxa"/>
            <w:vMerge w:val="continue"/>
            <w:vAlign w:val="center"/>
          </w:tcPr>
          <w:p>
            <w:pPr>
              <w:widowControl/>
              <w:jc w:val="center"/>
              <w:rPr>
                <w:rFonts w:ascii="宋体" w:hAnsi="宋体" w:eastAsia="宋体" w:cs="宋体"/>
                <w:color w:val="000000"/>
                <w:kern w:val="0"/>
                <w:szCs w:val="21"/>
              </w:rPr>
            </w:pPr>
          </w:p>
        </w:tc>
        <w:tc>
          <w:tcPr>
            <w:tcW w:w="1559"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在公开部门预算时同步公开 预算绩效目标和评价指标；在公开部门单位决算时同步公开绩效自评结果。</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部门预决算公开管理文件</w:t>
            </w:r>
          </w:p>
        </w:tc>
        <w:tc>
          <w:tcPr>
            <w:tcW w:w="2268"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本部门制定的预决算信息公开管理办法或文件等</w:t>
            </w:r>
          </w:p>
        </w:tc>
        <w:tc>
          <w:tcPr>
            <w:tcW w:w="3686" w:type="dxa"/>
            <w:vMerge w:val="continue"/>
            <w:vAlign w:val="center"/>
          </w:tcPr>
          <w:p>
            <w:pPr>
              <w:widowControl/>
              <w:jc w:val="center"/>
              <w:rPr>
                <w:rFonts w:ascii="宋体" w:hAnsi="宋体" w:eastAsia="宋体" w:cs="宋体"/>
                <w:kern w:val="0"/>
                <w:szCs w:val="21"/>
              </w:rPr>
            </w:pPr>
          </w:p>
        </w:tc>
        <w:tc>
          <w:tcPr>
            <w:tcW w:w="1559" w:type="dxa"/>
            <w:vAlign w:val="center"/>
          </w:tcPr>
          <w:p>
            <w:pPr>
              <w:widowControl/>
              <w:jc w:val="center"/>
              <w:rPr>
                <w:rFonts w:ascii="宋体" w:hAnsi="宋体" w:eastAsia="宋体" w:cs="宋体"/>
                <w:kern w:val="0"/>
                <w:szCs w:val="21"/>
              </w:rPr>
            </w:pPr>
            <w:r>
              <w:rPr>
                <w:rFonts w:hint="eastAsia" w:ascii="宋体" w:hAnsi="宋体" w:eastAsia="宋体" w:cs="宋体"/>
                <w:color w:val="000000"/>
                <w:kern w:val="0"/>
                <w:szCs w:val="21"/>
              </w:rPr>
              <w:t>动态公开、更新</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1129" w:type="dxa"/>
            <w:vMerge w:val="continue"/>
            <w:vAlign w:val="center"/>
          </w:tcPr>
          <w:p>
            <w:pPr>
              <w:widowControl/>
              <w:jc w:val="center"/>
              <w:rPr>
                <w:rFonts w:ascii="宋体" w:hAnsi="宋体" w:eastAsia="宋体" w:cs="宋体"/>
                <w:color w:val="000000"/>
                <w:kern w:val="0"/>
                <w:szCs w:val="21"/>
              </w:rPr>
            </w:pPr>
          </w:p>
        </w:tc>
        <w:tc>
          <w:tcPr>
            <w:tcW w:w="1247"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部门采购信息</w:t>
            </w:r>
          </w:p>
        </w:tc>
        <w:tc>
          <w:tcPr>
            <w:tcW w:w="2268" w:type="dxa"/>
            <w:vAlign w:val="center"/>
          </w:tcPr>
          <w:p>
            <w:pPr>
              <w:widowControl/>
              <w:rPr>
                <w:rFonts w:ascii="宋体" w:hAnsi="宋体" w:eastAsia="宋体" w:cs="宋体"/>
                <w:kern w:val="0"/>
                <w:szCs w:val="21"/>
              </w:rPr>
            </w:pPr>
            <w:r>
              <w:rPr>
                <w:rFonts w:hint="eastAsia" w:ascii="宋体" w:hAnsi="宋体" w:eastAsia="宋体" w:cs="宋体"/>
                <w:kern w:val="0"/>
                <w:szCs w:val="21"/>
              </w:rPr>
              <w:t>集中采购、分散采购项目，公开采购公告、采购合同、采购结果等项目信息，及定点采购、协议供货、</w:t>
            </w:r>
            <w:r>
              <w:rPr>
                <w:rFonts w:ascii="宋体" w:hAnsi="宋体" w:eastAsia="宋体" w:cs="宋体"/>
                <w:kern w:val="0"/>
                <w:szCs w:val="21"/>
              </w:rPr>
              <w:t>“</w:t>
            </w:r>
            <w:r>
              <w:rPr>
                <w:rFonts w:hint="eastAsia" w:ascii="宋体" w:hAnsi="宋体" w:eastAsia="宋体" w:cs="宋体"/>
                <w:kern w:val="0"/>
                <w:szCs w:val="21"/>
              </w:rPr>
              <w:t>网上商城</w:t>
            </w:r>
            <w:r>
              <w:rPr>
                <w:rFonts w:ascii="宋体" w:hAnsi="宋体" w:eastAsia="宋体" w:cs="宋体"/>
                <w:kern w:val="0"/>
                <w:szCs w:val="21"/>
              </w:rPr>
              <w:t>”</w:t>
            </w:r>
            <w:r>
              <w:rPr>
                <w:rFonts w:hint="eastAsia" w:ascii="宋体" w:hAnsi="宋体" w:eastAsia="宋体" w:cs="宋体"/>
                <w:kern w:val="0"/>
                <w:szCs w:val="21"/>
              </w:rPr>
              <w:t>采购项目、成交信息等。</w:t>
            </w:r>
          </w:p>
        </w:tc>
        <w:tc>
          <w:tcPr>
            <w:tcW w:w="3686"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人民共和国政府采购法》、《中华人民共和国政府采购法实施条例》（国务院令第658号）、《财政部关于做好政府采购信息公开工作的通知》（财库〔2015〕135号）、《财政部关于进一步做好政府采购信息公开工作有关事项的通知》（财库〔2017〕86号）</w:t>
            </w:r>
          </w:p>
        </w:tc>
        <w:tc>
          <w:tcPr>
            <w:tcW w:w="1559" w:type="dxa"/>
            <w:vAlign w:val="center"/>
          </w:tcPr>
          <w:p>
            <w:pPr>
              <w:widowControl/>
              <w:jc w:val="center"/>
              <w:rPr>
                <w:rFonts w:ascii="宋体" w:hAnsi="宋体" w:eastAsia="宋体" w:cs="宋体"/>
                <w:kern w:val="0"/>
                <w:szCs w:val="21"/>
              </w:rPr>
            </w:pPr>
            <w:r>
              <w:rPr>
                <w:rFonts w:hint="eastAsia" w:ascii="宋体" w:hAnsi="宋体" w:eastAsia="宋体" w:cs="宋体"/>
                <w:kern w:val="0"/>
                <w:szCs w:val="21"/>
              </w:rPr>
              <w:t>按采购进程及时公开</w:t>
            </w:r>
          </w:p>
        </w:tc>
        <w:tc>
          <w:tcPr>
            <w:tcW w:w="1134" w:type="dxa"/>
            <w:vMerge w:val="continue"/>
            <w:vAlign w:val="center"/>
          </w:tcPr>
          <w:p>
            <w:pPr>
              <w:widowControl/>
              <w:jc w:val="center"/>
              <w:rPr>
                <w:rFonts w:ascii="宋体" w:hAnsi="宋体" w:eastAsia="宋体" w:cs="宋体"/>
                <w:color w:val="000000"/>
                <w:kern w:val="0"/>
                <w:szCs w:val="21"/>
              </w:rPr>
            </w:pPr>
          </w:p>
        </w:tc>
        <w:tc>
          <w:tcPr>
            <w:tcW w:w="1134" w:type="dxa"/>
            <w:vMerge w:val="continue"/>
            <w:noWrap/>
            <w:vAlign w:val="center"/>
          </w:tcPr>
          <w:p>
            <w:pPr>
              <w:widowControl/>
              <w:jc w:val="center"/>
              <w:rPr>
                <w:rFonts w:ascii="宋体" w:hAnsi="宋体" w:eastAsia="宋体" w:cs="宋体"/>
                <w:color w:val="000000"/>
                <w:kern w:val="0"/>
                <w:szCs w:val="21"/>
              </w:rPr>
            </w:pPr>
          </w:p>
        </w:tc>
        <w:tc>
          <w:tcPr>
            <w:tcW w:w="130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南京市政府采购网</w:t>
            </w:r>
          </w:p>
        </w:tc>
        <w:tc>
          <w:tcPr>
            <w:tcW w:w="1134" w:type="dxa"/>
            <w:vMerge w:val="continue"/>
            <w:noWrap/>
            <w:vAlign w:val="center"/>
          </w:tcPr>
          <w:p>
            <w:pPr>
              <w:widowControl/>
              <w:jc w:val="center"/>
              <w:rPr>
                <w:rFonts w:ascii="宋体" w:hAnsi="宋体" w:eastAsia="宋体" w:cs="宋体"/>
                <w:color w:val="000000"/>
                <w:kern w:val="0"/>
                <w:sz w:val="24"/>
                <w:szCs w:val="24"/>
              </w:rPr>
            </w:pPr>
          </w:p>
        </w:tc>
      </w:tr>
    </w:tbl>
    <w:p>
      <w:pPr>
        <w:spacing w:line="560" w:lineRule="exact"/>
        <w:rPr>
          <w:sz w:val="32"/>
          <w:szCs w:val="32"/>
        </w:rPr>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5094"/>
    <w:rsid w:val="00021B1F"/>
    <w:rsid w:val="00023E48"/>
    <w:rsid w:val="000265F9"/>
    <w:rsid w:val="00052A35"/>
    <w:rsid w:val="000569F8"/>
    <w:rsid w:val="0006518A"/>
    <w:rsid w:val="00071444"/>
    <w:rsid w:val="00077283"/>
    <w:rsid w:val="00084F6E"/>
    <w:rsid w:val="0008726A"/>
    <w:rsid w:val="0009292B"/>
    <w:rsid w:val="00094CB5"/>
    <w:rsid w:val="001127FB"/>
    <w:rsid w:val="001166A7"/>
    <w:rsid w:val="0012223B"/>
    <w:rsid w:val="00123415"/>
    <w:rsid w:val="00134E1C"/>
    <w:rsid w:val="00142691"/>
    <w:rsid w:val="00142F28"/>
    <w:rsid w:val="001514BA"/>
    <w:rsid w:val="00157013"/>
    <w:rsid w:val="00166E51"/>
    <w:rsid w:val="00174482"/>
    <w:rsid w:val="0019282F"/>
    <w:rsid w:val="001A2610"/>
    <w:rsid w:val="001A2B7A"/>
    <w:rsid w:val="001A443E"/>
    <w:rsid w:val="001A4812"/>
    <w:rsid w:val="001A66AB"/>
    <w:rsid w:val="001B60A0"/>
    <w:rsid w:val="001C7D28"/>
    <w:rsid w:val="001D2A0D"/>
    <w:rsid w:val="001D56E5"/>
    <w:rsid w:val="001E2737"/>
    <w:rsid w:val="00206C30"/>
    <w:rsid w:val="00207DBB"/>
    <w:rsid w:val="002203B1"/>
    <w:rsid w:val="00237069"/>
    <w:rsid w:val="00242C70"/>
    <w:rsid w:val="00245348"/>
    <w:rsid w:val="00250B18"/>
    <w:rsid w:val="00266B0D"/>
    <w:rsid w:val="00275614"/>
    <w:rsid w:val="00277E0C"/>
    <w:rsid w:val="002829C9"/>
    <w:rsid w:val="002B7599"/>
    <w:rsid w:val="002B7620"/>
    <w:rsid w:val="002C47B4"/>
    <w:rsid w:val="002F1828"/>
    <w:rsid w:val="00300927"/>
    <w:rsid w:val="00303A58"/>
    <w:rsid w:val="003117AB"/>
    <w:rsid w:val="00330DBF"/>
    <w:rsid w:val="0036134B"/>
    <w:rsid w:val="003616BC"/>
    <w:rsid w:val="00367083"/>
    <w:rsid w:val="00373F21"/>
    <w:rsid w:val="00375BBF"/>
    <w:rsid w:val="003879D1"/>
    <w:rsid w:val="00393387"/>
    <w:rsid w:val="003A337F"/>
    <w:rsid w:val="003B0F98"/>
    <w:rsid w:val="003D31CC"/>
    <w:rsid w:val="003E4DFB"/>
    <w:rsid w:val="003F2F25"/>
    <w:rsid w:val="0040575E"/>
    <w:rsid w:val="00413274"/>
    <w:rsid w:val="0041621E"/>
    <w:rsid w:val="0043432F"/>
    <w:rsid w:val="00442E50"/>
    <w:rsid w:val="0045231A"/>
    <w:rsid w:val="004911FD"/>
    <w:rsid w:val="004A32BB"/>
    <w:rsid w:val="004B20FD"/>
    <w:rsid w:val="004B27D4"/>
    <w:rsid w:val="004E00B3"/>
    <w:rsid w:val="00500E14"/>
    <w:rsid w:val="005245CD"/>
    <w:rsid w:val="00532054"/>
    <w:rsid w:val="00537115"/>
    <w:rsid w:val="005457A2"/>
    <w:rsid w:val="00555AEC"/>
    <w:rsid w:val="0056729B"/>
    <w:rsid w:val="00573E31"/>
    <w:rsid w:val="005839AD"/>
    <w:rsid w:val="0058437C"/>
    <w:rsid w:val="00586B48"/>
    <w:rsid w:val="00590EC7"/>
    <w:rsid w:val="00593434"/>
    <w:rsid w:val="005A07B6"/>
    <w:rsid w:val="005A57EC"/>
    <w:rsid w:val="005B421B"/>
    <w:rsid w:val="005B6B26"/>
    <w:rsid w:val="005D64B3"/>
    <w:rsid w:val="005E065D"/>
    <w:rsid w:val="005F1B8C"/>
    <w:rsid w:val="0061692A"/>
    <w:rsid w:val="00624822"/>
    <w:rsid w:val="006251C3"/>
    <w:rsid w:val="00631D7A"/>
    <w:rsid w:val="0063455C"/>
    <w:rsid w:val="00637CB6"/>
    <w:rsid w:val="006436B3"/>
    <w:rsid w:val="00645233"/>
    <w:rsid w:val="006461DB"/>
    <w:rsid w:val="006526DD"/>
    <w:rsid w:val="006562CB"/>
    <w:rsid w:val="00673F8C"/>
    <w:rsid w:val="00682E8E"/>
    <w:rsid w:val="00694FCE"/>
    <w:rsid w:val="00697918"/>
    <w:rsid w:val="006B0323"/>
    <w:rsid w:val="006B4341"/>
    <w:rsid w:val="006C2D8A"/>
    <w:rsid w:val="006D4475"/>
    <w:rsid w:val="007169EE"/>
    <w:rsid w:val="00720C95"/>
    <w:rsid w:val="007250C7"/>
    <w:rsid w:val="00740275"/>
    <w:rsid w:val="00776475"/>
    <w:rsid w:val="007800A3"/>
    <w:rsid w:val="00787ED3"/>
    <w:rsid w:val="00797D2B"/>
    <w:rsid w:val="007A3580"/>
    <w:rsid w:val="007A423C"/>
    <w:rsid w:val="007C28DC"/>
    <w:rsid w:val="007C73FB"/>
    <w:rsid w:val="007D71CD"/>
    <w:rsid w:val="007D79DA"/>
    <w:rsid w:val="007E065A"/>
    <w:rsid w:val="007E4A0D"/>
    <w:rsid w:val="007E7603"/>
    <w:rsid w:val="007F453B"/>
    <w:rsid w:val="007F4DEE"/>
    <w:rsid w:val="00805D6E"/>
    <w:rsid w:val="00811F3A"/>
    <w:rsid w:val="008356D1"/>
    <w:rsid w:val="00860EA1"/>
    <w:rsid w:val="008642B2"/>
    <w:rsid w:val="0087169D"/>
    <w:rsid w:val="00895EBD"/>
    <w:rsid w:val="008A1B04"/>
    <w:rsid w:val="008A6335"/>
    <w:rsid w:val="008B0415"/>
    <w:rsid w:val="008C1476"/>
    <w:rsid w:val="008D0794"/>
    <w:rsid w:val="008D3076"/>
    <w:rsid w:val="0091301D"/>
    <w:rsid w:val="00920711"/>
    <w:rsid w:val="00945F8A"/>
    <w:rsid w:val="009522E7"/>
    <w:rsid w:val="009632B1"/>
    <w:rsid w:val="009807F4"/>
    <w:rsid w:val="0099323D"/>
    <w:rsid w:val="00995629"/>
    <w:rsid w:val="009A3880"/>
    <w:rsid w:val="009B31AF"/>
    <w:rsid w:val="009D0E80"/>
    <w:rsid w:val="009D7C4C"/>
    <w:rsid w:val="009F3115"/>
    <w:rsid w:val="009F702D"/>
    <w:rsid w:val="00A07C64"/>
    <w:rsid w:val="00A12857"/>
    <w:rsid w:val="00A14382"/>
    <w:rsid w:val="00A42FE4"/>
    <w:rsid w:val="00A56F74"/>
    <w:rsid w:val="00A57FFC"/>
    <w:rsid w:val="00A73285"/>
    <w:rsid w:val="00AB245E"/>
    <w:rsid w:val="00AD0CD1"/>
    <w:rsid w:val="00AE50F4"/>
    <w:rsid w:val="00AF132F"/>
    <w:rsid w:val="00B16CD0"/>
    <w:rsid w:val="00B2051F"/>
    <w:rsid w:val="00B35130"/>
    <w:rsid w:val="00B56849"/>
    <w:rsid w:val="00B7528F"/>
    <w:rsid w:val="00B97795"/>
    <w:rsid w:val="00BB7A51"/>
    <w:rsid w:val="00BC16AC"/>
    <w:rsid w:val="00BE267F"/>
    <w:rsid w:val="00BE6DCF"/>
    <w:rsid w:val="00C00E96"/>
    <w:rsid w:val="00C12B0F"/>
    <w:rsid w:val="00C220AD"/>
    <w:rsid w:val="00C44134"/>
    <w:rsid w:val="00C62EFE"/>
    <w:rsid w:val="00C74C2B"/>
    <w:rsid w:val="00C7698E"/>
    <w:rsid w:val="00C822DD"/>
    <w:rsid w:val="00C83364"/>
    <w:rsid w:val="00C876C5"/>
    <w:rsid w:val="00C905BF"/>
    <w:rsid w:val="00C906C8"/>
    <w:rsid w:val="00CA09F5"/>
    <w:rsid w:val="00CA5FBA"/>
    <w:rsid w:val="00CC327F"/>
    <w:rsid w:val="00CD256D"/>
    <w:rsid w:val="00CE5FE2"/>
    <w:rsid w:val="00D05F29"/>
    <w:rsid w:val="00D22A82"/>
    <w:rsid w:val="00D22E87"/>
    <w:rsid w:val="00D22FE2"/>
    <w:rsid w:val="00D25094"/>
    <w:rsid w:val="00D266CF"/>
    <w:rsid w:val="00D41CEC"/>
    <w:rsid w:val="00D60711"/>
    <w:rsid w:val="00D610DC"/>
    <w:rsid w:val="00D64012"/>
    <w:rsid w:val="00D64FA1"/>
    <w:rsid w:val="00D75041"/>
    <w:rsid w:val="00D8078C"/>
    <w:rsid w:val="00D8451C"/>
    <w:rsid w:val="00D85206"/>
    <w:rsid w:val="00D9012A"/>
    <w:rsid w:val="00D91F70"/>
    <w:rsid w:val="00D94312"/>
    <w:rsid w:val="00DA2891"/>
    <w:rsid w:val="00DB0B8B"/>
    <w:rsid w:val="00DB3EFD"/>
    <w:rsid w:val="00DB5322"/>
    <w:rsid w:val="00DE13EE"/>
    <w:rsid w:val="00E032C8"/>
    <w:rsid w:val="00E03B57"/>
    <w:rsid w:val="00E0487F"/>
    <w:rsid w:val="00E151C4"/>
    <w:rsid w:val="00E24EA3"/>
    <w:rsid w:val="00E37D5C"/>
    <w:rsid w:val="00E44A60"/>
    <w:rsid w:val="00E56465"/>
    <w:rsid w:val="00E63D3C"/>
    <w:rsid w:val="00E97483"/>
    <w:rsid w:val="00ED4C18"/>
    <w:rsid w:val="00F308B5"/>
    <w:rsid w:val="00F32380"/>
    <w:rsid w:val="00F33A22"/>
    <w:rsid w:val="00F33DF9"/>
    <w:rsid w:val="00F409B0"/>
    <w:rsid w:val="00F50F62"/>
    <w:rsid w:val="00F60D54"/>
    <w:rsid w:val="00F6148F"/>
    <w:rsid w:val="00F750F9"/>
    <w:rsid w:val="00F766D8"/>
    <w:rsid w:val="00FB0C38"/>
    <w:rsid w:val="00FB3DAA"/>
    <w:rsid w:val="00FC0BCA"/>
    <w:rsid w:val="00FE17EA"/>
    <w:rsid w:val="00FE3FD3"/>
    <w:rsid w:val="00FE72F3"/>
    <w:rsid w:val="28C301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232</Words>
  <Characters>1328</Characters>
  <Lines>11</Lines>
  <Paragraphs>3</Paragraphs>
  <TotalTime>296</TotalTime>
  <ScaleCrop>false</ScaleCrop>
  <LinksUpToDate>false</LinksUpToDate>
  <CharactersWithSpaces>1557</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2020-12-07T02:44:00Z</dcterms:created>
  <dc:creator>米苏(misu)</dc:creator>
  <cp:lastModifiedBy>Administrator</cp:lastModifiedBy>
  <cp:lastPrinted>2020-12-11T09:29:00Z</cp:lastPrinted>
  <dcterms:modified xsi:type="dcterms:W3CDTF">2020-12-15T07:48:28Z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