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4A2E2">
      <w:pPr>
        <w:overflowPunct w:val="0"/>
        <w:adjustRightInd w:val="0"/>
        <w:snapToGrid w:val="0"/>
        <w:spacing w:line="460" w:lineRule="exact"/>
        <w:rPr>
          <w:rFonts w:ascii="Times New Roman" w:hAnsi="Times New Roman" w:eastAsia="方正黑体_GBK"/>
          <w:bCs/>
          <w:spacing w:val="12"/>
          <w:sz w:val="32"/>
          <w:szCs w:val="32"/>
        </w:rPr>
      </w:pPr>
      <w:r>
        <w:rPr>
          <w:rFonts w:ascii="Times New Roman" w:hAnsi="Times New Roman" w:eastAsia="方正黑体_GBK"/>
          <w:bCs/>
          <w:spacing w:val="12"/>
          <w:sz w:val="32"/>
          <w:szCs w:val="32"/>
        </w:rPr>
        <w:t>玄武区十八届人大</w:t>
      </w:r>
    </w:p>
    <w:p w14:paraId="6F21DC99">
      <w:pPr>
        <w:overflowPunct w:val="0"/>
        <w:adjustRightInd w:val="0"/>
        <w:snapToGrid w:val="0"/>
        <w:spacing w:line="460" w:lineRule="exact"/>
        <w:rPr>
          <w:rFonts w:ascii="Times New Roman" w:hAnsi="Times New Roman" w:eastAsia="方正黑体_GBK"/>
          <w:bCs/>
          <w:sz w:val="32"/>
          <w:szCs w:val="32"/>
        </w:rPr>
      </w:pPr>
      <w:r>
        <w:rPr>
          <w:rFonts w:ascii="Times New Roman" w:hAnsi="Times New Roman" w:eastAsia="方正黑体_GBK"/>
          <w:bCs/>
          <w:spacing w:val="12"/>
          <w:sz w:val="32"/>
          <w:szCs w:val="32"/>
        </w:rPr>
        <w:t>三次会议文件之</w:t>
      </w:r>
      <w:r>
        <w:rPr>
          <w:rFonts w:ascii="Times New Roman" w:hAnsi="Times New Roman" w:eastAsia="方正黑体_GBK"/>
          <w:bCs/>
          <w:sz w:val="32"/>
          <w:szCs w:val="32"/>
        </w:rPr>
        <w:t>一</w:t>
      </w:r>
    </w:p>
    <w:p w14:paraId="0F6E8145">
      <w:pPr>
        <w:overflowPunct w:val="0"/>
        <w:adjustRightInd w:val="0"/>
        <w:snapToGrid w:val="0"/>
        <w:spacing w:line="1100" w:lineRule="exact"/>
        <w:rPr>
          <w:rFonts w:ascii="Times New Roman" w:hAnsi="Times New Roman" w:eastAsia="方正仿宋_GBK"/>
          <w:bCs/>
          <w:sz w:val="44"/>
          <w:szCs w:val="44"/>
        </w:rPr>
      </w:pPr>
    </w:p>
    <w:p w14:paraId="0BE72D58">
      <w:pPr>
        <w:adjustRightInd w:val="0"/>
        <w:snapToGrid w:val="0"/>
        <w:spacing w:line="700" w:lineRule="exact"/>
        <w:jc w:val="center"/>
        <w:rPr>
          <w:rFonts w:ascii="Times New Roman" w:hAnsi="Times New Roman" w:eastAsia="方正小标宋_GBK"/>
          <w:sz w:val="44"/>
          <w:szCs w:val="44"/>
        </w:rPr>
      </w:pPr>
      <w:r>
        <w:rPr>
          <w:rFonts w:ascii="Times New Roman" w:hAnsi="Times New Roman" w:eastAsia="方正小标宋_GBK"/>
          <w:sz w:val="44"/>
          <w:szCs w:val="44"/>
        </w:rPr>
        <w:t>玄武区人民政府工作报告</w:t>
      </w:r>
    </w:p>
    <w:p w14:paraId="7F748FBA">
      <w:pPr>
        <w:adjustRightInd w:val="0"/>
        <w:snapToGrid w:val="0"/>
        <w:spacing w:line="780" w:lineRule="exact"/>
        <w:jc w:val="center"/>
        <w:rPr>
          <w:rFonts w:ascii="Times New Roman" w:hAnsi="Times New Roman" w:eastAsia="方正楷体_GBK"/>
          <w:sz w:val="32"/>
          <w:szCs w:val="32"/>
        </w:rPr>
      </w:pPr>
      <w:r>
        <w:rPr>
          <w:rFonts w:hint="eastAsia" w:ascii="Times New Roman" w:hAnsi="Times New Roman" w:eastAsia="方正楷体_GBK"/>
          <w:sz w:val="32"/>
          <w:szCs w:val="32"/>
        </w:rPr>
        <w:t>区人民政府代</w:t>
      </w:r>
      <w:r>
        <w:rPr>
          <w:rFonts w:ascii="Times New Roman" w:hAnsi="Times New Roman" w:eastAsia="方正楷体_GBK"/>
          <w:sz w:val="32"/>
          <w:szCs w:val="32"/>
        </w:rPr>
        <w:t>区长</w:t>
      </w:r>
      <w:r>
        <w:rPr>
          <w:rFonts w:hint="eastAsia" w:ascii="Times New Roman" w:hAnsi="Times New Roman" w:eastAsia="方正楷体_GBK"/>
          <w:sz w:val="32"/>
          <w:szCs w:val="32"/>
        </w:rPr>
        <w:t xml:space="preserve"> 钱 维</w:t>
      </w:r>
    </w:p>
    <w:p w14:paraId="3896EF67">
      <w:pPr>
        <w:adjustRightInd w:val="0"/>
        <w:snapToGrid w:val="0"/>
        <w:spacing w:line="600" w:lineRule="exact"/>
        <w:jc w:val="center"/>
        <w:rPr>
          <w:rFonts w:ascii="Times New Roman" w:hAnsi="Times New Roman" w:eastAsia="方正楷体_GBK"/>
          <w:sz w:val="32"/>
          <w:szCs w:val="32"/>
        </w:rPr>
      </w:pPr>
      <w:r>
        <w:rPr>
          <w:rFonts w:ascii="Times New Roman" w:hAnsi="Times New Roman" w:eastAsia="方正楷体_GBK"/>
          <w:sz w:val="32"/>
          <w:szCs w:val="32"/>
        </w:rPr>
        <w:t>（201</w:t>
      </w:r>
      <w:r>
        <w:rPr>
          <w:rFonts w:hint="eastAsia" w:ascii="Times New Roman" w:hAnsi="Times New Roman" w:eastAsia="方正楷体_GBK"/>
          <w:sz w:val="32"/>
          <w:szCs w:val="32"/>
        </w:rPr>
        <w:t>9</w:t>
      </w:r>
      <w:r>
        <w:rPr>
          <w:rFonts w:ascii="Times New Roman" w:hAnsi="Times New Roman" w:eastAsia="方正楷体_GBK"/>
          <w:sz w:val="32"/>
          <w:szCs w:val="32"/>
        </w:rPr>
        <w:t>年1月</w:t>
      </w:r>
      <w:r>
        <w:rPr>
          <w:rFonts w:hint="eastAsia" w:ascii="Times New Roman" w:hAnsi="Times New Roman" w:eastAsia="方正楷体_GBK"/>
          <w:sz w:val="32"/>
          <w:szCs w:val="32"/>
        </w:rPr>
        <w:t>3</w:t>
      </w:r>
      <w:r>
        <w:rPr>
          <w:rFonts w:ascii="Times New Roman" w:hAnsi="Times New Roman" w:eastAsia="方正楷体_GBK"/>
          <w:sz w:val="32"/>
          <w:szCs w:val="32"/>
        </w:rPr>
        <w:t>日）</w:t>
      </w:r>
    </w:p>
    <w:p w14:paraId="0E74C66B">
      <w:pPr>
        <w:adjustRightInd w:val="0"/>
        <w:snapToGrid w:val="0"/>
        <w:spacing w:line="580" w:lineRule="exact"/>
        <w:rPr>
          <w:rFonts w:ascii="Times New Roman" w:hAnsi="Times New Roman" w:eastAsia="方正楷体_GBK"/>
          <w:sz w:val="32"/>
          <w:szCs w:val="32"/>
        </w:rPr>
      </w:pPr>
    </w:p>
    <w:p w14:paraId="37193BB8">
      <w:pPr>
        <w:adjustRightInd w:val="0"/>
        <w:snapToGrid w:val="0"/>
        <w:spacing w:line="600" w:lineRule="exact"/>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各位代表：</w:t>
      </w:r>
    </w:p>
    <w:p w14:paraId="347CAEB5">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现在，我代表玄武区人民政府，向大会报告工作，请予审议，并请各位政协委员和大会列席人员提出意见。</w:t>
      </w:r>
    </w:p>
    <w:p w14:paraId="6456ED6D">
      <w:pPr>
        <w:adjustRightInd w:val="0"/>
        <w:snapToGrid w:val="0"/>
        <w:spacing w:beforeLines="100" w:afterLines="100" w:line="600" w:lineRule="exact"/>
        <w:jc w:val="center"/>
        <w:rPr>
          <w:rFonts w:ascii="Times New Roman" w:hAnsi="Times New Roman" w:eastAsia="方正黑体_GBK"/>
          <w:bCs/>
          <w:snapToGrid w:val="0"/>
          <w:kern w:val="0"/>
          <w:sz w:val="32"/>
          <w:szCs w:val="32"/>
        </w:rPr>
      </w:pPr>
      <w:r>
        <w:rPr>
          <w:rFonts w:ascii="Times New Roman" w:hAnsi="Times New Roman" w:eastAsia="方正黑体_GBK"/>
          <w:bCs/>
          <w:snapToGrid w:val="0"/>
          <w:kern w:val="0"/>
          <w:sz w:val="32"/>
          <w:szCs w:val="32"/>
        </w:rPr>
        <w:t>一、2018年工作回顾</w:t>
      </w:r>
    </w:p>
    <w:p w14:paraId="40B98D55">
      <w:pPr>
        <w:adjustRightInd w:val="0"/>
        <w:snapToGrid w:val="0"/>
        <w:spacing w:beforeLines="100"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2018年是全面贯彻党的十九大精神的开局之年。全区上下以习近平新时代中国特色社会主义思想为引领，在市委、市政府的正确领导和区委的坚强领导下，在区人大、区政协的监督支持下，坚持稳中求进工作总基调，坚持新发展理念，对标找差、创新实干，较好完成了区十八届人大二次会议确定的各项目标任务，迈出高质量建设</w:t>
      </w:r>
      <w:r>
        <w:rPr>
          <w:rFonts w:hint="eastAsia" w:ascii="方正仿宋_GBK" w:hAnsi="Times New Roman" w:eastAsia="方正仿宋_GBK"/>
          <w:bCs/>
          <w:snapToGrid w:val="0"/>
          <w:kern w:val="0"/>
          <w:sz w:val="32"/>
          <w:szCs w:val="32"/>
        </w:rPr>
        <w:t>“强富美高”</w:t>
      </w:r>
      <w:r>
        <w:rPr>
          <w:rFonts w:ascii="Times New Roman" w:hAnsi="Times New Roman" w:eastAsia="方正仿宋_GBK"/>
          <w:bCs/>
          <w:snapToGrid w:val="0"/>
          <w:kern w:val="0"/>
          <w:sz w:val="32"/>
          <w:szCs w:val="32"/>
        </w:rPr>
        <w:t>新玄武的坚实步伐。</w:t>
      </w:r>
    </w:p>
    <w:p w14:paraId="67A19A24">
      <w:pPr>
        <w:adjustRightInd w:val="0"/>
        <w:snapToGrid w:val="0"/>
        <w:spacing w:line="600" w:lineRule="exact"/>
        <w:ind w:firstLine="640" w:firstLineChars="200"/>
        <w:rPr>
          <w:rFonts w:ascii="方正黑体_GBK" w:hAnsi="Times New Roman" w:eastAsia="方正黑体_GBK"/>
          <w:snapToGrid w:val="0"/>
          <w:kern w:val="0"/>
          <w:sz w:val="32"/>
          <w:szCs w:val="32"/>
        </w:rPr>
      </w:pPr>
      <w:r>
        <w:rPr>
          <w:rFonts w:hint="eastAsia" w:ascii="方正黑体_GBK" w:hAnsi="Times New Roman" w:eastAsia="方正黑体_GBK"/>
          <w:snapToGrid w:val="0"/>
          <w:kern w:val="0"/>
          <w:sz w:val="32"/>
          <w:szCs w:val="32"/>
        </w:rPr>
        <w:t>（一）经济运行保持稳中有进</w:t>
      </w:r>
    </w:p>
    <w:p w14:paraId="57231DE4">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bCs/>
          <w:snapToGrid w:val="0"/>
          <w:kern w:val="0"/>
          <w:sz w:val="32"/>
          <w:szCs w:val="32"/>
        </w:rPr>
        <w:t>有效应对复杂多变的形势和挑战，迎难而上、扎实工作，推动经济持续健康发展。</w:t>
      </w:r>
    </w:p>
    <w:p w14:paraId="58266033">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楷体_GBK"/>
          <w:snapToGrid w:val="0"/>
          <w:kern w:val="0"/>
          <w:sz w:val="32"/>
          <w:szCs w:val="32"/>
        </w:rPr>
        <w:t>经济实力实现新攀升。</w:t>
      </w:r>
      <w:r>
        <w:rPr>
          <w:rFonts w:ascii="Times New Roman" w:hAnsi="Times New Roman" w:eastAsia="方正仿宋_GBK"/>
          <w:bCs/>
          <w:snapToGrid w:val="0"/>
          <w:kern w:val="0"/>
          <w:sz w:val="32"/>
          <w:szCs w:val="32"/>
        </w:rPr>
        <w:t>主要指标稳步增长，全年预计实现地区生产总值808亿元，同比增长8%；一般公共预算收入80.5亿元，增长34.3%，剔除金融业税收下放因素，实际增长8%；税收收入占一般公共预算收入95.7%；全社会固定资产投资175亿元，同比增长10%；社会消费品零售总额554.6亿元，同比增长9%；实际利用外资2亿美元，外贸进出口560亿元，服务外包执行额24.1亿美元，服务贸易额3.6亿美元。人均地区生产总值发展指数、服务业增加值占比等多项高质量发展监测评价指标走在全市前列。</w:t>
      </w:r>
    </w:p>
    <w:p w14:paraId="136B4323">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楷体_GBK"/>
          <w:snapToGrid w:val="0"/>
          <w:kern w:val="0"/>
          <w:sz w:val="32"/>
          <w:szCs w:val="32"/>
        </w:rPr>
        <w:t>转型升级迈出新步伐。</w:t>
      </w:r>
      <w:r>
        <w:rPr>
          <w:rFonts w:ascii="Times New Roman" w:hAnsi="Times New Roman" w:eastAsia="方正仿宋_GBK"/>
          <w:bCs/>
          <w:snapToGrid w:val="0"/>
          <w:kern w:val="0"/>
          <w:sz w:val="32"/>
          <w:szCs w:val="32"/>
        </w:rPr>
        <w:t>主导产业、优势产业发展态势良好，预计商贸商务业营业收入、软件业务收入、电子商务交易额、生物医药健康产业营业收入增速分别达10.3%、15.5%、20%、21%；金融业、文化产业、旅游业增加值占比分别达20.4%、13.6%、7.7%，已形成高端商贸、现代金融、电子商务三个千亿级产业。市场活力不断释放，新注册企业3</w:t>
      </w:r>
      <w:r>
        <w:rPr>
          <w:rFonts w:hint="eastAsia" w:ascii="Times New Roman" w:hAnsi="Times New Roman" w:eastAsia="方正仿宋_GBK"/>
          <w:bCs/>
          <w:snapToGrid w:val="0"/>
          <w:kern w:val="0"/>
          <w:sz w:val="32"/>
          <w:szCs w:val="32"/>
        </w:rPr>
        <w:t>38</w:t>
      </w:r>
      <w:r>
        <w:rPr>
          <w:rFonts w:ascii="Times New Roman" w:hAnsi="Times New Roman" w:eastAsia="方正仿宋_GBK"/>
          <w:bCs/>
          <w:snapToGrid w:val="0"/>
          <w:kern w:val="0"/>
          <w:sz w:val="32"/>
          <w:szCs w:val="32"/>
        </w:rPr>
        <w:t>2家，注册资本总额16</w:t>
      </w:r>
      <w:r>
        <w:rPr>
          <w:rFonts w:hint="eastAsia" w:ascii="Times New Roman" w:hAnsi="Times New Roman" w:eastAsia="方正仿宋_GBK"/>
          <w:bCs/>
          <w:snapToGrid w:val="0"/>
          <w:kern w:val="0"/>
          <w:sz w:val="32"/>
          <w:szCs w:val="32"/>
        </w:rPr>
        <w:t>8</w:t>
      </w:r>
      <w:r>
        <w:rPr>
          <w:rFonts w:ascii="Times New Roman" w:hAnsi="Times New Roman" w:eastAsia="方正仿宋_GBK"/>
          <w:bCs/>
          <w:snapToGrid w:val="0"/>
          <w:kern w:val="0"/>
          <w:sz w:val="32"/>
          <w:szCs w:val="32"/>
        </w:rPr>
        <w:t>.</w:t>
      </w:r>
      <w:r>
        <w:rPr>
          <w:rFonts w:hint="eastAsia" w:ascii="Times New Roman" w:hAnsi="Times New Roman" w:eastAsia="方正仿宋_GBK"/>
          <w:bCs/>
          <w:snapToGrid w:val="0"/>
          <w:kern w:val="0"/>
          <w:sz w:val="32"/>
          <w:szCs w:val="32"/>
        </w:rPr>
        <w:t>6</w:t>
      </w:r>
      <w:r>
        <w:rPr>
          <w:rFonts w:ascii="Times New Roman" w:hAnsi="Times New Roman" w:eastAsia="方正仿宋_GBK"/>
          <w:bCs/>
          <w:snapToGrid w:val="0"/>
          <w:kern w:val="0"/>
          <w:sz w:val="32"/>
          <w:szCs w:val="32"/>
        </w:rPr>
        <w:t>亿元。新增税收亿元楼宇5幢、上市及挂牌企业2家、市独角兽企业</w:t>
      </w:r>
      <w:r>
        <w:rPr>
          <w:rFonts w:ascii="Times New Roman" w:hAnsi="Times New Roman" w:eastAsia="方正仿宋_GBK"/>
          <w:bCs/>
          <w:snapToGrid w:val="0"/>
          <w:kern w:val="0"/>
          <w:sz w:val="32"/>
          <w:szCs w:val="32"/>
          <w:vertAlign w:val="superscript"/>
        </w:rPr>
        <w:t>1</w:t>
      </w:r>
      <w:r>
        <w:rPr>
          <w:rFonts w:ascii="Times New Roman" w:hAnsi="Times New Roman" w:eastAsia="方正仿宋_GBK"/>
          <w:bCs/>
          <w:snapToGrid w:val="0"/>
          <w:kern w:val="0"/>
          <w:sz w:val="32"/>
          <w:szCs w:val="32"/>
        </w:rPr>
        <w:t>3家、市瞪羚企业</w:t>
      </w:r>
      <w:r>
        <w:rPr>
          <w:rFonts w:ascii="Times New Roman" w:hAnsi="Times New Roman" w:eastAsia="方正仿宋_GBK"/>
          <w:bCs/>
          <w:snapToGrid w:val="0"/>
          <w:kern w:val="0"/>
          <w:sz w:val="32"/>
          <w:szCs w:val="32"/>
          <w:vertAlign w:val="superscript"/>
        </w:rPr>
        <w:t>2</w:t>
      </w:r>
      <w:r>
        <w:rPr>
          <w:rFonts w:ascii="Times New Roman" w:hAnsi="Times New Roman" w:eastAsia="方正仿宋_GBK"/>
          <w:bCs/>
          <w:snapToGrid w:val="0"/>
          <w:kern w:val="0"/>
          <w:sz w:val="32"/>
          <w:szCs w:val="32"/>
        </w:rPr>
        <w:t>5家、</w:t>
      </w:r>
      <w:r>
        <w:rPr>
          <w:rFonts w:hint="eastAsia" w:ascii="方正仿宋_GBK" w:hAnsi="Times New Roman" w:eastAsia="方正仿宋_GBK"/>
          <w:bCs/>
          <w:snapToGrid w:val="0"/>
          <w:kern w:val="0"/>
          <w:sz w:val="32"/>
          <w:szCs w:val="32"/>
        </w:rPr>
        <w:t>“四上”</w:t>
      </w:r>
      <w:r>
        <w:rPr>
          <w:rFonts w:ascii="Times New Roman" w:hAnsi="Times New Roman" w:eastAsia="方正仿宋_GBK"/>
          <w:bCs/>
          <w:snapToGrid w:val="0"/>
          <w:kern w:val="0"/>
          <w:sz w:val="32"/>
          <w:szCs w:val="32"/>
        </w:rPr>
        <w:t>企业</w:t>
      </w:r>
      <w:r>
        <w:rPr>
          <w:rFonts w:ascii="Times New Roman" w:hAnsi="Times New Roman" w:eastAsia="方正仿宋_GBK"/>
          <w:bCs/>
          <w:snapToGrid w:val="0"/>
          <w:kern w:val="0"/>
          <w:sz w:val="32"/>
          <w:szCs w:val="32"/>
          <w:vertAlign w:val="superscript"/>
        </w:rPr>
        <w:t>3</w:t>
      </w:r>
      <w:r>
        <w:rPr>
          <w:rFonts w:ascii="Times New Roman" w:hAnsi="Times New Roman" w:eastAsia="方正仿宋_GBK"/>
          <w:bCs/>
          <w:snapToGrid w:val="0"/>
          <w:kern w:val="0"/>
          <w:sz w:val="32"/>
          <w:szCs w:val="32"/>
        </w:rPr>
        <w:t>105家。新增马德里商标1件、省名牌产品6件，制定发布国家标准13项，完成首届区长质量奖评选。开展第四次经济普查清查，编制发布玄武产业发展地图，成立金融、软件信息、生物医药健康等一批重点产业协会。</w:t>
      </w:r>
    </w:p>
    <w:p w14:paraId="052DF893">
      <w:pPr>
        <w:adjustRightInd w:val="0"/>
        <w:snapToGrid w:val="0"/>
        <w:spacing w:line="60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产业项目取得新突破。</w:t>
      </w:r>
      <w:r>
        <w:rPr>
          <w:rFonts w:ascii="Times New Roman" w:hAnsi="Times New Roman" w:eastAsia="方正仿宋_GBK"/>
          <w:bCs/>
          <w:snapToGrid w:val="0"/>
          <w:kern w:val="0"/>
          <w:sz w:val="32"/>
          <w:szCs w:val="32"/>
        </w:rPr>
        <w:t>铁北孵化集群等29个项目开工建设，熊猫中央广场一期等22个项目竣工投产，新建改造产业载体面积77万平方米，完成投资110亿元。浦发银行等9个总部项目正式进驻，德国医谷国际联创中心等8个科技创新项目落地运营，百子亭等4幅共23.1公顷土地完成挂牌，</w:t>
      </w:r>
      <w:r>
        <w:rPr>
          <w:rFonts w:ascii="Times New Roman" w:hAnsi="Times New Roman" w:eastAsia="方正仿宋_GBK"/>
          <w:sz w:val="32"/>
          <w:szCs w:val="32"/>
        </w:rPr>
        <w:t>未来城B座、联通大厦等30万平方米低效载体全面转型升级。彻底化解</w:t>
      </w:r>
      <w:r>
        <w:rPr>
          <w:rFonts w:ascii="Times New Roman" w:hAnsi="Times New Roman" w:eastAsia="方正仿宋_GBK"/>
          <w:bCs/>
          <w:snapToGrid w:val="0"/>
          <w:kern w:val="0"/>
          <w:sz w:val="32"/>
          <w:szCs w:val="32"/>
        </w:rPr>
        <w:t>南京</w:t>
      </w:r>
      <w:r>
        <w:rPr>
          <w:rFonts w:ascii="Times New Roman" w:hAnsi="Times New Roman" w:eastAsia="方正仿宋_GBK"/>
          <w:snapToGrid w:val="0"/>
          <w:kern w:val="0"/>
          <w:sz w:val="32"/>
          <w:szCs w:val="32"/>
        </w:rPr>
        <w:t>烟厂碑亭巷老厂区遗留问题，4.2万平方米载体展开招商</w:t>
      </w:r>
      <w:r>
        <w:rPr>
          <w:rFonts w:ascii="Times New Roman" w:hAnsi="Times New Roman" w:eastAsia="方正仿宋_GBK"/>
          <w:bCs/>
          <w:snapToGrid w:val="0"/>
          <w:kern w:val="0"/>
          <w:sz w:val="32"/>
          <w:szCs w:val="32"/>
        </w:rPr>
        <w:t>。</w:t>
      </w:r>
      <w:r>
        <w:rPr>
          <w:rFonts w:ascii="Times New Roman" w:hAnsi="Times New Roman" w:eastAsia="方正仿宋_GBK"/>
          <w:sz w:val="32"/>
          <w:szCs w:val="32"/>
        </w:rPr>
        <w:t>招引</w:t>
      </w:r>
      <w:r>
        <w:rPr>
          <w:rFonts w:ascii="Times New Roman" w:hAnsi="Times New Roman" w:eastAsia="方正仿宋_GBK"/>
          <w:bCs/>
          <w:snapToGrid w:val="0"/>
          <w:kern w:val="0"/>
          <w:sz w:val="32"/>
          <w:szCs w:val="32"/>
        </w:rPr>
        <w:t>魔方中国等23个高端商贸项目、英伟达技术创新中心等36个新兴产业项目落地，签约项目投资总额、实际使用内资额、合同利用外资额分别达407亿元、30.5亿元、3.5亿美元。</w:t>
      </w:r>
    </w:p>
    <w:p w14:paraId="5D514255">
      <w:pPr>
        <w:adjustRightInd w:val="0"/>
        <w:snapToGrid w:val="0"/>
        <w:spacing w:line="600" w:lineRule="exact"/>
        <w:ind w:firstLine="640" w:firstLineChars="200"/>
        <w:rPr>
          <w:rFonts w:ascii="Times New Roman" w:hAnsi="Times New Roman" w:eastAsia="楷体"/>
          <w:bCs/>
          <w:snapToGrid w:val="0"/>
          <w:kern w:val="0"/>
          <w:sz w:val="32"/>
          <w:szCs w:val="32"/>
        </w:rPr>
      </w:pPr>
      <w:r>
        <w:rPr>
          <w:rFonts w:ascii="Times New Roman" w:hAnsi="Times New Roman" w:eastAsia="方正楷体_GBK"/>
          <w:snapToGrid w:val="0"/>
          <w:kern w:val="0"/>
          <w:sz w:val="32"/>
          <w:szCs w:val="32"/>
        </w:rPr>
        <w:t>科技创新激发新活力。</w:t>
      </w:r>
      <w:r>
        <w:rPr>
          <w:rFonts w:ascii="Times New Roman" w:hAnsi="Times New Roman" w:eastAsia="方正仿宋_GBK"/>
          <w:bCs/>
          <w:snapToGrid w:val="0"/>
          <w:kern w:val="0"/>
          <w:sz w:val="32"/>
          <w:szCs w:val="32"/>
        </w:rPr>
        <w:t>深入推进</w:t>
      </w:r>
      <w:r>
        <w:rPr>
          <w:rFonts w:hint="eastAsia" w:ascii="方正仿宋_GBK" w:hAnsi="Times New Roman" w:eastAsia="方正仿宋_GBK"/>
          <w:bCs/>
          <w:snapToGrid w:val="0"/>
          <w:kern w:val="0"/>
          <w:sz w:val="32"/>
          <w:szCs w:val="32"/>
        </w:rPr>
        <w:t>“两落地一融合”</w:t>
      </w:r>
      <w:r>
        <w:rPr>
          <w:rFonts w:ascii="Times New Roman" w:hAnsi="Times New Roman" w:eastAsia="方正仿宋_GBK"/>
          <w:bCs/>
          <w:snapToGrid w:val="0"/>
          <w:kern w:val="0"/>
          <w:sz w:val="32"/>
          <w:szCs w:val="32"/>
          <w:vertAlign w:val="superscript"/>
        </w:rPr>
        <w:t>4</w:t>
      </w:r>
      <w:r>
        <w:rPr>
          <w:rFonts w:ascii="Times New Roman" w:hAnsi="Times New Roman" w:eastAsia="方正仿宋_GBK"/>
          <w:bCs/>
          <w:snapToGrid w:val="0"/>
          <w:kern w:val="0"/>
          <w:sz w:val="32"/>
          <w:szCs w:val="32"/>
        </w:rPr>
        <w:t>，出台《玄武区鼓励科技创新的八条意见》，与东南大学、省农科院等10家高校院所开展深度合作，完成南京云智控产业技术研究院等4家新型研发机构备案，整合南理工科技创新园、玄武科技金融园等25万平方米创新空间，规划建设东大</w:t>
      </w:r>
      <w:r>
        <w:rPr>
          <w:rFonts w:hint="eastAsia" w:ascii="Times New Roman" w:hAnsi="Times New Roman" w:eastAsia="方正仿宋_GBK"/>
          <w:bCs/>
          <w:snapToGrid w:val="0"/>
          <w:kern w:val="0"/>
          <w:sz w:val="32"/>
          <w:szCs w:val="32"/>
        </w:rPr>
        <w:t>·</w:t>
      </w:r>
      <w:r>
        <w:rPr>
          <w:rFonts w:ascii="Times New Roman" w:hAnsi="Times New Roman" w:eastAsia="方正仿宋_GBK"/>
          <w:bCs/>
          <w:snapToGrid w:val="0"/>
          <w:kern w:val="0"/>
          <w:sz w:val="32"/>
          <w:szCs w:val="32"/>
        </w:rPr>
        <w:t>南京设计名城、农业服务</w:t>
      </w:r>
      <w:r>
        <w:rPr>
          <w:rFonts w:ascii="Times New Roman" w:hAnsi="Times New Roman" w:eastAsia="方正仿宋_GBK"/>
          <w:bCs/>
          <w:snapToGrid w:val="0"/>
          <w:spacing w:val="-6"/>
          <w:kern w:val="0"/>
          <w:sz w:val="32"/>
          <w:szCs w:val="32"/>
        </w:rPr>
        <w:t>业科技创新园。徐庄高新区</w:t>
      </w:r>
      <w:r>
        <w:rPr>
          <w:rFonts w:hint="eastAsia" w:ascii="方正仿宋_GBK" w:hAnsi="Times New Roman" w:eastAsia="方正仿宋_GBK"/>
          <w:bCs/>
          <w:snapToGrid w:val="0"/>
          <w:spacing w:val="-6"/>
          <w:kern w:val="0"/>
          <w:sz w:val="32"/>
          <w:szCs w:val="32"/>
        </w:rPr>
        <w:t>“一区五园”</w:t>
      </w:r>
      <w:r>
        <w:rPr>
          <w:rFonts w:ascii="Times New Roman" w:hAnsi="Times New Roman" w:eastAsia="方正仿宋_GBK"/>
          <w:bCs/>
          <w:snapToGrid w:val="0"/>
          <w:spacing w:val="-6"/>
          <w:kern w:val="0"/>
          <w:sz w:val="32"/>
          <w:szCs w:val="32"/>
          <w:vertAlign w:val="superscript"/>
        </w:rPr>
        <w:t>5</w:t>
      </w:r>
      <w:r>
        <w:rPr>
          <w:rFonts w:ascii="Times New Roman" w:hAnsi="Times New Roman" w:eastAsia="方正仿宋_GBK"/>
          <w:bCs/>
          <w:snapToGrid w:val="0"/>
          <w:spacing w:val="-6"/>
          <w:kern w:val="0"/>
          <w:sz w:val="32"/>
          <w:szCs w:val="32"/>
        </w:rPr>
        <w:t>协调联动，提前成功去筹</w:t>
      </w:r>
      <w:r>
        <w:rPr>
          <w:rFonts w:ascii="Times New Roman" w:hAnsi="Times New Roman" w:eastAsia="方正仿宋_GBK"/>
          <w:bCs/>
          <w:snapToGrid w:val="0"/>
          <w:kern w:val="0"/>
          <w:sz w:val="32"/>
          <w:szCs w:val="32"/>
          <w:vertAlign w:val="superscript"/>
        </w:rPr>
        <w:t>6</w:t>
      </w:r>
      <w:r>
        <w:rPr>
          <w:rFonts w:ascii="Times New Roman" w:hAnsi="Times New Roman" w:eastAsia="方正仿宋_GBK"/>
          <w:bCs/>
          <w:snapToGrid w:val="0"/>
          <w:kern w:val="0"/>
          <w:sz w:val="32"/>
          <w:szCs w:val="32"/>
        </w:rPr>
        <w:t>，创成省级高新技术产业开发区。升级</w:t>
      </w:r>
      <w:r>
        <w:rPr>
          <w:rFonts w:hint="eastAsia" w:ascii="方正仿宋_GBK" w:hAnsi="Times New Roman" w:eastAsia="方正仿宋_GBK"/>
          <w:bCs/>
          <w:snapToGrid w:val="0"/>
          <w:kern w:val="0"/>
          <w:sz w:val="32"/>
          <w:szCs w:val="32"/>
        </w:rPr>
        <w:t>“创业玄武”</w:t>
      </w:r>
      <w:r>
        <w:rPr>
          <w:rFonts w:ascii="Times New Roman" w:hAnsi="Times New Roman" w:eastAsia="方正仿宋_GBK"/>
          <w:bCs/>
          <w:snapToGrid w:val="0"/>
          <w:kern w:val="0"/>
          <w:sz w:val="32"/>
          <w:szCs w:val="32"/>
        </w:rPr>
        <w:t>人才政策体系，实施</w:t>
      </w:r>
      <w:r>
        <w:rPr>
          <w:rFonts w:hint="eastAsia" w:ascii="方正仿宋_GBK" w:hAnsi="Times New Roman" w:eastAsia="方正仿宋_GBK"/>
          <w:bCs/>
          <w:snapToGrid w:val="0"/>
          <w:kern w:val="0"/>
          <w:sz w:val="32"/>
          <w:szCs w:val="32"/>
        </w:rPr>
        <w:t>“领创之路·凤栖玄梧”</w:t>
      </w:r>
      <w:r>
        <w:rPr>
          <w:rFonts w:ascii="Times New Roman" w:hAnsi="Times New Roman" w:eastAsia="方正仿宋_GBK"/>
          <w:bCs/>
          <w:snapToGrid w:val="0"/>
          <w:kern w:val="0"/>
          <w:sz w:val="32"/>
          <w:szCs w:val="32"/>
        </w:rPr>
        <w:t>行动计划</w:t>
      </w:r>
      <w:r>
        <w:rPr>
          <w:rFonts w:ascii="Times New Roman" w:hAnsi="Times New Roman" w:eastAsia="方正仿宋_GBK"/>
          <w:bCs/>
          <w:snapToGrid w:val="0"/>
          <w:kern w:val="0"/>
          <w:sz w:val="32"/>
          <w:szCs w:val="32"/>
          <w:vertAlign w:val="superscript"/>
        </w:rPr>
        <w:t>7</w:t>
      </w:r>
      <w:r>
        <w:rPr>
          <w:rFonts w:ascii="Times New Roman" w:hAnsi="Times New Roman" w:eastAsia="方正仿宋_GBK"/>
          <w:bCs/>
          <w:snapToGrid w:val="0"/>
          <w:kern w:val="0"/>
          <w:sz w:val="32"/>
          <w:szCs w:val="32"/>
        </w:rPr>
        <w:t>，</w:t>
      </w:r>
      <w:r>
        <w:rPr>
          <w:rFonts w:ascii="Times New Roman" w:hAnsi="Times New Roman" w:eastAsia="方正仿宋_GBK"/>
          <w:snapToGrid w:val="0"/>
          <w:kern w:val="0"/>
          <w:sz w:val="32"/>
          <w:szCs w:val="32"/>
        </w:rPr>
        <w:t>引进、培育</w:t>
      </w:r>
      <w:r>
        <w:rPr>
          <w:rFonts w:ascii="Times New Roman" w:hAnsi="Times New Roman" w:eastAsia="方正仿宋_GBK"/>
          <w:bCs/>
          <w:snapToGrid w:val="0"/>
          <w:kern w:val="0"/>
          <w:sz w:val="32"/>
          <w:szCs w:val="32"/>
        </w:rPr>
        <w:t>国家、省、市高端人才166人。新增高新技术企业75家，同比增幅达275%。PCT</w:t>
      </w:r>
      <w:r>
        <w:rPr>
          <w:rFonts w:ascii="Times New Roman" w:hAnsi="Times New Roman" w:eastAsia="方正仿宋_GBK"/>
          <w:bCs/>
          <w:snapToGrid w:val="0"/>
          <w:kern w:val="0"/>
          <w:sz w:val="32"/>
          <w:szCs w:val="32"/>
          <w:vertAlign w:val="superscript"/>
        </w:rPr>
        <w:t>8</w:t>
      </w:r>
      <w:r>
        <w:rPr>
          <w:rFonts w:ascii="Times New Roman" w:hAnsi="Times New Roman" w:eastAsia="方正仿宋_GBK"/>
          <w:bCs/>
          <w:snapToGrid w:val="0"/>
          <w:kern w:val="0"/>
          <w:sz w:val="32"/>
          <w:szCs w:val="32"/>
        </w:rPr>
        <w:t>专利申请量和有效发明专利拥有量分别达128件、9474件。新增市级以上备案众创空间7家、市级科技企业孵化器2家。组建10亿元创投基金，</w:t>
      </w:r>
      <w:r>
        <w:rPr>
          <w:rFonts w:hint="eastAsia" w:ascii="方正仿宋_GBK" w:hAnsi="Times New Roman" w:eastAsia="方正仿宋_GBK"/>
          <w:bCs/>
          <w:snapToGrid w:val="0"/>
          <w:kern w:val="0"/>
          <w:sz w:val="32"/>
          <w:szCs w:val="32"/>
        </w:rPr>
        <w:t>“双创”</w:t>
      </w:r>
      <w:r>
        <w:rPr>
          <w:rFonts w:ascii="Times New Roman" w:hAnsi="Times New Roman" w:eastAsia="方正仿宋_GBK"/>
          <w:bCs/>
          <w:snapToGrid w:val="0"/>
          <w:kern w:val="0"/>
          <w:sz w:val="32"/>
          <w:szCs w:val="32"/>
        </w:rPr>
        <w:t>企业获得天使轮以上融资超过12亿元。</w:t>
      </w:r>
    </w:p>
    <w:p w14:paraId="6840D25F">
      <w:pPr>
        <w:adjustRightInd w:val="0"/>
        <w:snapToGrid w:val="0"/>
        <w:spacing w:line="600" w:lineRule="exact"/>
        <w:ind w:firstLine="640" w:firstLineChars="200"/>
        <w:rPr>
          <w:rFonts w:ascii="方正黑体_GBK" w:hAnsi="Times New Roman" w:eastAsia="方正黑体_GBK"/>
          <w:snapToGrid w:val="0"/>
          <w:kern w:val="0"/>
          <w:sz w:val="32"/>
          <w:szCs w:val="32"/>
        </w:rPr>
      </w:pPr>
      <w:r>
        <w:rPr>
          <w:rFonts w:ascii="方正黑体_GBK" w:hAnsi="Times New Roman" w:eastAsia="方正黑体_GBK"/>
          <w:snapToGrid w:val="0"/>
          <w:kern w:val="0"/>
          <w:sz w:val="32"/>
          <w:szCs w:val="32"/>
        </w:rPr>
        <w:t>（二）城市功能更加健全完善</w:t>
      </w:r>
    </w:p>
    <w:p w14:paraId="120197AA">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坚持精细化理念，扎实推进城市规划建设管理各项工作，区域环境面貌、功能品质持续改善。</w:t>
      </w:r>
    </w:p>
    <w:p w14:paraId="6D1F4ABB">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楷体_GBK"/>
          <w:snapToGrid w:val="0"/>
          <w:kern w:val="0"/>
          <w:sz w:val="32"/>
          <w:szCs w:val="32"/>
        </w:rPr>
        <w:t>老城更新扩面提质。</w:t>
      </w:r>
      <w:r>
        <w:rPr>
          <w:rFonts w:ascii="Times New Roman" w:hAnsi="Times New Roman" w:eastAsia="方正仿宋_GBK"/>
          <w:bCs/>
          <w:snapToGrid w:val="0"/>
          <w:kern w:val="0"/>
          <w:sz w:val="32"/>
          <w:szCs w:val="32"/>
        </w:rPr>
        <w:t>以环东大、兰家庄、明城墙三大核心片区为重点，实施6个棚户区改造和3个环境综合整治征收项目，共计40万平方米。提高铁北片区交通通达性，建设北苑东路等6条共5公里道路。精细实施中山门大街等3条主次干道及九华山路等30条街巷综合整治，实现60公里强弱电管线下地。完成内秦淮河东段、玉带河、珍珠河4.3公里岸线整治，内秦淮河流域内重要水体岸线全部贯通。完成66个老旧小区整治，总建筑面积达106万平方米；开展小区楼顶治漏3.1万平方米，平整小区外出行道路30条，完成供水低压片区设施改造16个，新增机动车泊位2254个。既有住宅增设电梯常态化服务机制初步建立，累计</w:t>
      </w:r>
      <w:r>
        <w:rPr>
          <w:rFonts w:ascii="Times New Roman" w:hAnsi="Times New Roman" w:eastAsia="方正仿宋_GBK"/>
          <w:snapToGrid w:val="0"/>
          <w:kern w:val="0"/>
          <w:sz w:val="32"/>
          <w:szCs w:val="32"/>
        </w:rPr>
        <w:t>取得规划许可证784个，</w:t>
      </w:r>
      <w:r>
        <w:rPr>
          <w:rFonts w:ascii="Times New Roman" w:hAnsi="Times New Roman" w:eastAsia="方正仿宋_GBK"/>
          <w:bCs/>
          <w:snapToGrid w:val="0"/>
          <w:kern w:val="0"/>
          <w:sz w:val="32"/>
          <w:szCs w:val="32"/>
        </w:rPr>
        <w:t>完成施工许可手续665个</w:t>
      </w:r>
      <w:r>
        <w:rPr>
          <w:rFonts w:ascii="Times New Roman" w:hAnsi="Times New Roman" w:eastAsia="方正仿宋_GBK"/>
          <w:snapToGrid w:val="0"/>
          <w:kern w:val="0"/>
          <w:sz w:val="32"/>
          <w:szCs w:val="32"/>
        </w:rPr>
        <w:t>，</w:t>
      </w:r>
      <w:r>
        <w:rPr>
          <w:rFonts w:ascii="Times New Roman" w:hAnsi="Times New Roman" w:eastAsia="方正仿宋_GBK"/>
          <w:bCs/>
          <w:snapToGrid w:val="0"/>
          <w:kern w:val="0"/>
          <w:sz w:val="32"/>
          <w:szCs w:val="32"/>
        </w:rPr>
        <w:t>开工建设512部，竣工350部；在市相关政策基础上，补充制定25个配套办法和实施细则；租赁式电梯、增梯公共账户等新做法受到群众普遍欢迎。</w:t>
      </w:r>
    </w:p>
    <w:p w14:paraId="4D0A5C06">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楷体_GBK"/>
          <w:snapToGrid w:val="0"/>
          <w:kern w:val="0"/>
          <w:sz w:val="32"/>
          <w:szCs w:val="32"/>
        </w:rPr>
        <w:t>城市管理多点发力。</w:t>
      </w:r>
      <w:r>
        <w:rPr>
          <w:rFonts w:ascii="Times New Roman" w:hAnsi="Times New Roman" w:eastAsia="方正仿宋_GBK"/>
          <w:bCs/>
          <w:snapToGrid w:val="0"/>
          <w:kern w:val="0"/>
          <w:sz w:val="32"/>
          <w:szCs w:val="32"/>
        </w:rPr>
        <w:t>新建10个城管服务站，对街巷实行差异化管理，持续开展</w:t>
      </w:r>
      <w:r>
        <w:rPr>
          <w:rFonts w:hint="eastAsia" w:ascii="方正仿宋_GBK" w:hAnsi="Times New Roman" w:eastAsia="方正仿宋_GBK"/>
          <w:bCs/>
          <w:snapToGrid w:val="0"/>
          <w:kern w:val="0"/>
          <w:sz w:val="32"/>
          <w:szCs w:val="32"/>
        </w:rPr>
        <w:t>“雷霆行动”</w:t>
      </w:r>
      <w:r>
        <w:rPr>
          <w:rFonts w:ascii="Times New Roman" w:hAnsi="Times New Roman" w:eastAsia="方正仿宋_GBK"/>
          <w:bCs/>
          <w:snapToGrid w:val="0"/>
          <w:kern w:val="0"/>
          <w:sz w:val="32"/>
          <w:szCs w:val="32"/>
          <w:vertAlign w:val="superscript"/>
        </w:rPr>
        <w:t>9</w:t>
      </w:r>
      <w:r>
        <w:rPr>
          <w:rFonts w:ascii="Times New Roman" w:hAnsi="Times New Roman" w:eastAsia="方正仿宋_GBK"/>
          <w:bCs/>
          <w:snapToGrid w:val="0"/>
          <w:kern w:val="0"/>
          <w:sz w:val="32"/>
          <w:szCs w:val="32"/>
        </w:rPr>
        <w:t>，加强地铁站点周边等窗口地区常态化整治。治理违建20.3万平方米，其中楼顶违建2万平方米。结合历史文化挖掘和展示，新命名聚宝路等25条道路街巷、西杨坊桥等20座桥梁。完善环卫设施布局，推进尧红路400吨垃圾中转站及岔路口环卫场点建设，垃圾中转点100%密闭化压缩中转。提升环卫机械化水平，全区道路机扫率达95%。采用PPP模式引进环卫保洁市场化专业主体</w:t>
      </w:r>
      <w:r>
        <w:rPr>
          <w:rFonts w:ascii="Times New Roman" w:hAnsi="Times New Roman" w:eastAsia="方正仿宋_GBK"/>
          <w:bCs/>
          <w:sz w:val="32"/>
          <w:szCs w:val="32"/>
        </w:rPr>
        <w:t>，有序推进城管协管员市场化改革试点，不断夯实</w:t>
      </w:r>
      <w:r>
        <w:rPr>
          <w:rFonts w:ascii="Times New Roman" w:hAnsi="Times New Roman" w:eastAsia="方正仿宋_GBK"/>
          <w:bCs/>
          <w:snapToGrid w:val="0"/>
          <w:kern w:val="0"/>
          <w:sz w:val="32"/>
          <w:szCs w:val="32"/>
        </w:rPr>
        <w:t>城市长效管理基础。</w:t>
      </w:r>
    </w:p>
    <w:p w14:paraId="25F44CAF">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楷体_GBK"/>
          <w:snapToGrid w:val="0"/>
          <w:kern w:val="0"/>
          <w:sz w:val="32"/>
          <w:szCs w:val="32"/>
        </w:rPr>
        <w:t>生态环保攻坚克难。</w:t>
      </w:r>
      <w:r>
        <w:rPr>
          <w:rFonts w:ascii="Times New Roman" w:hAnsi="Times New Roman" w:eastAsia="方正仿宋_GBK"/>
          <w:bCs/>
          <w:snapToGrid w:val="0"/>
          <w:kern w:val="0"/>
          <w:sz w:val="32"/>
          <w:szCs w:val="32"/>
        </w:rPr>
        <w:t>坚决落实整改中央环保督察</w:t>
      </w:r>
      <w:r>
        <w:rPr>
          <w:rFonts w:hint="eastAsia" w:ascii="方正仿宋_GBK" w:hAnsi="Times New Roman" w:eastAsia="方正仿宋_GBK"/>
          <w:bCs/>
          <w:snapToGrid w:val="0"/>
          <w:kern w:val="0"/>
          <w:sz w:val="32"/>
          <w:szCs w:val="32"/>
        </w:rPr>
        <w:t>“回头看”</w:t>
      </w:r>
      <w:r>
        <w:rPr>
          <w:rFonts w:ascii="Times New Roman" w:hAnsi="Times New Roman" w:eastAsia="方正仿宋_GBK"/>
          <w:bCs/>
          <w:snapToGrid w:val="0"/>
          <w:kern w:val="0"/>
          <w:sz w:val="32"/>
          <w:szCs w:val="32"/>
        </w:rPr>
        <w:t>反馈问题，对56件信访交办件即知即改、即交即办。强力推进</w:t>
      </w:r>
      <w:r>
        <w:rPr>
          <w:rFonts w:hint="eastAsia" w:ascii="方正仿宋_GBK" w:hAnsi="Times New Roman" w:eastAsia="方正仿宋_GBK"/>
          <w:bCs/>
          <w:snapToGrid w:val="0"/>
          <w:kern w:val="0"/>
          <w:sz w:val="32"/>
          <w:szCs w:val="32"/>
        </w:rPr>
        <w:t>“</w:t>
      </w:r>
      <w:r>
        <w:rPr>
          <w:rFonts w:ascii="Times New Roman" w:hAnsi="Times New Roman" w:eastAsia="方正仿宋_GBK"/>
          <w:bCs/>
          <w:snapToGrid w:val="0"/>
          <w:kern w:val="0"/>
          <w:sz w:val="32"/>
          <w:szCs w:val="32"/>
        </w:rPr>
        <w:t>263</w:t>
      </w:r>
      <w:r>
        <w:rPr>
          <w:rFonts w:hint="eastAsia" w:ascii="方正仿宋_GBK" w:hAnsi="Times New Roman" w:eastAsia="方正仿宋_GBK"/>
          <w:bCs/>
          <w:snapToGrid w:val="0"/>
          <w:kern w:val="0"/>
          <w:sz w:val="32"/>
          <w:szCs w:val="32"/>
        </w:rPr>
        <w:t>”</w:t>
      </w:r>
      <w:r>
        <w:rPr>
          <w:rFonts w:ascii="Times New Roman" w:hAnsi="Times New Roman" w:eastAsia="方正仿宋_GBK"/>
          <w:bCs/>
          <w:snapToGrid w:val="0"/>
          <w:kern w:val="0"/>
          <w:sz w:val="32"/>
          <w:szCs w:val="32"/>
        </w:rPr>
        <w:t>专项行动</w:t>
      </w:r>
      <w:r>
        <w:rPr>
          <w:rFonts w:ascii="Times New Roman" w:hAnsi="Times New Roman" w:eastAsia="方正仿宋_GBK"/>
          <w:bCs/>
          <w:snapToGrid w:val="0"/>
          <w:kern w:val="0"/>
          <w:sz w:val="32"/>
          <w:szCs w:val="32"/>
          <w:vertAlign w:val="superscript"/>
        </w:rPr>
        <w:t>10</w:t>
      </w:r>
      <w:r>
        <w:rPr>
          <w:rFonts w:ascii="Times New Roman" w:hAnsi="Times New Roman" w:eastAsia="方正仿宋_GBK"/>
          <w:bCs/>
          <w:snapToGrid w:val="0"/>
          <w:kern w:val="0"/>
          <w:sz w:val="32"/>
          <w:szCs w:val="32"/>
        </w:rPr>
        <w:t>，坚持问题导向，健全长效机制。在基本消除区内黑臭水体基础上，对珍珠河等10条河道进行水环境整治再提升，实施141个片区雨污分流改造。办理排水许</w:t>
      </w:r>
      <w:r>
        <w:rPr>
          <w:rFonts w:ascii="Times New Roman" w:hAnsi="Times New Roman" w:eastAsia="方正仿宋_GBK"/>
          <w:bCs/>
          <w:snapToGrid w:val="0"/>
          <w:spacing w:val="-6"/>
          <w:kern w:val="0"/>
          <w:sz w:val="32"/>
          <w:szCs w:val="32"/>
        </w:rPr>
        <w:t>可证2616户，办证率达100%。深化河长制工作，132名四级河长</w:t>
      </w:r>
      <w:r>
        <w:rPr>
          <w:rFonts w:ascii="Times New Roman" w:hAnsi="Times New Roman" w:eastAsia="方正仿宋_GBK"/>
          <w:bCs/>
          <w:snapToGrid w:val="0"/>
          <w:kern w:val="0"/>
          <w:sz w:val="32"/>
          <w:szCs w:val="32"/>
          <w:vertAlign w:val="superscript"/>
        </w:rPr>
        <w:t>11</w:t>
      </w:r>
      <w:r>
        <w:rPr>
          <w:rFonts w:ascii="Times New Roman" w:hAnsi="Times New Roman" w:eastAsia="方正仿宋_GBK"/>
          <w:bCs/>
          <w:snapToGrid w:val="0"/>
          <w:kern w:val="0"/>
          <w:sz w:val="32"/>
          <w:szCs w:val="32"/>
        </w:rPr>
        <w:t>严格履行巡河、治河、护河职责，13条入江河流及5处市考断面水质稳定达标。加强土壤污染源头管控，全力推进生活垃圾分类，配置、更换垃圾分类容器11000个，打造玄武门街道生活垃圾分类示范片区。整治油烟扰民餐饮企业131家，建成红庙等7条特色餐饮油烟整治示范街。开展玄武湖隧道、九华山隧道机动车尾气专项治理，加强</w:t>
      </w:r>
      <w:r>
        <w:rPr>
          <w:rFonts w:hint="eastAsia" w:ascii="方正仿宋_GBK" w:hAnsi="Times New Roman" w:eastAsia="方正仿宋_GBK"/>
          <w:bCs/>
          <w:snapToGrid w:val="0"/>
          <w:kern w:val="0"/>
          <w:sz w:val="32"/>
          <w:szCs w:val="32"/>
        </w:rPr>
        <w:t>“智慧工地”</w:t>
      </w:r>
      <w:r>
        <w:rPr>
          <w:rFonts w:ascii="Times New Roman" w:hAnsi="Times New Roman" w:eastAsia="方正仿宋_GBK"/>
          <w:bCs/>
          <w:snapToGrid w:val="0"/>
          <w:kern w:val="0"/>
          <w:sz w:val="32"/>
          <w:szCs w:val="32"/>
          <w:vertAlign w:val="superscript"/>
        </w:rPr>
        <w:t>12</w:t>
      </w:r>
      <w:r>
        <w:rPr>
          <w:rFonts w:ascii="Times New Roman" w:hAnsi="Times New Roman" w:eastAsia="方正仿宋_GBK"/>
          <w:bCs/>
          <w:snapToGrid w:val="0"/>
          <w:kern w:val="0"/>
          <w:sz w:val="32"/>
          <w:szCs w:val="32"/>
        </w:rPr>
        <w:t>建设，工地扬尘、道路扬尘全面管控到位。</w:t>
      </w:r>
    </w:p>
    <w:p w14:paraId="7BA7B25F">
      <w:pPr>
        <w:adjustRightInd w:val="0"/>
        <w:snapToGrid w:val="0"/>
        <w:spacing w:line="600" w:lineRule="exact"/>
        <w:ind w:firstLine="640" w:firstLineChars="200"/>
        <w:rPr>
          <w:rFonts w:ascii="方正黑体_GBK" w:hAnsi="Times New Roman" w:eastAsia="方正黑体_GBK"/>
          <w:snapToGrid w:val="0"/>
          <w:kern w:val="0"/>
          <w:sz w:val="32"/>
          <w:szCs w:val="32"/>
        </w:rPr>
      </w:pPr>
      <w:r>
        <w:rPr>
          <w:rFonts w:ascii="方正黑体_GBK" w:hAnsi="Times New Roman" w:eastAsia="方正黑体_GBK"/>
          <w:snapToGrid w:val="0"/>
          <w:kern w:val="0"/>
          <w:sz w:val="32"/>
          <w:szCs w:val="32"/>
        </w:rPr>
        <w:t>（三）民生事业稳步扎实推进</w:t>
      </w:r>
    </w:p>
    <w:p w14:paraId="05B35677">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加大保障改善民生工作力度，加强基本公共服务，解决好群众关心的关键小事，30件民生实事全部完成。</w:t>
      </w:r>
    </w:p>
    <w:p w14:paraId="4FC2832A">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楷体_GBK"/>
          <w:snapToGrid w:val="0"/>
          <w:kern w:val="0"/>
          <w:sz w:val="32"/>
          <w:szCs w:val="32"/>
        </w:rPr>
        <w:t>公共服务水平不断提升。</w:t>
      </w:r>
      <w:r>
        <w:rPr>
          <w:rFonts w:ascii="Times New Roman" w:hAnsi="Times New Roman" w:eastAsia="方正仿宋_GBK"/>
          <w:bCs/>
          <w:sz w:val="32"/>
          <w:szCs w:val="32"/>
        </w:rPr>
        <w:t>启动教育布局优化调整，出台《玄武区新名校发展计划》</w:t>
      </w:r>
      <w:r>
        <w:rPr>
          <w:rFonts w:ascii="Times New Roman" w:hAnsi="Times New Roman" w:eastAsia="方正仿宋_GBK"/>
          <w:bCs/>
          <w:snapToGrid w:val="0"/>
          <w:sz w:val="32"/>
          <w:szCs w:val="32"/>
        </w:rPr>
        <w:t>，增加各阶段学位供给，</w:t>
      </w:r>
      <w:r>
        <w:rPr>
          <w:rFonts w:ascii="Times New Roman" w:hAnsi="Times New Roman" w:eastAsia="方正仿宋_GBK"/>
          <w:snapToGrid w:val="0"/>
          <w:kern w:val="0"/>
          <w:sz w:val="32"/>
          <w:szCs w:val="32"/>
        </w:rPr>
        <w:t>集中开工</w:t>
      </w:r>
      <w:r>
        <w:rPr>
          <w:rFonts w:ascii="Times New Roman" w:hAnsi="Times New Roman" w:eastAsia="方正仿宋_GBK"/>
          <w:snapToGrid w:val="0"/>
          <w:color w:val="000000"/>
          <w:kern w:val="0"/>
          <w:sz w:val="32"/>
          <w:szCs w:val="32"/>
        </w:rPr>
        <w:t>铁北新城中小学等5个重点项目</w:t>
      </w:r>
      <w:r>
        <w:rPr>
          <w:rFonts w:ascii="Times New Roman" w:hAnsi="Times New Roman" w:eastAsia="方正仿宋_GBK"/>
          <w:bCs/>
          <w:snapToGrid w:val="0"/>
          <w:sz w:val="32"/>
          <w:szCs w:val="32"/>
        </w:rPr>
        <w:t>。</w:t>
      </w:r>
      <w:r>
        <w:rPr>
          <w:rFonts w:ascii="Times New Roman" w:hAnsi="Times New Roman" w:eastAsia="方正仿宋_GBK"/>
          <w:bCs/>
          <w:sz w:val="32"/>
          <w:szCs w:val="32"/>
        </w:rPr>
        <w:t>创成全国中小学责任督学挂牌督导创新区；省教育现代化建设水平监测94.63分，列全市第一。</w:t>
      </w:r>
      <w:r>
        <w:rPr>
          <w:rFonts w:ascii="Times New Roman" w:hAnsi="Times New Roman" w:eastAsia="方正仿宋_GBK"/>
          <w:bCs/>
          <w:snapToGrid w:val="0"/>
          <w:kern w:val="0"/>
          <w:sz w:val="32"/>
          <w:szCs w:val="32"/>
        </w:rPr>
        <w:t>在全市率先设立青少年科技创新区长奖。</w:t>
      </w:r>
      <w:r>
        <w:rPr>
          <w:rFonts w:ascii="Times New Roman" w:hAnsi="Times New Roman" w:eastAsia="方正仿宋_GBK"/>
          <w:bCs/>
          <w:sz w:val="32"/>
          <w:szCs w:val="32"/>
        </w:rPr>
        <w:t>中考均分连续15年全市第一，高考本一达线人数、达线率全市第一。</w:t>
      </w:r>
      <w:r>
        <w:rPr>
          <w:rFonts w:ascii="Times New Roman" w:hAnsi="Times New Roman" w:eastAsia="方正仿宋_GBK"/>
          <w:bCs/>
          <w:snapToGrid w:val="0"/>
          <w:kern w:val="0"/>
          <w:sz w:val="32"/>
          <w:szCs w:val="32"/>
        </w:rPr>
        <w:t>开工建设新孝陵卫社区卫生服务中心，成立玄武口腔医院，建成14个社区家庭医生工作室、10个公共场所母婴室，每万常住人口全科医生数达5.7人，创成省慢病防控达标区、省健康促进示范区。完成兰园等6个农贸市场改造升级，</w:t>
      </w:r>
      <w:r>
        <w:rPr>
          <w:rFonts w:ascii="Times New Roman" w:hAnsi="Times New Roman" w:eastAsia="方正仿宋_GBK"/>
          <w:bCs/>
          <w:sz w:val="32"/>
          <w:szCs w:val="32"/>
        </w:rPr>
        <w:t>实现农贸市场快检室全覆盖</w:t>
      </w:r>
      <w:r>
        <w:rPr>
          <w:rFonts w:ascii="Times New Roman" w:hAnsi="Times New Roman" w:eastAsia="方正仿宋_GBK"/>
          <w:bCs/>
          <w:snapToGrid w:val="0"/>
          <w:sz w:val="32"/>
          <w:szCs w:val="32"/>
        </w:rPr>
        <w:t>。</w:t>
      </w:r>
      <w:r>
        <w:rPr>
          <w:rFonts w:ascii="Times New Roman" w:hAnsi="Times New Roman" w:eastAsia="方正仿宋_GBK"/>
          <w:bCs/>
          <w:snapToGrid w:val="0"/>
          <w:kern w:val="0"/>
          <w:sz w:val="32"/>
          <w:szCs w:val="32"/>
        </w:rPr>
        <w:t>建成16个</w:t>
      </w:r>
      <w:r>
        <w:rPr>
          <w:rFonts w:hint="eastAsia" w:ascii="方正仿宋_GBK" w:hAnsi="Times New Roman" w:eastAsia="方正仿宋_GBK"/>
          <w:bCs/>
          <w:snapToGrid w:val="0"/>
          <w:kern w:val="0"/>
          <w:sz w:val="32"/>
          <w:szCs w:val="32"/>
        </w:rPr>
        <w:t>“微幸福”服务站，提供便民“微服务”</w:t>
      </w:r>
      <w:r>
        <w:rPr>
          <w:rFonts w:ascii="Times New Roman" w:hAnsi="Times New Roman" w:eastAsia="方正仿宋_GBK"/>
          <w:bCs/>
          <w:snapToGrid w:val="0"/>
          <w:kern w:val="0"/>
          <w:sz w:val="32"/>
          <w:szCs w:val="32"/>
        </w:rPr>
        <w:t>。全面推进社区综合文化服务中心建设，新增2家24小时书房，区少儿图书馆创成国家一级馆</w:t>
      </w:r>
      <w:r>
        <w:rPr>
          <w:rFonts w:ascii="Times New Roman" w:hAnsi="Times New Roman" w:eastAsia="方正仿宋_GBK"/>
          <w:bCs/>
          <w:sz w:val="32"/>
          <w:szCs w:val="32"/>
        </w:rPr>
        <w:t>。</w:t>
      </w:r>
      <w:r>
        <w:rPr>
          <w:rFonts w:ascii="Times New Roman" w:hAnsi="Times New Roman" w:eastAsia="方正仿宋_GBK"/>
          <w:bCs/>
          <w:snapToGrid w:val="0"/>
          <w:kern w:val="0"/>
          <w:sz w:val="32"/>
          <w:szCs w:val="32"/>
        </w:rPr>
        <w:t>举办第二届玄武春季运动会、</w:t>
      </w:r>
      <w:r>
        <w:rPr>
          <w:rFonts w:hint="eastAsia" w:ascii="方正仿宋_GBK" w:hAnsi="Times New Roman" w:eastAsia="方正仿宋_GBK"/>
          <w:bCs/>
          <w:snapToGrid w:val="0"/>
          <w:kern w:val="0"/>
          <w:sz w:val="32"/>
          <w:szCs w:val="32"/>
        </w:rPr>
        <w:t>“</w:t>
      </w:r>
      <w:r>
        <w:rPr>
          <w:rFonts w:ascii="Times New Roman" w:hAnsi="Times New Roman" w:eastAsia="方正仿宋_GBK"/>
          <w:bCs/>
          <w:snapToGrid w:val="0"/>
          <w:kern w:val="0"/>
          <w:sz w:val="32"/>
          <w:szCs w:val="32"/>
        </w:rPr>
        <w:t>2018</w:t>
      </w:r>
      <w:r>
        <w:rPr>
          <w:rFonts w:hint="eastAsia" w:ascii="方正仿宋_GBK" w:hAnsi="Times New Roman" w:eastAsia="方正仿宋_GBK"/>
          <w:bCs/>
          <w:snapToGrid w:val="0"/>
          <w:kern w:val="0"/>
          <w:sz w:val="32"/>
          <w:szCs w:val="32"/>
        </w:rPr>
        <w:t>地标美食·玄武味道”</w:t>
      </w:r>
      <w:r>
        <w:rPr>
          <w:rFonts w:ascii="Times New Roman" w:hAnsi="Times New Roman" w:eastAsia="方正仿宋_GBK"/>
          <w:bCs/>
          <w:snapToGrid w:val="0"/>
          <w:kern w:val="0"/>
          <w:sz w:val="32"/>
          <w:szCs w:val="32"/>
        </w:rPr>
        <w:t>小吃大会，组织</w:t>
      </w:r>
      <w:r>
        <w:rPr>
          <w:rFonts w:ascii="Times New Roman" w:hAnsi="Times New Roman" w:eastAsia="方正仿宋_GBK"/>
          <w:bCs/>
          <w:sz w:val="32"/>
          <w:szCs w:val="32"/>
        </w:rPr>
        <w:t>惠民精品演出52场、</w:t>
      </w:r>
      <w:r>
        <w:rPr>
          <w:rFonts w:ascii="Times New Roman" w:hAnsi="Times New Roman" w:eastAsia="方正仿宋_GBK"/>
          <w:bCs/>
          <w:snapToGrid w:val="0"/>
          <w:kern w:val="0"/>
          <w:sz w:val="32"/>
          <w:szCs w:val="32"/>
        </w:rPr>
        <w:t>群众性体育活动150场、中医健康惠民宣讲112场、</w:t>
      </w:r>
      <w:r>
        <w:rPr>
          <w:rFonts w:ascii="Times New Roman" w:hAnsi="Times New Roman" w:eastAsia="方正仿宋_GBK"/>
          <w:bCs/>
          <w:sz w:val="32"/>
          <w:szCs w:val="32"/>
        </w:rPr>
        <w:t>平价蔬菜进小区活动100场。</w:t>
      </w:r>
    </w:p>
    <w:p w14:paraId="246EF71D">
      <w:pPr>
        <w:adjustRightInd w:val="0"/>
        <w:snapToGrid w:val="0"/>
        <w:spacing w:line="600" w:lineRule="exact"/>
        <w:ind w:firstLine="640" w:firstLineChars="200"/>
        <w:rPr>
          <w:rFonts w:ascii="Times New Roman" w:hAnsi="Times New Roman" w:eastAsia="方正仿宋_GBK"/>
          <w:bCs/>
          <w:sz w:val="32"/>
          <w:szCs w:val="32"/>
          <w:lang w:val="zh-CN"/>
        </w:rPr>
      </w:pPr>
      <w:r>
        <w:rPr>
          <w:rFonts w:ascii="Times New Roman" w:hAnsi="Times New Roman" w:eastAsia="方正楷体_GBK"/>
          <w:snapToGrid w:val="0"/>
          <w:kern w:val="0"/>
          <w:sz w:val="32"/>
          <w:szCs w:val="32"/>
        </w:rPr>
        <w:t>民生保障力度继续加强。</w:t>
      </w:r>
      <w:r>
        <w:rPr>
          <w:rFonts w:ascii="Times New Roman" w:hAnsi="Times New Roman" w:eastAsia="方正仿宋_GBK"/>
          <w:bCs/>
          <w:snapToGrid w:val="0"/>
          <w:kern w:val="0"/>
          <w:sz w:val="32"/>
          <w:szCs w:val="32"/>
        </w:rPr>
        <w:t>新增城镇就业1.9万人，实现再就业9405人，培育自主创业5702人，其中大学生创业627人，开展技能培训、职业鉴定3.5万人次，创成3个省级创业型街道、21个省级创业型社区，城镇登记失业率低于2%。全区五大保险及城乡居民基本医疗保险覆盖率均达98%以上。加大对特困人员兜底保障力度，发放各类补助资金1.3亿元；对困难群体实行精准帮扶，低保户、低保边缘户同比减少17%、26%；强化东西部扶贫协作和对口支援</w:t>
      </w:r>
      <w:r>
        <w:rPr>
          <w:rFonts w:ascii="Times New Roman" w:hAnsi="Times New Roman" w:eastAsia="方正仿宋_GBK"/>
          <w:bCs/>
          <w:sz w:val="32"/>
          <w:szCs w:val="32"/>
        </w:rPr>
        <w:t>，投入帮扶资金3610万元</w:t>
      </w:r>
      <w:r>
        <w:rPr>
          <w:rFonts w:ascii="Times New Roman" w:hAnsi="Times New Roman" w:eastAsia="方正仿宋_GBK"/>
          <w:bCs/>
          <w:snapToGrid w:val="0"/>
          <w:kern w:val="0"/>
          <w:sz w:val="32"/>
          <w:szCs w:val="32"/>
        </w:rPr>
        <w:t>。设立</w:t>
      </w:r>
      <w:r>
        <w:rPr>
          <w:rFonts w:hint="eastAsia" w:ascii="方正仿宋_GBK" w:hAnsi="Times New Roman" w:eastAsia="方正仿宋_GBK"/>
          <w:bCs/>
          <w:snapToGrid w:val="0"/>
          <w:kern w:val="0"/>
          <w:sz w:val="32"/>
          <w:szCs w:val="32"/>
        </w:rPr>
        <w:t>“玄武慈善奖”</w:t>
      </w:r>
      <w:r>
        <w:rPr>
          <w:rFonts w:ascii="Times New Roman" w:hAnsi="Times New Roman" w:eastAsia="方正仿宋_GBK"/>
          <w:bCs/>
          <w:snapToGrid w:val="0"/>
          <w:kern w:val="0"/>
          <w:sz w:val="32"/>
          <w:szCs w:val="32"/>
        </w:rPr>
        <w:t>，累计</w:t>
      </w:r>
      <w:r>
        <w:rPr>
          <w:rFonts w:ascii="Times New Roman" w:hAnsi="Times New Roman" w:eastAsia="方正仿宋_GBK"/>
          <w:bCs/>
          <w:snapToGrid w:val="0"/>
          <w:kern w:val="0"/>
          <w:sz w:val="32"/>
          <w:szCs w:val="32"/>
          <w:lang w:val="zh-CN"/>
        </w:rPr>
        <w:t>发展慈善类社会组织</w:t>
      </w:r>
      <w:r>
        <w:rPr>
          <w:rFonts w:ascii="Times New Roman" w:hAnsi="Times New Roman" w:eastAsia="方正仿宋_GBK"/>
          <w:bCs/>
          <w:snapToGrid w:val="0"/>
          <w:kern w:val="0"/>
          <w:sz w:val="32"/>
          <w:szCs w:val="32"/>
        </w:rPr>
        <w:t>80家</w:t>
      </w:r>
      <w:r>
        <w:rPr>
          <w:rFonts w:ascii="Times New Roman" w:hAnsi="Times New Roman" w:eastAsia="方正仿宋_GBK"/>
          <w:bCs/>
          <w:snapToGrid w:val="0"/>
          <w:kern w:val="0"/>
          <w:sz w:val="32"/>
          <w:szCs w:val="32"/>
          <w:lang w:val="zh-CN"/>
        </w:rPr>
        <w:t>。</w:t>
      </w:r>
      <w:r>
        <w:rPr>
          <w:rFonts w:ascii="Times New Roman" w:hAnsi="Times New Roman" w:eastAsia="方正仿宋_GBK"/>
          <w:bCs/>
          <w:snapToGrid w:val="0"/>
          <w:kern w:val="0"/>
          <w:sz w:val="32"/>
          <w:szCs w:val="32"/>
        </w:rPr>
        <w:t>开工建设顾家营保障房。居民人均可支配收入预计达6.58万元，继续列省市首位。</w:t>
      </w:r>
    </w:p>
    <w:p w14:paraId="7233B833">
      <w:pPr>
        <w:adjustRightInd w:val="0"/>
        <w:snapToGrid w:val="0"/>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楷体_GBK"/>
          <w:snapToGrid w:val="0"/>
          <w:kern w:val="0"/>
          <w:sz w:val="32"/>
          <w:szCs w:val="32"/>
        </w:rPr>
        <w:t>养老体系建设加快进程。</w:t>
      </w:r>
      <w:r>
        <w:rPr>
          <w:rFonts w:ascii="Times New Roman" w:hAnsi="Times New Roman" w:eastAsia="方正仿宋_GBK"/>
          <w:bCs/>
          <w:snapToGrid w:val="0"/>
          <w:kern w:val="0"/>
          <w:sz w:val="32"/>
          <w:szCs w:val="32"/>
        </w:rPr>
        <w:t>聚宝山护理院等7家养老机构建成并投入使用，新增机构养老床位1100张、</w:t>
      </w:r>
      <w:r>
        <w:rPr>
          <w:rFonts w:ascii="Times New Roman" w:hAnsi="Times New Roman" w:eastAsia="方正仿宋_GBK"/>
          <w:bCs/>
          <w:color w:val="000000"/>
          <w:sz w:val="32"/>
          <w:szCs w:val="32"/>
          <w:lang w:val="zh-CN"/>
        </w:rPr>
        <w:t>家庭养老床位300</w:t>
      </w:r>
      <w:r>
        <w:rPr>
          <w:rFonts w:ascii="Times New Roman" w:hAnsi="Times New Roman" w:eastAsia="方正仿宋_GBK"/>
          <w:bCs/>
          <w:color w:val="000000"/>
          <w:sz w:val="32"/>
          <w:szCs w:val="32"/>
        </w:rPr>
        <w:t>张，一年间实现全区养老床位总数翻番</w:t>
      </w:r>
      <w:r>
        <w:rPr>
          <w:rFonts w:ascii="Times New Roman" w:hAnsi="Times New Roman" w:eastAsia="方正仿宋_GBK"/>
          <w:bCs/>
          <w:color w:val="000000"/>
          <w:sz w:val="32"/>
          <w:szCs w:val="32"/>
          <w:lang w:val="zh-CN"/>
        </w:rPr>
        <w:t>。</w:t>
      </w:r>
      <w:r>
        <w:rPr>
          <w:rFonts w:ascii="Times New Roman" w:hAnsi="Times New Roman" w:eastAsia="方正仿宋_GBK"/>
          <w:bCs/>
          <w:snapToGrid w:val="0"/>
          <w:kern w:val="0"/>
          <w:sz w:val="32"/>
          <w:szCs w:val="32"/>
        </w:rPr>
        <w:t>新建老年人日间照料中心5个、3A级以上居家养老服务中心18个、社区居家综合护理中心10个、老年助餐中心和助餐点20个，</w:t>
      </w:r>
      <w:r>
        <w:rPr>
          <w:rFonts w:ascii="Times New Roman" w:hAnsi="Times New Roman" w:eastAsia="方正仿宋_GBK"/>
          <w:bCs/>
          <w:sz w:val="32"/>
          <w:szCs w:val="32"/>
          <w:lang w:val="zh-CN"/>
        </w:rPr>
        <w:t>10分钟居家养老服务圈</w:t>
      </w:r>
      <w:r>
        <w:rPr>
          <w:rFonts w:ascii="Times New Roman" w:hAnsi="Times New Roman" w:eastAsia="方正仿宋_GBK"/>
          <w:bCs/>
          <w:sz w:val="32"/>
          <w:szCs w:val="32"/>
        </w:rPr>
        <w:t>基本建成</w:t>
      </w:r>
      <w:r>
        <w:rPr>
          <w:rFonts w:ascii="Times New Roman" w:hAnsi="Times New Roman" w:eastAsia="方正仿宋_GBK"/>
          <w:bCs/>
          <w:snapToGrid w:val="0"/>
          <w:kern w:val="0"/>
          <w:sz w:val="32"/>
          <w:szCs w:val="32"/>
        </w:rPr>
        <w:t>。打造</w:t>
      </w:r>
      <w:r>
        <w:rPr>
          <w:rFonts w:hint="eastAsia" w:ascii="方正仿宋_GBK" w:hAnsi="Times New Roman" w:eastAsia="方正仿宋_GBK"/>
          <w:bCs/>
          <w:color w:val="000000"/>
          <w:sz w:val="32"/>
          <w:szCs w:val="32"/>
          <w:lang w:val="zh-CN"/>
        </w:rPr>
        <w:t>“高危空巢及独居老人照护信息平台”</w:t>
      </w:r>
      <w:r>
        <w:rPr>
          <w:rFonts w:ascii="Times New Roman" w:hAnsi="Times New Roman" w:eastAsia="方正仿宋_GBK"/>
          <w:bCs/>
          <w:color w:val="000000"/>
          <w:sz w:val="32"/>
          <w:szCs w:val="32"/>
          <w:lang w:val="zh-CN"/>
        </w:rPr>
        <w:t>，</w:t>
      </w:r>
      <w:r>
        <w:rPr>
          <w:rFonts w:ascii="Times New Roman" w:hAnsi="Times New Roman" w:eastAsia="方正仿宋_GBK"/>
          <w:bCs/>
          <w:color w:val="000000"/>
          <w:sz w:val="32"/>
          <w:szCs w:val="32"/>
        </w:rPr>
        <w:t>提供不间断健康保障服务。为全区2300名</w:t>
      </w:r>
      <w:r>
        <w:rPr>
          <w:rFonts w:ascii="Times New Roman" w:hAnsi="Times New Roman" w:eastAsia="方正仿宋_GBK"/>
          <w:bCs/>
          <w:sz w:val="32"/>
          <w:szCs w:val="32"/>
          <w:lang w:val="zh-CN"/>
        </w:rPr>
        <w:t>85周岁以上老人提供</w:t>
      </w:r>
      <w:r>
        <w:rPr>
          <w:rFonts w:ascii="Times New Roman" w:hAnsi="Times New Roman" w:eastAsia="方正仿宋_GBK"/>
          <w:bCs/>
          <w:color w:val="000000"/>
          <w:sz w:val="32"/>
          <w:szCs w:val="32"/>
          <w:lang w:val="zh-CN"/>
        </w:rPr>
        <w:t>每月3小时免费上门照护服务。</w:t>
      </w:r>
    </w:p>
    <w:p w14:paraId="1FBFEEFC">
      <w:pPr>
        <w:adjustRightInd w:val="0"/>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楷体_GBK"/>
          <w:snapToGrid w:val="0"/>
          <w:kern w:val="0"/>
          <w:sz w:val="32"/>
          <w:szCs w:val="32"/>
        </w:rPr>
        <w:t>社会环境保持和谐稳定。</w:t>
      </w:r>
      <w:r>
        <w:rPr>
          <w:rFonts w:ascii="Times New Roman" w:hAnsi="Times New Roman" w:eastAsia="方正仿宋_GBK"/>
          <w:bCs/>
          <w:sz w:val="32"/>
          <w:szCs w:val="32"/>
        </w:rPr>
        <w:t>持续开展社会矛盾和安全隐患大排查大整治行动，</w:t>
      </w:r>
      <w:r>
        <w:rPr>
          <w:rFonts w:ascii="Times New Roman" w:hAnsi="Times New Roman" w:eastAsia="方正仿宋_GBK"/>
          <w:bCs/>
          <w:snapToGrid w:val="0"/>
          <w:kern w:val="0"/>
          <w:sz w:val="32"/>
          <w:szCs w:val="32"/>
        </w:rPr>
        <w:t>排查生产经营单位9949家，整改隐患4126处。</w:t>
      </w:r>
      <w:r>
        <w:rPr>
          <w:rFonts w:ascii="Times New Roman" w:hAnsi="Times New Roman" w:eastAsia="方正仿宋_GBK"/>
          <w:bCs/>
          <w:sz w:val="32"/>
          <w:szCs w:val="32"/>
        </w:rPr>
        <w:t>为小餐饮企业免费安装燃气报警系统2510台</w:t>
      </w:r>
      <w:r>
        <w:rPr>
          <w:rFonts w:hint="eastAsia" w:ascii="Times New Roman" w:hAnsi="Times New Roman" w:eastAsia="方正仿宋_GBK"/>
          <w:bCs/>
          <w:sz w:val="32"/>
          <w:szCs w:val="32"/>
        </w:rPr>
        <w:t>，</w:t>
      </w:r>
      <w:r>
        <w:rPr>
          <w:rFonts w:ascii="Times New Roman" w:hAnsi="Times New Roman" w:eastAsia="方正仿宋_GBK"/>
          <w:bCs/>
          <w:snapToGrid w:val="0"/>
          <w:kern w:val="0"/>
          <w:sz w:val="32"/>
          <w:szCs w:val="32"/>
        </w:rPr>
        <w:t>矛盾纠纷调处成功率达99.36%。</w:t>
      </w:r>
      <w:r>
        <w:rPr>
          <w:rFonts w:hint="eastAsia" w:ascii="Times New Roman" w:hAnsi="Times New Roman" w:eastAsia="方正仿宋_GBK"/>
          <w:bCs/>
          <w:snapToGrid w:val="0"/>
          <w:kern w:val="0"/>
          <w:sz w:val="32"/>
          <w:szCs w:val="32"/>
        </w:rPr>
        <w:t>积极防范和化解金融风险</w:t>
      </w:r>
      <w:r>
        <w:rPr>
          <w:rFonts w:ascii="Times New Roman" w:hAnsi="Times New Roman" w:eastAsia="方正仿宋_GBK"/>
          <w:bCs/>
          <w:sz w:val="32"/>
          <w:szCs w:val="32"/>
          <w:lang w:val="zh-CN"/>
        </w:rPr>
        <w:t>，</w:t>
      </w:r>
      <w:r>
        <w:rPr>
          <w:rFonts w:ascii="Times New Roman" w:hAnsi="Times New Roman" w:eastAsia="方正仿宋_GBK"/>
          <w:bCs/>
          <w:sz w:val="32"/>
          <w:szCs w:val="32"/>
        </w:rPr>
        <w:t>清理风险企业322家。构建和谐劳动关系，扎实</w:t>
      </w:r>
      <w:r>
        <w:rPr>
          <w:rFonts w:ascii="Times New Roman" w:hAnsi="Times New Roman" w:eastAsia="方正仿宋_GBK"/>
          <w:snapToGrid w:val="0"/>
          <w:kern w:val="0"/>
          <w:sz w:val="32"/>
          <w:szCs w:val="32"/>
        </w:rPr>
        <w:t>开展治欠保支专项行动，劳动争议案件结案率达100%。</w:t>
      </w:r>
      <w:r>
        <w:rPr>
          <w:rFonts w:ascii="Times New Roman" w:hAnsi="Times New Roman" w:eastAsia="方正仿宋_GBK"/>
          <w:bCs/>
          <w:sz w:val="32"/>
          <w:szCs w:val="32"/>
          <w:lang w:val="en-GB"/>
        </w:rPr>
        <w:t>认真贯彻落实扫黑除恶专项斗争</w:t>
      </w:r>
      <w:r>
        <w:rPr>
          <w:rFonts w:ascii="Times New Roman" w:hAnsi="Times New Roman" w:eastAsia="方正仿宋_GBK"/>
          <w:bCs/>
          <w:sz w:val="32"/>
          <w:szCs w:val="32"/>
        </w:rPr>
        <w:t>工作部署</w:t>
      </w:r>
      <w:r>
        <w:rPr>
          <w:rFonts w:ascii="Times New Roman" w:hAnsi="Times New Roman" w:eastAsia="方正仿宋_GBK"/>
          <w:bCs/>
          <w:sz w:val="32"/>
          <w:szCs w:val="32"/>
          <w:lang w:val="en-GB"/>
        </w:rPr>
        <w:t>。</w:t>
      </w:r>
      <w:r>
        <w:rPr>
          <w:rFonts w:ascii="Times New Roman" w:hAnsi="Times New Roman" w:eastAsia="方正仿宋_GBK"/>
          <w:bCs/>
          <w:sz w:val="32"/>
          <w:szCs w:val="32"/>
        </w:rPr>
        <w:t>配合</w:t>
      </w:r>
      <w:r>
        <w:rPr>
          <w:rFonts w:ascii="Times New Roman" w:hAnsi="Times New Roman" w:eastAsia="方正仿宋_GBK"/>
          <w:bCs/>
          <w:sz w:val="32"/>
          <w:szCs w:val="32"/>
          <w:lang w:val="en-GB"/>
        </w:rPr>
        <w:t>完成</w:t>
      </w:r>
      <w:r>
        <w:rPr>
          <w:rFonts w:ascii="Times New Roman" w:hAnsi="Times New Roman" w:eastAsia="方正仿宋_GBK"/>
          <w:bCs/>
          <w:sz w:val="32"/>
          <w:szCs w:val="32"/>
        </w:rPr>
        <w:t>军队全面停止有偿服务任务1272个。在全省率先发布区街两级</w:t>
      </w:r>
      <w:r>
        <w:rPr>
          <w:rFonts w:ascii="Times New Roman" w:hAnsi="Times New Roman" w:eastAsia="方正仿宋_GBK"/>
          <w:bCs/>
          <w:snapToGrid w:val="0"/>
          <w:kern w:val="0"/>
          <w:sz w:val="32"/>
          <w:szCs w:val="32"/>
        </w:rPr>
        <w:t>社会稳定指数，公众安全感位居省市前列，未发生较大安全生产事故和群体性事件。</w:t>
      </w:r>
    </w:p>
    <w:p w14:paraId="46B3619B">
      <w:pPr>
        <w:adjustRightInd w:val="0"/>
        <w:snapToGrid w:val="0"/>
        <w:spacing w:line="600" w:lineRule="exact"/>
        <w:ind w:firstLine="640" w:firstLineChars="200"/>
        <w:rPr>
          <w:rFonts w:ascii="方正黑体_GBK" w:hAnsi="Times New Roman" w:eastAsia="方正黑体_GBK"/>
          <w:snapToGrid w:val="0"/>
          <w:kern w:val="0"/>
          <w:sz w:val="32"/>
          <w:szCs w:val="32"/>
        </w:rPr>
      </w:pPr>
      <w:r>
        <w:rPr>
          <w:rFonts w:ascii="方正黑体_GBK" w:hAnsi="Times New Roman" w:eastAsia="方正黑体_GBK"/>
          <w:snapToGrid w:val="0"/>
          <w:kern w:val="0"/>
          <w:sz w:val="32"/>
          <w:szCs w:val="32"/>
        </w:rPr>
        <w:t>（四）改革开放不断走向深入</w:t>
      </w:r>
    </w:p>
    <w:p w14:paraId="2B73FB57">
      <w:pPr>
        <w:adjustRightInd w:val="0"/>
        <w:snapToGrid w:val="0"/>
        <w:spacing w:line="600" w:lineRule="exact"/>
        <w:ind w:firstLine="640" w:firstLineChars="200"/>
        <w:rPr>
          <w:rFonts w:ascii="Times New Roman" w:hAnsi="Times New Roman" w:eastAsia="方正仿宋_GBK"/>
          <w:bCs/>
          <w:sz w:val="32"/>
          <w:szCs w:val="32"/>
          <w:lang w:val="en-GB"/>
        </w:rPr>
      </w:pPr>
      <w:r>
        <w:rPr>
          <w:rFonts w:ascii="Times New Roman" w:hAnsi="Times New Roman" w:eastAsia="方正仿宋_GBK"/>
          <w:bCs/>
          <w:sz w:val="32"/>
          <w:szCs w:val="32"/>
          <w:lang w:val="en-GB"/>
        </w:rPr>
        <w:t>以庆祝改革开放40周年为契机，着力推动改革再深化、开放再扩大，</w:t>
      </w:r>
      <w:r>
        <w:rPr>
          <w:rFonts w:ascii="Times New Roman" w:hAnsi="Times New Roman" w:eastAsia="方正仿宋_GBK"/>
          <w:bCs/>
          <w:sz w:val="32"/>
          <w:szCs w:val="32"/>
        </w:rPr>
        <w:t>为发展提供强劲动力。</w:t>
      </w:r>
    </w:p>
    <w:p w14:paraId="2E6F4DC8">
      <w:pPr>
        <w:adjustRightInd w:val="0"/>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楷体_GBK"/>
          <w:snapToGrid w:val="0"/>
          <w:kern w:val="0"/>
          <w:sz w:val="32"/>
          <w:szCs w:val="32"/>
        </w:rPr>
        <w:t>重点领域改革取得更大成效。</w:t>
      </w:r>
      <w:r>
        <w:rPr>
          <w:rFonts w:ascii="Times New Roman" w:hAnsi="Times New Roman" w:eastAsia="方正仿宋_GBK"/>
          <w:bCs/>
          <w:sz w:val="32"/>
          <w:szCs w:val="32"/>
          <w:lang w:val="en-GB"/>
        </w:rPr>
        <w:t>坚持深化供给侧结构性改革，完成88</w:t>
      </w:r>
      <w:r>
        <w:rPr>
          <w:rFonts w:ascii="Times New Roman" w:hAnsi="Times New Roman" w:eastAsia="方正仿宋_GBK"/>
          <w:bCs/>
          <w:sz w:val="32"/>
          <w:szCs w:val="32"/>
        </w:rPr>
        <w:t>个</w:t>
      </w:r>
      <w:r>
        <w:rPr>
          <w:rFonts w:ascii="Times New Roman" w:hAnsi="Times New Roman" w:eastAsia="方正仿宋_GBK"/>
          <w:bCs/>
          <w:sz w:val="32"/>
          <w:szCs w:val="32"/>
          <w:lang w:val="en-GB"/>
        </w:rPr>
        <w:t>年度</w:t>
      </w:r>
      <w:r>
        <w:rPr>
          <w:rFonts w:hint="eastAsia" w:ascii="方正仿宋_GBK" w:hAnsi="Times New Roman" w:eastAsia="方正仿宋_GBK"/>
          <w:bCs/>
          <w:sz w:val="32"/>
          <w:szCs w:val="32"/>
          <w:lang w:val="en-GB"/>
        </w:rPr>
        <w:t>“补短板”</w:t>
      </w:r>
      <w:r>
        <w:rPr>
          <w:rFonts w:ascii="Times New Roman" w:hAnsi="Times New Roman" w:eastAsia="方正仿宋_GBK"/>
          <w:bCs/>
          <w:sz w:val="32"/>
          <w:szCs w:val="32"/>
        </w:rPr>
        <w:t>项目</w:t>
      </w:r>
      <w:r>
        <w:rPr>
          <w:rFonts w:ascii="Times New Roman" w:hAnsi="Times New Roman" w:eastAsia="方正仿宋_GBK"/>
          <w:bCs/>
          <w:sz w:val="32"/>
          <w:szCs w:val="32"/>
          <w:lang w:val="en-GB"/>
        </w:rPr>
        <w:t>。</w:t>
      </w:r>
      <w:r>
        <w:rPr>
          <w:rFonts w:ascii="Times New Roman" w:hAnsi="Times New Roman" w:eastAsia="方正仿宋_GBK"/>
          <w:bCs/>
          <w:sz w:val="32"/>
          <w:szCs w:val="32"/>
        </w:rPr>
        <w:t>统筹</w:t>
      </w:r>
      <w:r>
        <w:rPr>
          <w:rFonts w:ascii="Times New Roman" w:hAnsi="Times New Roman" w:eastAsia="方正仿宋_GBK"/>
          <w:bCs/>
          <w:sz w:val="32"/>
          <w:szCs w:val="32"/>
          <w:lang w:val="en-GB"/>
        </w:rPr>
        <w:t>推进</w:t>
      </w:r>
      <w:r>
        <w:rPr>
          <w:rFonts w:hint="eastAsia" w:ascii="方正仿宋_GBK" w:hAnsi="Times New Roman" w:eastAsia="方正仿宋_GBK"/>
          <w:bCs/>
          <w:sz w:val="32"/>
          <w:szCs w:val="32"/>
          <w:lang w:val="en-GB"/>
        </w:rPr>
        <w:t>“放管服”</w:t>
      </w:r>
      <w:r>
        <w:rPr>
          <w:rFonts w:ascii="Times New Roman" w:hAnsi="Times New Roman" w:eastAsia="方正仿宋_GBK"/>
          <w:bCs/>
          <w:sz w:val="32"/>
          <w:szCs w:val="32"/>
          <w:vertAlign w:val="superscript"/>
          <w:lang w:val="en-GB"/>
        </w:rPr>
        <w:t>13</w:t>
      </w:r>
      <w:r>
        <w:rPr>
          <w:rFonts w:ascii="Times New Roman" w:hAnsi="Times New Roman" w:eastAsia="方正仿宋_GBK"/>
          <w:bCs/>
          <w:sz w:val="32"/>
          <w:szCs w:val="32"/>
          <w:lang w:val="en-GB"/>
        </w:rPr>
        <w:t>系统集成改革任务，</w:t>
      </w:r>
      <w:r>
        <w:rPr>
          <w:rFonts w:ascii="Times New Roman" w:hAnsi="Times New Roman" w:eastAsia="方正仿宋_GBK"/>
          <w:bCs/>
          <w:sz w:val="32"/>
          <w:szCs w:val="32"/>
        </w:rPr>
        <w:t>加强权责清单标准化建设，完成27个部门、4291</w:t>
      </w:r>
      <w:r>
        <w:rPr>
          <w:rFonts w:ascii="Times New Roman" w:hAnsi="Times New Roman" w:eastAsia="方正仿宋_GBK"/>
          <w:bCs/>
          <w:spacing w:val="-4"/>
          <w:sz w:val="32"/>
          <w:szCs w:val="32"/>
        </w:rPr>
        <w:t>项权力事项比对核查及入库审查；</w:t>
      </w:r>
      <w:r>
        <w:rPr>
          <w:rFonts w:ascii="Times New Roman" w:hAnsi="Times New Roman" w:eastAsia="方正仿宋_GBK"/>
          <w:bCs/>
          <w:color w:val="000000"/>
          <w:spacing w:val="-4"/>
          <w:sz w:val="32"/>
          <w:szCs w:val="32"/>
        </w:rPr>
        <w:t>开通商事登记</w:t>
      </w:r>
      <w:r>
        <w:rPr>
          <w:rFonts w:hint="eastAsia" w:ascii="方正仿宋_GBK" w:hAnsi="Times New Roman" w:eastAsia="方正仿宋_GBK"/>
          <w:bCs/>
          <w:color w:val="000000"/>
          <w:spacing w:val="-4"/>
          <w:sz w:val="32"/>
          <w:szCs w:val="32"/>
        </w:rPr>
        <w:t>“政银直通车”</w:t>
      </w:r>
      <w:r>
        <w:rPr>
          <w:rFonts w:ascii="Times New Roman" w:hAnsi="Times New Roman" w:eastAsia="方正仿宋_GBK"/>
          <w:bCs/>
          <w:color w:val="000000"/>
          <w:sz w:val="32"/>
          <w:szCs w:val="32"/>
          <w:vertAlign w:val="superscript"/>
        </w:rPr>
        <w:t>14</w:t>
      </w:r>
      <w:r>
        <w:rPr>
          <w:rFonts w:ascii="Times New Roman" w:hAnsi="Times New Roman" w:eastAsia="方正仿宋_GBK"/>
          <w:bCs/>
          <w:color w:val="000000"/>
          <w:sz w:val="32"/>
          <w:szCs w:val="32"/>
        </w:rPr>
        <w:t>，42个银行网点提供全程代办服务；</w:t>
      </w:r>
      <w:r>
        <w:rPr>
          <w:rFonts w:ascii="Times New Roman" w:hAnsi="Times New Roman" w:eastAsia="方正仿宋_GBK"/>
          <w:bCs/>
          <w:sz w:val="32"/>
          <w:szCs w:val="32"/>
        </w:rPr>
        <w:t>在江苏政务服务网开设玄武综合服务旗舰店，建成全科政务</w:t>
      </w:r>
      <w:r>
        <w:rPr>
          <w:rFonts w:ascii="Times New Roman" w:hAnsi="Times New Roman" w:eastAsia="方正仿宋_GBK"/>
          <w:bCs/>
          <w:sz w:val="32"/>
          <w:szCs w:val="32"/>
          <w:vertAlign w:val="superscript"/>
        </w:rPr>
        <w:t>15</w:t>
      </w:r>
      <w:r>
        <w:rPr>
          <w:rFonts w:ascii="Times New Roman" w:hAnsi="Times New Roman" w:eastAsia="方正仿宋_GBK"/>
          <w:bCs/>
          <w:sz w:val="32"/>
          <w:szCs w:val="32"/>
        </w:rPr>
        <w:t>服务大厅，开发上线</w:t>
      </w:r>
      <w:r>
        <w:rPr>
          <w:rFonts w:hint="eastAsia" w:ascii="方正仿宋_GBK" w:hAnsi="Times New Roman" w:eastAsia="方正仿宋_GBK"/>
          <w:bCs/>
          <w:sz w:val="32"/>
          <w:szCs w:val="32"/>
        </w:rPr>
        <w:t>“玄武政务”</w:t>
      </w:r>
      <w:r>
        <w:rPr>
          <w:rFonts w:ascii="Times New Roman" w:hAnsi="Times New Roman" w:eastAsia="方正仿宋_GBK"/>
          <w:bCs/>
          <w:sz w:val="32"/>
          <w:szCs w:val="32"/>
        </w:rPr>
        <w:t>微信小程序</w:t>
      </w:r>
      <w:r>
        <w:rPr>
          <w:rFonts w:hint="eastAsia" w:ascii="Times New Roman" w:hAnsi="Times New Roman" w:eastAsia="方正仿宋_GBK"/>
          <w:bCs/>
          <w:sz w:val="32"/>
          <w:szCs w:val="32"/>
        </w:rPr>
        <w:t>，群众办事更加便捷</w:t>
      </w:r>
      <w:r>
        <w:rPr>
          <w:rFonts w:ascii="Times New Roman" w:hAnsi="Times New Roman" w:eastAsia="方正仿宋_GBK"/>
          <w:bCs/>
          <w:color w:val="000000"/>
          <w:sz w:val="32"/>
          <w:szCs w:val="32"/>
        </w:rPr>
        <w:t>。推进</w:t>
      </w:r>
      <w:r>
        <w:rPr>
          <w:rFonts w:ascii="Times New Roman" w:hAnsi="Times New Roman" w:eastAsia="方正仿宋_GBK"/>
          <w:bCs/>
          <w:sz w:val="32"/>
          <w:szCs w:val="32"/>
        </w:rPr>
        <w:t>税收征管体制改革，</w:t>
      </w:r>
      <w:r>
        <w:rPr>
          <w:rFonts w:hint="eastAsia" w:ascii="Times New Roman" w:hAnsi="Times New Roman" w:eastAsia="方正仿宋_GBK"/>
          <w:bCs/>
          <w:sz w:val="32"/>
          <w:szCs w:val="32"/>
        </w:rPr>
        <w:t>挂牌</w:t>
      </w:r>
      <w:r>
        <w:rPr>
          <w:rFonts w:ascii="Times New Roman" w:hAnsi="Times New Roman" w:eastAsia="方正仿宋_GBK"/>
          <w:bCs/>
          <w:sz w:val="32"/>
          <w:szCs w:val="32"/>
        </w:rPr>
        <w:t>成立国家税务总局南京市玄武区税务局。按照中央、省、市部署，启动实施机构改革。</w:t>
      </w:r>
    </w:p>
    <w:p w14:paraId="012ABE2F">
      <w:pPr>
        <w:adjustRightInd w:val="0"/>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楷体_GBK"/>
          <w:snapToGrid w:val="0"/>
          <w:kern w:val="0"/>
          <w:sz w:val="32"/>
          <w:szCs w:val="32"/>
        </w:rPr>
        <w:t>基层社会治理探索更多路径。</w:t>
      </w:r>
      <w:r>
        <w:rPr>
          <w:rFonts w:ascii="Times New Roman" w:hAnsi="Times New Roman" w:eastAsia="方正仿宋_GBK"/>
          <w:bCs/>
          <w:sz w:val="32"/>
          <w:szCs w:val="32"/>
        </w:rPr>
        <w:t>完善网格化社会治理机制，建成区级社会治理一体化云平台。开展综合行政执法体制改革试点，组建8个街道（园区）综合行政检查执法大队，实现行政执法重心下移、力量下沉。细分基层社会治理单元，在已整治小区中试点开展</w:t>
      </w:r>
      <w:r>
        <w:rPr>
          <w:rFonts w:hint="eastAsia" w:ascii="方正仿宋_GBK" w:hAnsi="Times New Roman" w:eastAsia="方正仿宋_GBK"/>
          <w:bCs/>
          <w:sz w:val="32"/>
          <w:szCs w:val="32"/>
        </w:rPr>
        <w:t>“一治理三提高”</w:t>
      </w:r>
      <w:r>
        <w:rPr>
          <w:rFonts w:ascii="Times New Roman" w:hAnsi="Times New Roman" w:eastAsia="方正仿宋_GBK"/>
          <w:bCs/>
          <w:sz w:val="32"/>
          <w:szCs w:val="32"/>
          <w:vertAlign w:val="superscript"/>
        </w:rPr>
        <w:t>16</w:t>
      </w:r>
      <w:r>
        <w:rPr>
          <w:rFonts w:ascii="Times New Roman" w:hAnsi="Times New Roman" w:eastAsia="方正仿宋_GBK"/>
          <w:bCs/>
          <w:sz w:val="32"/>
          <w:szCs w:val="32"/>
        </w:rPr>
        <w:t>，出台《玄武区住宅楼顶共用部位管理办法》，规范小区业委会、管委会和物业管理公司运行，居民自治水平明显提升。在全市率先实现驻区国有企业职工家属区</w:t>
      </w:r>
      <w:r>
        <w:rPr>
          <w:rFonts w:hint="eastAsia" w:ascii="方正仿宋_GBK" w:hAnsi="Times New Roman" w:eastAsia="方正仿宋_GBK"/>
          <w:bCs/>
          <w:sz w:val="32"/>
          <w:szCs w:val="32"/>
        </w:rPr>
        <w:t>“三供一业”</w:t>
      </w:r>
      <w:r>
        <w:rPr>
          <w:rFonts w:ascii="Times New Roman" w:hAnsi="Times New Roman" w:eastAsia="方正仿宋_GBK"/>
          <w:bCs/>
          <w:sz w:val="32"/>
          <w:szCs w:val="32"/>
          <w:vertAlign w:val="superscript"/>
        </w:rPr>
        <w:t>17</w:t>
      </w:r>
      <w:r>
        <w:rPr>
          <w:rFonts w:ascii="Times New Roman" w:hAnsi="Times New Roman" w:eastAsia="方正仿宋_GBK"/>
          <w:bCs/>
          <w:sz w:val="32"/>
          <w:szCs w:val="32"/>
        </w:rPr>
        <w:t>分离移交100%签约。</w:t>
      </w:r>
    </w:p>
    <w:p w14:paraId="73442B49">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楷体_GBK"/>
          <w:snapToGrid w:val="0"/>
          <w:kern w:val="0"/>
          <w:sz w:val="32"/>
          <w:szCs w:val="32"/>
        </w:rPr>
        <w:t>对外开放合作搭建更广平台。</w:t>
      </w:r>
      <w:r>
        <w:rPr>
          <w:rFonts w:ascii="Times New Roman" w:hAnsi="Times New Roman" w:eastAsia="方正仿宋_GBK"/>
          <w:bCs/>
          <w:sz w:val="32"/>
          <w:szCs w:val="32"/>
        </w:rPr>
        <w:t>与英国CNUK创新中心、德国实担百事、瑞士科技园等国际机构开展深度合作，共建知识产权、医疗实验公共服务平台，引进晴空医疗等一批国际创新项目。累计培育年服务外包离岸执行额5000万美元以上骨干企业6家</w:t>
      </w:r>
      <w:r>
        <w:rPr>
          <w:rFonts w:ascii="Times New Roman" w:hAnsi="Times New Roman" w:eastAsia="方正仿宋_GBK"/>
          <w:bCs/>
          <w:snapToGrid w:val="0"/>
          <w:kern w:val="0"/>
          <w:sz w:val="32"/>
          <w:szCs w:val="32"/>
        </w:rPr>
        <w:t>，服务业实际利用外资占实际利用外资总额比重达97%。</w:t>
      </w:r>
      <w:r>
        <w:rPr>
          <w:rFonts w:ascii="Times New Roman" w:hAnsi="Times New Roman" w:eastAsia="方正仿宋_GBK"/>
          <w:bCs/>
          <w:sz w:val="32"/>
          <w:szCs w:val="32"/>
        </w:rPr>
        <w:t>成功</w:t>
      </w:r>
      <w:r>
        <w:rPr>
          <w:rFonts w:ascii="Times New Roman" w:hAnsi="Times New Roman" w:eastAsia="方正仿宋_GBK"/>
          <w:bCs/>
          <w:snapToGrid w:val="0"/>
          <w:kern w:val="0"/>
          <w:sz w:val="32"/>
          <w:szCs w:val="32"/>
        </w:rPr>
        <w:t>举办</w:t>
      </w:r>
      <w:r>
        <w:rPr>
          <w:rFonts w:hint="eastAsia" w:ascii="方正仿宋_GBK" w:hAnsi="Times New Roman" w:eastAsia="方正仿宋_GBK"/>
          <w:bCs/>
          <w:snapToGrid w:val="0"/>
          <w:kern w:val="0"/>
          <w:sz w:val="32"/>
          <w:szCs w:val="32"/>
        </w:rPr>
        <w:t>“</w:t>
      </w:r>
      <w:r>
        <w:rPr>
          <w:rFonts w:ascii="Times New Roman" w:hAnsi="Times New Roman" w:eastAsia="方正仿宋_GBK"/>
          <w:bCs/>
          <w:snapToGrid w:val="0"/>
          <w:kern w:val="0"/>
          <w:sz w:val="32"/>
          <w:szCs w:val="32"/>
        </w:rPr>
        <w:t>2018</w:t>
      </w:r>
      <w:r>
        <w:rPr>
          <w:rFonts w:hint="eastAsia" w:ascii="方正仿宋_GBK" w:hAnsi="Times New Roman" w:eastAsia="方正仿宋_GBK"/>
          <w:bCs/>
          <w:snapToGrid w:val="0"/>
          <w:kern w:val="0"/>
          <w:sz w:val="32"/>
          <w:szCs w:val="32"/>
        </w:rPr>
        <w:t>年国际创新资源对接会”“</w:t>
      </w:r>
      <w:r>
        <w:rPr>
          <w:rFonts w:hint="eastAsia" w:ascii="Times New Roman" w:hAnsi="Times New Roman" w:eastAsia="方正仿宋_GBK"/>
          <w:bCs/>
          <w:snapToGrid w:val="0"/>
          <w:kern w:val="0"/>
          <w:sz w:val="32"/>
          <w:szCs w:val="32"/>
        </w:rPr>
        <w:t>2018</w:t>
      </w:r>
      <w:r>
        <w:rPr>
          <w:rFonts w:hint="eastAsia" w:ascii="方正仿宋_GBK" w:hAnsi="Times New Roman" w:eastAsia="方正仿宋_GBK"/>
          <w:bCs/>
          <w:snapToGrid w:val="0"/>
          <w:kern w:val="0"/>
          <w:sz w:val="32"/>
          <w:szCs w:val="32"/>
        </w:rPr>
        <w:t>南京·玄武国际城市休闲旅游节”</w:t>
      </w:r>
      <w:r>
        <w:rPr>
          <w:rFonts w:ascii="Times New Roman" w:hAnsi="Times New Roman" w:eastAsia="方正仿宋_GBK"/>
          <w:bCs/>
          <w:snapToGrid w:val="0"/>
          <w:kern w:val="0"/>
          <w:sz w:val="32"/>
          <w:szCs w:val="32"/>
        </w:rPr>
        <w:t>，</w:t>
      </w:r>
      <w:r>
        <w:rPr>
          <w:rFonts w:ascii="Times New Roman" w:hAnsi="Times New Roman" w:eastAsia="方正仿宋_GBK"/>
          <w:bCs/>
          <w:sz w:val="32"/>
          <w:szCs w:val="32"/>
        </w:rPr>
        <w:t>精心打造银城东苑国际化社区及长江路等特色国际化街区。</w:t>
      </w:r>
    </w:p>
    <w:p w14:paraId="72D0E3E1">
      <w:pPr>
        <w:adjustRightInd w:val="0"/>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一年来，我们扎实推进法治政府、效能政府、廉洁政府建设，努力提升政府公信力和执行力。坚持正确的政治方向，全面贯彻落实中央、省、市和区委决策部署，扎实推动中央巡视反馈意见整改落实见效。深入开展解放思想大讨论，</w:t>
      </w:r>
      <w:r>
        <w:rPr>
          <w:rFonts w:hint="eastAsia" w:ascii="方正仿宋_GBK" w:hAnsi="Times New Roman" w:eastAsia="方正仿宋_GBK"/>
          <w:bCs/>
          <w:sz w:val="32"/>
          <w:szCs w:val="32"/>
        </w:rPr>
        <w:t>围绕“远学广州越秀、近比杭州西湖”目标，</w:t>
      </w:r>
      <w:r>
        <w:rPr>
          <w:rFonts w:ascii="Times New Roman" w:hAnsi="Times New Roman" w:eastAsia="方正仿宋_GBK"/>
          <w:bCs/>
          <w:sz w:val="32"/>
          <w:szCs w:val="32"/>
        </w:rPr>
        <w:t>全面对标找差、创新实干。全面优化营商环境，</w:t>
      </w:r>
      <w:r>
        <w:rPr>
          <w:rFonts w:ascii="Times New Roman" w:hAnsi="Times New Roman" w:eastAsia="方正仿宋_GBK"/>
          <w:bCs/>
          <w:snapToGrid w:val="0"/>
          <w:kern w:val="0"/>
          <w:sz w:val="32"/>
          <w:szCs w:val="32"/>
        </w:rPr>
        <w:t>出台《玄武区优化营商环境工作举措》，深入开展企业服务月活动，走访企业445家，直接解决问题152个。提升依法行政能力，</w:t>
      </w:r>
      <w:r>
        <w:rPr>
          <w:rFonts w:ascii="Times New Roman" w:hAnsi="Times New Roman" w:eastAsia="方正仿宋_GBK"/>
          <w:bCs/>
          <w:sz w:val="32"/>
          <w:szCs w:val="32"/>
        </w:rPr>
        <w:t>建立区政府常务会议定期学习法律制度，深入推进法律顾问制度、公职律师制度，全区重大行政行为规范率达100%。落实全面从严治党要求，切实强化廉政风险防控，扎实抓好意识形态工作。自觉接受人大、政协监督，办理各级人大代表建议155件、政协提案133件，满意率（含基本满意）均达100%；办理领导信箱件406件；办结12345工单50809件，办结率100%，综合满意率92.5%。深入贯彻《中央八项规定实施细则》和省、市、区委具体办法，严格控制公务接待经费支出，从严审批因公出国（境），完成区属企事业单位公车改革。认真开展退役军人和其他优抚对象信息采集工作，连续八次被评为省级双拥模范区。民宗、对台、侨务、</w:t>
      </w:r>
      <w:r>
        <w:rPr>
          <w:rFonts w:hint="eastAsia" w:ascii="Times New Roman" w:hAnsi="Times New Roman" w:eastAsia="方正仿宋_GBK"/>
          <w:bCs/>
          <w:sz w:val="32"/>
          <w:szCs w:val="32"/>
        </w:rPr>
        <w:t>信访、</w:t>
      </w:r>
      <w:r>
        <w:rPr>
          <w:rFonts w:ascii="Times New Roman" w:hAnsi="Times New Roman" w:eastAsia="方正仿宋_GBK"/>
          <w:bCs/>
          <w:sz w:val="32"/>
          <w:szCs w:val="32"/>
        </w:rPr>
        <w:t>档案、人防、人武等工作扎实推进。</w:t>
      </w:r>
    </w:p>
    <w:p w14:paraId="08BD7B30">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lang w:val="en-GB"/>
        </w:rPr>
        <w:t>各位代表，过去一年的成绩来之不易。这是</w:t>
      </w:r>
      <w:r>
        <w:rPr>
          <w:rFonts w:ascii="Times New Roman" w:hAnsi="Times New Roman" w:eastAsia="方正仿宋_GBK"/>
          <w:bCs/>
          <w:snapToGrid w:val="0"/>
          <w:kern w:val="0"/>
          <w:sz w:val="32"/>
          <w:szCs w:val="32"/>
        </w:rPr>
        <w:t>市委、市政府正确领导和区委坚强领导的结果，是区人大、区政协和社会各界大力支持和有效监督的结果，是全区人民团结一心、攻坚克难、共同奋斗的结果。在此，我代表玄武区人民政府，向全区人民，向人大代表、政协委员以及社会各界，向为玄武改革发展稳定作出积极贡献的驻区部队，向长期以来关心和支持玄武建设与发展的朋友们，致以崇高的敬意和衷心的感谢！</w:t>
      </w:r>
    </w:p>
    <w:p w14:paraId="5429FB98">
      <w:pPr>
        <w:adjustRightInd w:val="0"/>
        <w:snapToGrid w:val="0"/>
        <w:spacing w:line="600" w:lineRule="exact"/>
        <w:ind w:firstLine="640" w:firstLineChars="200"/>
        <w:rPr>
          <w:rFonts w:ascii="Times New Roman" w:hAnsi="Times New Roman" w:eastAsia="方正仿宋_GBK"/>
          <w:bCs/>
          <w:snapToGrid w:val="0"/>
          <w:color w:val="000000"/>
          <w:sz w:val="32"/>
          <w:szCs w:val="32"/>
        </w:rPr>
      </w:pPr>
      <w:r>
        <w:rPr>
          <w:rFonts w:ascii="Times New Roman" w:hAnsi="Times New Roman" w:eastAsia="方正仿宋_GBK"/>
          <w:bCs/>
          <w:snapToGrid w:val="0"/>
          <w:sz w:val="32"/>
          <w:szCs w:val="32"/>
        </w:rPr>
        <w:t>在总结成绩的同时，我们也清醒认识到，全区经济社会发展和政府工作中还存在一些困难和问题，主要是：产业竞争优势还不明显，</w:t>
      </w:r>
      <w:r>
        <w:rPr>
          <w:rFonts w:ascii="Times New Roman" w:hAnsi="Times New Roman" w:eastAsia="方正仿宋_GBK"/>
          <w:sz w:val="32"/>
          <w:szCs w:val="32"/>
        </w:rPr>
        <w:t>现代服务业占比偏低，生产性服务业发展滞后；科技成果转化不充分，文化旅游资源优势发挥不充分；</w:t>
      </w:r>
      <w:r>
        <w:rPr>
          <w:rFonts w:ascii="Times New Roman" w:hAnsi="Times New Roman" w:eastAsia="方正仿宋_GBK"/>
          <w:bCs/>
          <w:snapToGrid w:val="0"/>
          <w:sz w:val="32"/>
          <w:szCs w:val="32"/>
        </w:rPr>
        <w:t>城市更新和管理的精细化程度还有较大提升空间</w:t>
      </w:r>
      <w:r>
        <w:rPr>
          <w:rFonts w:ascii="Times New Roman" w:hAnsi="Times New Roman" w:eastAsia="方正仿宋_GBK"/>
          <w:bCs/>
          <w:snapToGrid w:val="0"/>
          <w:color w:val="000000"/>
          <w:sz w:val="32"/>
          <w:szCs w:val="32"/>
        </w:rPr>
        <w:t>；生态环境保护形势依然十分严峻，大气、水污染防治任务艰巨；优质教育、医疗、养老等服务供给与群众期盼有差距；政府自身建设还需加强，服务效能有待进一步提高。对此，我们将坚持问题导向、系统思维、创新思维、集成超越，采取有力措施，切实加以解决。</w:t>
      </w:r>
    </w:p>
    <w:p w14:paraId="5C86C004">
      <w:pPr>
        <w:adjustRightInd w:val="0"/>
        <w:snapToGrid w:val="0"/>
        <w:spacing w:beforeLines="100" w:afterLines="100" w:line="600" w:lineRule="exact"/>
        <w:jc w:val="center"/>
        <w:rPr>
          <w:rFonts w:ascii="Times New Roman" w:hAnsi="Times New Roman" w:eastAsia="方正黑体_GBK"/>
          <w:bCs/>
          <w:snapToGrid w:val="0"/>
          <w:kern w:val="0"/>
          <w:sz w:val="32"/>
          <w:szCs w:val="32"/>
        </w:rPr>
      </w:pPr>
      <w:r>
        <w:rPr>
          <w:rFonts w:ascii="Times New Roman" w:hAnsi="Times New Roman" w:eastAsia="方正黑体_GBK"/>
          <w:bCs/>
          <w:snapToGrid w:val="0"/>
          <w:kern w:val="0"/>
          <w:sz w:val="32"/>
          <w:szCs w:val="32"/>
        </w:rPr>
        <w:t>二、2019年工作总体要求</w:t>
      </w:r>
    </w:p>
    <w:p w14:paraId="63B48656">
      <w:pPr>
        <w:adjustRightInd w:val="0"/>
        <w:snapToGrid w:val="0"/>
        <w:spacing w:beforeLines="100" w:line="60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2019年</w:t>
      </w:r>
      <w:r>
        <w:rPr>
          <w:rFonts w:hint="eastAsia" w:ascii="Times New Roman" w:hAnsi="Times New Roman" w:eastAsia="方正仿宋_GBK"/>
          <w:bCs/>
          <w:sz w:val="32"/>
          <w:szCs w:val="32"/>
        </w:rPr>
        <w:t>是新中国成立70周年，</w:t>
      </w:r>
      <w:r>
        <w:rPr>
          <w:rFonts w:hint="eastAsia" w:ascii="方正仿宋_GBK" w:hAnsi="Times New Roman" w:eastAsia="方正仿宋_GBK"/>
          <w:bCs/>
          <w:sz w:val="32"/>
          <w:szCs w:val="32"/>
        </w:rPr>
        <w:t>也是决胜高水平全面建成小康社会的关键之年。做好今年政府工作，要坚持以习近平新时代中国特色社会主义思想为指导，全面贯彻党的十九大精神和习近平总书记对江苏工作系列重要讲话指示精神，坚持稳中求进工作总基调，深入落实省委常委会集体调研南京、市委常委会集体调研玄武精神，全面融入“创新名城、美丽古都”建设，更加注重创新转动能、产业快升级、城市优环境、民生谋幸福、稳定促和谐、生态显魅力，坚定不移全面从严治党，以更高的追求、更强的担当、更大的作为，</w:t>
      </w:r>
      <w:r>
        <w:rPr>
          <w:rFonts w:hint="eastAsia" w:ascii="方正仿宋_GBK" w:hAnsi="Times New Roman" w:eastAsia="方正仿宋_GBK"/>
          <w:sz w:val="32"/>
          <w:szCs w:val="32"/>
        </w:rPr>
        <w:t>为全面建成小康社会圆满收官打下坚实基础。</w:t>
      </w:r>
    </w:p>
    <w:p w14:paraId="47675D31">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color w:val="000000"/>
          <w:kern w:val="0"/>
          <w:sz w:val="32"/>
          <w:szCs w:val="32"/>
        </w:rPr>
        <w:t>今年全区经济社会发展的主要指标是：</w:t>
      </w:r>
      <w:r>
        <w:rPr>
          <w:rFonts w:ascii="Times New Roman" w:hAnsi="Times New Roman" w:eastAsia="方正仿宋_GBK"/>
          <w:bCs/>
          <w:snapToGrid w:val="0"/>
          <w:kern w:val="0"/>
          <w:sz w:val="32"/>
          <w:szCs w:val="32"/>
        </w:rPr>
        <w:t>预期性指标方面，地区生产总值可比增长8%左右，力争8.5%；一般公共预算收入增长8%，力争8.5%；全社会固定资产投资增长9%，力争11%；社会消费品零售总额增长9.1%，力争9.5%；居民人均可支配收入增长8.1%，力争8.5%。约束性指标方面，万元GDP能耗下降、空气质量达到二级标准以上天数比例完成市下达数；全区域黑臭水体整治达标率100%。</w:t>
      </w:r>
    </w:p>
    <w:p w14:paraId="1EF2E753">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color w:val="000000"/>
          <w:kern w:val="0"/>
          <w:sz w:val="32"/>
          <w:szCs w:val="32"/>
        </w:rPr>
        <w:t>实现上述目标，我们必须</w:t>
      </w:r>
      <w:r>
        <w:rPr>
          <w:rFonts w:ascii="Times New Roman" w:hAnsi="Times New Roman" w:eastAsia="方正楷体_GBK"/>
          <w:b/>
          <w:bCs/>
          <w:snapToGrid w:val="0"/>
          <w:kern w:val="0"/>
          <w:sz w:val="32"/>
          <w:szCs w:val="32"/>
        </w:rPr>
        <w:t>坚定不移走高质量发展道路，</w:t>
      </w:r>
      <w:r>
        <w:rPr>
          <w:rFonts w:ascii="Times New Roman" w:hAnsi="Times New Roman" w:eastAsia="方正仿宋_GBK"/>
          <w:bCs/>
          <w:snapToGrid w:val="0"/>
          <w:color w:val="000000"/>
          <w:kern w:val="0"/>
          <w:sz w:val="32"/>
          <w:szCs w:val="32"/>
        </w:rPr>
        <w:t>主动推动质量变革、效率变革、动力变革，让科技创新在加快新旧动能转换中发挥更大作用，以生产性服务业为着力点，推动产业转型升级、提升能级，加快构建现代服务业产业体系；</w:t>
      </w:r>
      <w:r>
        <w:rPr>
          <w:rFonts w:ascii="Times New Roman" w:hAnsi="Times New Roman" w:eastAsia="方正楷体_GBK"/>
          <w:b/>
          <w:bCs/>
          <w:snapToGrid w:val="0"/>
          <w:kern w:val="0"/>
          <w:sz w:val="32"/>
          <w:szCs w:val="32"/>
        </w:rPr>
        <w:t>坚定不移推进城市精细化管理，</w:t>
      </w:r>
      <w:r>
        <w:rPr>
          <w:rFonts w:ascii="Times New Roman" w:hAnsi="Times New Roman" w:eastAsia="方正仿宋_GBK"/>
          <w:bCs/>
          <w:snapToGrid w:val="0"/>
          <w:kern w:val="0"/>
          <w:sz w:val="32"/>
          <w:szCs w:val="32"/>
        </w:rPr>
        <w:t>注重在细微处下功夫，在科学化、精细化、智能化上下功夫，以绣花般的细心、耐心、巧心，进一步强化城市管理思路的精准化、管理手段的精细化和管理效果的精致化，推动城市品质再提升；</w:t>
      </w:r>
      <w:r>
        <w:rPr>
          <w:rFonts w:ascii="Times New Roman" w:hAnsi="Times New Roman" w:eastAsia="方正楷体_GBK"/>
          <w:b/>
          <w:bCs/>
          <w:snapToGrid w:val="0"/>
          <w:kern w:val="0"/>
          <w:sz w:val="32"/>
          <w:szCs w:val="32"/>
        </w:rPr>
        <w:t>坚定不移以人民为中心，</w:t>
      </w:r>
      <w:r>
        <w:rPr>
          <w:rFonts w:ascii="Times New Roman" w:hAnsi="Times New Roman" w:eastAsia="方正仿宋_GBK"/>
          <w:bCs/>
          <w:snapToGrid w:val="0"/>
          <w:color w:val="000000"/>
          <w:kern w:val="0"/>
          <w:sz w:val="32"/>
          <w:szCs w:val="32"/>
        </w:rPr>
        <w:t>从人民群众关心的事情做起，从让人民群众满意的事情做起，</w:t>
      </w:r>
      <w:r>
        <w:rPr>
          <w:rFonts w:ascii="Times New Roman" w:hAnsi="Times New Roman" w:eastAsia="方正仿宋_GBK"/>
          <w:bCs/>
          <w:snapToGrid w:val="0"/>
          <w:kern w:val="0"/>
          <w:sz w:val="32"/>
          <w:szCs w:val="32"/>
        </w:rPr>
        <w:t>着力解决好就业、教育、医疗、养老等突出问题，不断提高基本公共服务水平和质量，增强人民群众获得感、幸福感、安全感；</w:t>
      </w:r>
      <w:r>
        <w:rPr>
          <w:rFonts w:ascii="Times New Roman" w:hAnsi="Times New Roman" w:eastAsia="方正楷体_GBK"/>
          <w:b/>
          <w:bCs/>
          <w:snapToGrid w:val="0"/>
          <w:kern w:val="0"/>
          <w:sz w:val="32"/>
          <w:szCs w:val="32"/>
        </w:rPr>
        <w:t>坚定不移深化改革开放，</w:t>
      </w:r>
      <w:r>
        <w:rPr>
          <w:rFonts w:ascii="Times New Roman" w:hAnsi="Times New Roman" w:eastAsia="方正仿宋_GBK"/>
          <w:bCs/>
          <w:snapToGrid w:val="0"/>
          <w:kern w:val="0"/>
          <w:sz w:val="32"/>
          <w:szCs w:val="32"/>
        </w:rPr>
        <w:t>向改革要动力，进一步解放思想，深入推进商事制度、国资国企、城市管理、民生保障等重要领域和关键环节改革，放大改革综合效应，向开放要活力，更加关注、支持民营经济和外向型经济发展，营造更优发展环境；</w:t>
      </w:r>
      <w:r>
        <w:rPr>
          <w:rFonts w:ascii="Times New Roman" w:hAnsi="Times New Roman" w:eastAsia="方正楷体_GBK"/>
          <w:b/>
          <w:bCs/>
          <w:snapToGrid w:val="0"/>
          <w:kern w:val="0"/>
          <w:sz w:val="32"/>
          <w:szCs w:val="32"/>
        </w:rPr>
        <w:t>坚定不移扛起省会城市主城核心区的责任使命，</w:t>
      </w:r>
      <w:r>
        <w:rPr>
          <w:rFonts w:hint="eastAsia" w:ascii="方正仿宋_GBK" w:hAnsi="Times New Roman" w:eastAsia="方正仿宋_GBK"/>
          <w:bCs/>
          <w:snapToGrid w:val="0"/>
          <w:kern w:val="0"/>
          <w:sz w:val="32"/>
          <w:szCs w:val="32"/>
        </w:rPr>
        <w:t>在全国大形势、全省大环境、全市大格局中找准玄武定位、实现玄武作为，以“功成不必在我”的使命担当，打基础、谋长远、补短板，以“走在最前列、争当排头兵”的奋斗追求，探新路、创特色、争一流，</w:t>
      </w:r>
      <w:r>
        <w:rPr>
          <w:rFonts w:hint="eastAsia" w:ascii="方正仿宋_GBK" w:hAnsi="Times New Roman" w:eastAsia="方正仿宋_GBK"/>
          <w:sz w:val="32"/>
          <w:szCs w:val="32"/>
        </w:rPr>
        <w:t>为南京加快提升省会城市功能和中心城市首位度做贡献。</w:t>
      </w:r>
    </w:p>
    <w:p w14:paraId="59D0DF86">
      <w:pPr>
        <w:adjustRightInd w:val="0"/>
        <w:snapToGrid w:val="0"/>
        <w:spacing w:beforeLines="100" w:afterLines="100" w:line="600" w:lineRule="exact"/>
        <w:jc w:val="center"/>
        <w:rPr>
          <w:rFonts w:ascii="Times New Roman" w:hAnsi="Times New Roman" w:eastAsia="方正黑体_GBK"/>
          <w:bCs/>
          <w:snapToGrid w:val="0"/>
          <w:kern w:val="0"/>
          <w:sz w:val="32"/>
          <w:szCs w:val="32"/>
        </w:rPr>
      </w:pPr>
    </w:p>
    <w:p w14:paraId="10B24DC4">
      <w:pPr>
        <w:adjustRightInd w:val="0"/>
        <w:snapToGrid w:val="0"/>
        <w:spacing w:beforeLines="100" w:afterLines="100" w:line="600" w:lineRule="exact"/>
        <w:jc w:val="center"/>
        <w:rPr>
          <w:rFonts w:ascii="Times New Roman" w:hAnsi="Times New Roman" w:eastAsia="方正黑体_GBK"/>
          <w:bCs/>
          <w:snapToGrid w:val="0"/>
          <w:kern w:val="0"/>
          <w:sz w:val="32"/>
          <w:szCs w:val="32"/>
        </w:rPr>
      </w:pPr>
      <w:r>
        <w:rPr>
          <w:rFonts w:ascii="Times New Roman" w:hAnsi="Times New Roman" w:eastAsia="方正黑体_GBK"/>
          <w:bCs/>
          <w:snapToGrid w:val="0"/>
          <w:kern w:val="0"/>
          <w:sz w:val="32"/>
          <w:szCs w:val="32"/>
        </w:rPr>
        <w:t>三、2019年工作</w:t>
      </w:r>
      <w:r>
        <w:rPr>
          <w:rFonts w:ascii="Times New Roman" w:hAnsi="Times New Roman" w:eastAsia="方正黑体_GBK"/>
          <w:bCs/>
          <w:snapToGrid w:val="0"/>
          <w:color w:val="000000"/>
          <w:kern w:val="0"/>
          <w:sz w:val="32"/>
          <w:szCs w:val="32"/>
        </w:rPr>
        <w:t>安排</w:t>
      </w:r>
    </w:p>
    <w:p w14:paraId="11406F56">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根据市委市政府决策部署和区委要求，重点做好五方面工作：</w:t>
      </w:r>
    </w:p>
    <w:p w14:paraId="609D78DD">
      <w:pPr>
        <w:adjustRightInd w:val="0"/>
        <w:snapToGrid w:val="0"/>
        <w:spacing w:line="600" w:lineRule="exact"/>
        <w:ind w:firstLine="640" w:firstLineChars="200"/>
        <w:rPr>
          <w:rFonts w:ascii="方正黑体_GBK" w:hAnsi="Times New Roman" w:eastAsia="方正黑体_GBK"/>
          <w:snapToGrid w:val="0"/>
          <w:kern w:val="0"/>
          <w:sz w:val="32"/>
          <w:szCs w:val="32"/>
        </w:rPr>
      </w:pPr>
      <w:r>
        <w:rPr>
          <w:rFonts w:ascii="方正黑体_GBK" w:hAnsi="Times New Roman" w:eastAsia="方正黑体_GBK"/>
          <w:snapToGrid w:val="0"/>
          <w:kern w:val="0"/>
          <w:sz w:val="32"/>
          <w:szCs w:val="32"/>
        </w:rPr>
        <w:t>（一）激发创新驱动内生动力</w:t>
      </w:r>
    </w:p>
    <w:p w14:paraId="4AABAC6D">
      <w:pPr>
        <w:adjustRightInd w:val="0"/>
        <w:snapToGrid w:val="0"/>
        <w:spacing w:line="600" w:lineRule="exact"/>
        <w:ind w:firstLine="640" w:firstLineChars="200"/>
        <w:rPr>
          <w:rFonts w:ascii="Times New Roman" w:hAnsi="Times New Roman" w:eastAsia="方正仿宋_GBK"/>
          <w:bCs/>
          <w:snapToGrid w:val="0"/>
          <w:color w:val="000000"/>
          <w:kern w:val="0"/>
          <w:sz w:val="32"/>
          <w:szCs w:val="32"/>
        </w:rPr>
      </w:pPr>
      <w:r>
        <w:rPr>
          <w:rFonts w:ascii="Times New Roman" w:hAnsi="Times New Roman" w:eastAsia="方正仿宋_GBK"/>
          <w:bCs/>
          <w:snapToGrid w:val="0"/>
          <w:color w:val="000000"/>
          <w:kern w:val="0"/>
          <w:sz w:val="32"/>
          <w:szCs w:val="32"/>
        </w:rPr>
        <w:t>以创新驱动为引擎，以</w:t>
      </w:r>
      <w:r>
        <w:rPr>
          <w:rFonts w:hint="eastAsia" w:ascii="方正仿宋_GBK" w:hAnsi="Times New Roman" w:eastAsia="方正仿宋_GBK"/>
          <w:bCs/>
          <w:snapToGrid w:val="0"/>
          <w:color w:val="000000"/>
          <w:kern w:val="0"/>
          <w:sz w:val="32"/>
          <w:szCs w:val="32"/>
        </w:rPr>
        <w:t>“六化同步”</w:t>
      </w:r>
      <w:r>
        <w:rPr>
          <w:rFonts w:ascii="Times New Roman" w:hAnsi="Times New Roman" w:eastAsia="方正仿宋_GBK"/>
          <w:bCs/>
          <w:snapToGrid w:val="0"/>
          <w:color w:val="000000"/>
          <w:kern w:val="0"/>
          <w:sz w:val="32"/>
          <w:szCs w:val="32"/>
          <w:vertAlign w:val="superscript"/>
        </w:rPr>
        <w:t>18</w:t>
      </w:r>
      <w:r>
        <w:rPr>
          <w:rFonts w:ascii="Times New Roman" w:hAnsi="Times New Roman" w:eastAsia="方正仿宋_GBK"/>
          <w:bCs/>
          <w:snapToGrid w:val="0"/>
          <w:color w:val="000000"/>
          <w:kern w:val="0"/>
          <w:sz w:val="32"/>
          <w:szCs w:val="32"/>
        </w:rPr>
        <w:t>为导向，营造更富活力、更具竞争力的创新生态系统，奋力争当创新名城建设排头兵。</w:t>
      </w:r>
    </w:p>
    <w:p w14:paraId="417C0E32">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楷体_GBK"/>
          <w:snapToGrid w:val="0"/>
          <w:kern w:val="0"/>
          <w:sz w:val="32"/>
          <w:szCs w:val="32"/>
        </w:rPr>
        <w:t>加快创新空间布局。</w:t>
      </w:r>
      <w:r>
        <w:rPr>
          <w:rFonts w:hint="eastAsia" w:ascii="方正仿宋_GBK" w:eastAsia="方正仿宋_GBK"/>
          <w:sz w:val="32"/>
          <w:szCs w:val="32"/>
        </w:rPr>
        <w:t>以创建国家级徐庄高新区为目标，以“一区五园、校地融合、协同集成”为关键，</w:t>
      </w:r>
      <w:r>
        <w:rPr>
          <w:rFonts w:ascii="Times New Roman" w:hAnsi="Times New Roman" w:eastAsia="方正仿宋_GBK"/>
          <w:bCs/>
          <w:sz w:val="32"/>
          <w:szCs w:val="32"/>
        </w:rPr>
        <w:t>加快打造</w:t>
      </w:r>
      <w:r>
        <w:rPr>
          <w:rFonts w:hint="eastAsia" w:ascii="方正仿宋_GBK" w:hAnsi="Times New Roman" w:eastAsia="方正仿宋_GBK"/>
          <w:bCs/>
          <w:sz w:val="32"/>
          <w:szCs w:val="32"/>
        </w:rPr>
        <w:t>“</w:t>
      </w:r>
      <w:r>
        <w:rPr>
          <w:rFonts w:hint="eastAsia" w:ascii="方正仿宋_GBK" w:hAnsi="Times New Roman" w:eastAsia="方正仿宋_GBK"/>
          <w:bCs/>
          <w:snapToGrid w:val="0"/>
          <w:kern w:val="0"/>
          <w:sz w:val="32"/>
          <w:szCs w:val="32"/>
        </w:rPr>
        <w:t>环紫金山创新经济带</w:t>
      </w:r>
      <w:r>
        <w:rPr>
          <w:rFonts w:hint="eastAsia" w:ascii="方正仿宋_GBK" w:hAnsi="Times New Roman" w:eastAsia="方正仿宋_GBK"/>
          <w:bCs/>
          <w:sz w:val="32"/>
          <w:szCs w:val="32"/>
        </w:rPr>
        <w:t>”</w:t>
      </w:r>
      <w:r>
        <w:rPr>
          <w:rFonts w:ascii="Times New Roman" w:hAnsi="Times New Roman" w:eastAsia="方正仿宋_GBK"/>
          <w:bCs/>
          <w:sz w:val="32"/>
          <w:szCs w:val="32"/>
        </w:rPr>
        <w:t>。着力提升徐庄核心区辐射带动功能，加快德乐科技研发总部、金盾检测总部等项目建设，及研发六区、聚慧园等创新载体招商，打造科技总部集聚高地。全速推进铁北红山新城开发，推动</w:t>
      </w:r>
      <w:r>
        <w:rPr>
          <w:rFonts w:ascii="Times New Roman" w:hAnsi="Times New Roman" w:eastAsia="方正仿宋_GBK"/>
          <w:bCs/>
          <w:snapToGrid w:val="0"/>
          <w:kern w:val="0"/>
          <w:sz w:val="32"/>
          <w:szCs w:val="32"/>
        </w:rPr>
        <w:t>铁北国际数码港等54万平方米产业载体建设。</w:t>
      </w:r>
      <w:r>
        <w:rPr>
          <w:rFonts w:ascii="Times New Roman" w:hAnsi="Times New Roman" w:eastAsia="方正仿宋_GBK"/>
          <w:bCs/>
          <w:sz w:val="32"/>
          <w:szCs w:val="32"/>
        </w:rPr>
        <w:t>发布珠江路年度创业白皮书，建设珠江路智能街区，打造众创集聚区。</w:t>
      </w:r>
      <w:r>
        <w:rPr>
          <w:rFonts w:ascii="Times New Roman" w:hAnsi="Times New Roman" w:eastAsia="方正仿宋_GBK"/>
          <w:bCs/>
          <w:snapToGrid w:val="0"/>
          <w:kern w:val="0"/>
          <w:sz w:val="32"/>
          <w:szCs w:val="32"/>
        </w:rPr>
        <w:t>以东大科技园长江后街园区为中心，建设东大</w:t>
      </w:r>
      <w:r>
        <w:rPr>
          <w:rFonts w:hint="eastAsia" w:ascii="Times New Roman" w:hAnsi="Times New Roman" w:eastAsia="方正仿宋_GBK"/>
          <w:bCs/>
          <w:snapToGrid w:val="0"/>
          <w:kern w:val="0"/>
          <w:sz w:val="32"/>
          <w:szCs w:val="32"/>
        </w:rPr>
        <w:t>·</w:t>
      </w:r>
      <w:r>
        <w:rPr>
          <w:rFonts w:ascii="Times New Roman" w:hAnsi="Times New Roman" w:eastAsia="方正仿宋_GBK"/>
          <w:bCs/>
          <w:snapToGrid w:val="0"/>
          <w:kern w:val="0"/>
          <w:sz w:val="32"/>
          <w:szCs w:val="32"/>
        </w:rPr>
        <w:t>南京设计名城项目一期。完成玄武科技金融园、南理工科技创新园70%载体招商。联合南农大、省农科院等驻地农业科研资源，加快建设农业服务</w:t>
      </w:r>
      <w:r>
        <w:rPr>
          <w:rFonts w:ascii="Times New Roman" w:hAnsi="Times New Roman" w:eastAsia="方正仿宋_GBK"/>
          <w:bCs/>
          <w:snapToGrid w:val="0"/>
          <w:spacing w:val="-4"/>
          <w:kern w:val="0"/>
          <w:sz w:val="32"/>
          <w:szCs w:val="32"/>
        </w:rPr>
        <w:t>业科技创新园。与南理工等驻区高校合作共建一批城市</w:t>
      </w:r>
      <w:r>
        <w:rPr>
          <w:rFonts w:hint="eastAsia" w:ascii="方正仿宋_GBK" w:hAnsi="Times New Roman" w:eastAsia="方正仿宋_GBK"/>
          <w:bCs/>
          <w:snapToGrid w:val="0"/>
          <w:spacing w:val="-4"/>
          <w:kern w:val="0"/>
          <w:sz w:val="32"/>
          <w:szCs w:val="32"/>
        </w:rPr>
        <w:t>“硅巷”</w:t>
      </w:r>
      <w:r>
        <w:rPr>
          <w:rFonts w:ascii="Times New Roman" w:hAnsi="Times New Roman" w:eastAsia="方正仿宋_GBK"/>
          <w:bCs/>
          <w:snapToGrid w:val="0"/>
          <w:kern w:val="0"/>
          <w:sz w:val="32"/>
          <w:szCs w:val="32"/>
          <w:vertAlign w:val="superscript"/>
        </w:rPr>
        <w:t>19</w:t>
      </w:r>
      <w:r>
        <w:rPr>
          <w:rFonts w:ascii="Times New Roman" w:hAnsi="Times New Roman" w:eastAsia="方正仿宋_GBK"/>
          <w:bCs/>
          <w:snapToGrid w:val="0"/>
          <w:kern w:val="0"/>
          <w:sz w:val="32"/>
          <w:szCs w:val="32"/>
        </w:rPr>
        <w:t>，激发主城大学科教资源活力。</w:t>
      </w:r>
    </w:p>
    <w:p w14:paraId="2CC0E7C0">
      <w:pPr>
        <w:adjustRightInd w:val="0"/>
        <w:snapToGrid w:val="0"/>
        <w:spacing w:line="62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楷体_GBK"/>
          <w:snapToGrid w:val="0"/>
          <w:kern w:val="0"/>
          <w:sz w:val="32"/>
          <w:szCs w:val="32"/>
        </w:rPr>
        <w:t>完善创新生态体系。</w:t>
      </w:r>
      <w:r>
        <w:rPr>
          <w:rFonts w:hint="eastAsia" w:ascii="方正仿宋_GBK" w:hAnsi="Times New Roman" w:eastAsia="方正仿宋_GBK"/>
          <w:bCs/>
          <w:snapToGrid w:val="0"/>
          <w:kern w:val="0"/>
          <w:sz w:val="32"/>
          <w:szCs w:val="32"/>
        </w:rPr>
        <w:t>推动高校院所开放更多创新资源，合作建设南京智能装备产业技术研究院、南京视觉与网络技术研究院等双创平台。鼓励企业加大研发投入，建成递恩生物细胞研究制备实验室、光纤传感基础设施智慧系统等企业研发中心，建设百家汇玄武创新药物孵化平台二期。持续推进创新人才集聚工程</w:t>
      </w:r>
      <w:r>
        <w:rPr>
          <w:rFonts w:hint="eastAsia" w:ascii="方正仿宋_GBK" w:hAnsi="Times New Roman" w:eastAsia="方正仿宋_GBK"/>
          <w:bCs/>
          <w:sz w:val="32"/>
          <w:szCs w:val="32"/>
        </w:rPr>
        <w:t>，</w:t>
      </w:r>
      <w:r>
        <w:rPr>
          <w:rFonts w:hint="eastAsia" w:ascii="方正仿宋_GBK" w:hAnsi="Times New Roman" w:eastAsia="方正仿宋_GBK"/>
          <w:bCs/>
          <w:snapToGrid w:val="0"/>
          <w:kern w:val="0"/>
          <w:sz w:val="32"/>
          <w:szCs w:val="32"/>
        </w:rPr>
        <w:t>鼓励科研人员带技术创业，鼓励企业家及高管带资源、带经验再创业，新</w:t>
      </w:r>
      <w:r>
        <w:rPr>
          <w:rFonts w:ascii="Times New Roman" w:hAnsi="Times New Roman" w:eastAsia="方正仿宋_GBK"/>
          <w:bCs/>
          <w:snapToGrid w:val="0"/>
          <w:kern w:val="0"/>
          <w:sz w:val="32"/>
          <w:szCs w:val="32"/>
        </w:rPr>
        <w:t>增国家、省、市高端人才100人以上，确保全区高新技术企业突破200家。着力纾解小微企业、科技企业融资难融资贵问题，</w:t>
      </w:r>
      <w:r>
        <w:rPr>
          <w:rFonts w:ascii="Times New Roman" w:hAnsi="Times New Roman" w:eastAsia="方正仿宋_GBK"/>
          <w:bCs/>
          <w:kern w:val="0"/>
          <w:sz w:val="32"/>
          <w:szCs w:val="32"/>
        </w:rPr>
        <w:t>深化与清科集团、紫金科创等创投机构合作，</w:t>
      </w:r>
      <w:r>
        <w:rPr>
          <w:rFonts w:ascii="Times New Roman" w:hAnsi="Times New Roman" w:eastAsia="方正仿宋_GBK"/>
          <w:bCs/>
          <w:snapToGrid w:val="0"/>
          <w:kern w:val="0"/>
          <w:sz w:val="32"/>
          <w:szCs w:val="32"/>
        </w:rPr>
        <w:t>扩大区创投基金规模，建设徐庄高新区企业并购服务中心，打造中小企业金融驿站。</w:t>
      </w:r>
      <w:r>
        <w:rPr>
          <w:rFonts w:ascii="Times New Roman" w:hAnsi="Times New Roman" w:eastAsia="方正仿宋_GBK"/>
          <w:bCs/>
          <w:sz w:val="32"/>
          <w:szCs w:val="32"/>
        </w:rPr>
        <w:t>持续加大知识产权保护力度，为小微企业提供一站式政策服务，</w:t>
      </w:r>
      <w:r>
        <w:rPr>
          <w:rFonts w:ascii="Times New Roman" w:hAnsi="Times New Roman" w:eastAsia="方正仿宋_GBK"/>
          <w:bCs/>
          <w:snapToGrid w:val="0"/>
          <w:kern w:val="0"/>
          <w:sz w:val="32"/>
          <w:szCs w:val="32"/>
        </w:rPr>
        <w:t>系统优化双创生态环境。</w:t>
      </w:r>
    </w:p>
    <w:p w14:paraId="436C03E0">
      <w:pPr>
        <w:adjustRightInd w:val="0"/>
        <w:snapToGrid w:val="0"/>
        <w:spacing w:line="64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楷体_GBK"/>
          <w:snapToGrid w:val="0"/>
          <w:kern w:val="0"/>
          <w:sz w:val="32"/>
          <w:szCs w:val="32"/>
        </w:rPr>
        <w:t>提升开放合作水平。</w:t>
      </w:r>
      <w:r>
        <w:rPr>
          <w:rFonts w:hint="eastAsia" w:ascii="方正仿宋_GBK" w:hAnsi="Times New Roman" w:eastAsia="方正仿宋_GBK"/>
          <w:bCs/>
          <w:sz w:val="32"/>
          <w:szCs w:val="32"/>
        </w:rPr>
        <w:t>紧抓“一带一路”建设、长江经济带发展、长三角一体化发展国家战略机遇，依托玄武创新资源富集优势，</w:t>
      </w:r>
      <w:r>
        <w:rPr>
          <w:rFonts w:hint="eastAsia" w:ascii="方正仿宋_GBK" w:hAnsi="Times New Roman" w:eastAsia="方正仿宋_GBK"/>
          <w:color w:val="000000"/>
          <w:sz w:val="32"/>
          <w:szCs w:val="32"/>
        </w:rPr>
        <w:t>着力加大</w:t>
      </w:r>
      <w:r>
        <w:rPr>
          <w:rFonts w:hint="eastAsia" w:ascii="方正仿宋_GBK" w:hAnsi="Times New Roman" w:eastAsia="方正仿宋_GBK"/>
          <w:snapToGrid w:val="0"/>
          <w:color w:val="000000"/>
          <w:sz w:val="32"/>
          <w:szCs w:val="32"/>
        </w:rPr>
        <w:t>创新国际化</w:t>
      </w:r>
      <w:r>
        <w:rPr>
          <w:rFonts w:hint="eastAsia" w:ascii="方正仿宋_GBK" w:hAnsi="Times New Roman" w:eastAsia="方正仿宋_GBK"/>
          <w:color w:val="000000"/>
          <w:sz w:val="32"/>
          <w:szCs w:val="32"/>
        </w:rPr>
        <w:t>工作力度</w:t>
      </w:r>
      <w:r>
        <w:rPr>
          <w:rFonts w:hint="eastAsia" w:ascii="方正仿宋_GBK" w:hAnsi="Times New Roman" w:eastAsia="方正仿宋_GBK"/>
          <w:bCs/>
          <w:sz w:val="32"/>
          <w:szCs w:val="32"/>
        </w:rPr>
        <w:t>。围绕产业链打造创新链，坚持</w:t>
      </w:r>
      <w:r>
        <w:rPr>
          <w:rFonts w:hint="eastAsia" w:ascii="方正仿宋_GBK" w:hAnsi="Times New Roman" w:eastAsia="方正仿宋_GBK"/>
          <w:bCs/>
          <w:snapToGrid w:val="0"/>
          <w:kern w:val="0"/>
          <w:sz w:val="32"/>
          <w:szCs w:val="32"/>
        </w:rPr>
        <w:t>引资、引技、引智并举，集聚</w:t>
      </w:r>
      <w:r>
        <w:rPr>
          <w:rFonts w:hint="eastAsia" w:ascii="方正仿宋_GBK" w:hAnsi="Times New Roman" w:eastAsia="方正仿宋_GBK"/>
          <w:snapToGrid w:val="0"/>
          <w:kern w:val="0"/>
          <w:sz w:val="32"/>
          <w:szCs w:val="32"/>
        </w:rPr>
        <w:t>国内外一流创新资源；鼓励企业探索新理念、新思路，应用新技术、新模式，</w:t>
      </w:r>
      <w:r>
        <w:rPr>
          <w:rFonts w:hint="eastAsia" w:ascii="方正仿宋_GBK" w:hAnsi="Times New Roman" w:eastAsia="方正仿宋_GBK"/>
          <w:bCs/>
          <w:snapToGrid w:val="0"/>
          <w:kern w:val="0"/>
          <w:sz w:val="32"/>
          <w:szCs w:val="32"/>
        </w:rPr>
        <w:t>积</w:t>
      </w:r>
      <w:r>
        <w:rPr>
          <w:rFonts w:hint="eastAsia" w:ascii="方正仿宋_GBK" w:hAnsi="Times New Roman" w:eastAsia="方正仿宋_GBK"/>
          <w:color w:val="000000"/>
          <w:sz w:val="32"/>
          <w:szCs w:val="32"/>
        </w:rPr>
        <w:t>极参与国际分工合作和竞争，</w:t>
      </w:r>
      <w:r>
        <w:rPr>
          <w:rFonts w:hint="eastAsia" w:ascii="方正仿宋_GBK" w:hAnsi="Times New Roman" w:eastAsia="方正仿宋_GBK"/>
          <w:bCs/>
          <w:snapToGrid w:val="0"/>
          <w:kern w:val="0"/>
          <w:sz w:val="32"/>
          <w:szCs w:val="32"/>
        </w:rPr>
        <w:t>培育更多有核心竞争力、国际影响力的拳头产品和服务。</w:t>
      </w:r>
      <w:r>
        <w:rPr>
          <w:rFonts w:ascii="Times New Roman" w:hAnsi="Times New Roman" w:eastAsia="方正仿宋_GBK"/>
          <w:bCs/>
          <w:snapToGrid w:val="0"/>
          <w:kern w:val="0"/>
          <w:sz w:val="32"/>
          <w:szCs w:val="32"/>
        </w:rPr>
        <w:t>依托徐庄CNUK创新知识产权交易中心、</w:t>
      </w:r>
      <w:r>
        <w:rPr>
          <w:rFonts w:ascii="Times New Roman" w:hAnsi="Times New Roman" w:eastAsia="方正仿宋_GBK"/>
          <w:bCs/>
          <w:sz w:val="32"/>
          <w:szCs w:val="32"/>
        </w:rPr>
        <w:t>阿里云技术创新中心</w:t>
      </w:r>
      <w:r>
        <w:rPr>
          <w:rFonts w:ascii="Times New Roman" w:hAnsi="Times New Roman" w:eastAsia="方正仿宋_GBK"/>
          <w:bCs/>
          <w:snapToGrid w:val="0"/>
          <w:kern w:val="0"/>
          <w:sz w:val="32"/>
          <w:szCs w:val="32"/>
        </w:rPr>
        <w:t>等机构的国际资源优势，吸引一批国际先进技术成果、项目转化落地。</w:t>
      </w:r>
      <w:r>
        <w:rPr>
          <w:rFonts w:ascii="Times New Roman" w:hAnsi="Times New Roman" w:eastAsia="方正仿宋_GBK"/>
          <w:snapToGrid w:val="0"/>
          <w:kern w:val="0"/>
          <w:sz w:val="32"/>
          <w:szCs w:val="32"/>
        </w:rPr>
        <w:t>依托国家电子商务示范基地，</w:t>
      </w:r>
      <w:r>
        <w:rPr>
          <w:rFonts w:ascii="Times New Roman" w:hAnsi="Times New Roman" w:eastAsia="方正仿宋_GBK"/>
          <w:bCs/>
          <w:snapToGrid w:val="0"/>
          <w:kern w:val="0"/>
          <w:sz w:val="32"/>
          <w:szCs w:val="32"/>
        </w:rPr>
        <w:t>进一步壮大服务贸易、服务外包和跨境电子商务规模，加快培育外贸新业态。举办南京时尚周，以设计为核心，推动设计创新、产业集聚、文化交流高度融合，丰富创新名城建设内涵，打造重要国际化平台。</w:t>
      </w:r>
    </w:p>
    <w:p w14:paraId="687A11D7">
      <w:pPr>
        <w:adjustRightInd w:val="0"/>
        <w:snapToGrid w:val="0"/>
        <w:spacing w:line="600" w:lineRule="exact"/>
        <w:ind w:firstLine="640" w:firstLineChars="200"/>
        <w:rPr>
          <w:rFonts w:ascii="方正黑体_GBK" w:hAnsi="Times New Roman" w:eastAsia="方正黑体_GBK"/>
          <w:snapToGrid w:val="0"/>
          <w:kern w:val="0"/>
          <w:sz w:val="32"/>
          <w:szCs w:val="32"/>
        </w:rPr>
      </w:pPr>
      <w:r>
        <w:rPr>
          <w:rFonts w:ascii="方正黑体_GBK" w:hAnsi="Times New Roman" w:eastAsia="方正黑体_GBK"/>
          <w:snapToGrid w:val="0"/>
          <w:kern w:val="0"/>
          <w:sz w:val="32"/>
          <w:szCs w:val="32"/>
        </w:rPr>
        <w:t>（二）推动经济质效持续提升</w:t>
      </w:r>
    </w:p>
    <w:p w14:paraId="69BB0435">
      <w:pPr>
        <w:adjustRightInd w:val="0"/>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在提高区域经济密度、提高投入产出效率上下功夫，着力强化产业的核心竞争力及辐射带动力。</w:t>
      </w:r>
    </w:p>
    <w:p w14:paraId="363F9B39">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楷体_GBK"/>
          <w:snapToGrid w:val="0"/>
          <w:kern w:val="0"/>
          <w:sz w:val="32"/>
          <w:szCs w:val="32"/>
        </w:rPr>
        <w:t>大力提升产业能级。</w:t>
      </w:r>
      <w:r>
        <w:rPr>
          <w:rFonts w:ascii="Times New Roman" w:hAnsi="Times New Roman" w:eastAsia="方正仿宋_GBK"/>
          <w:bCs/>
          <w:snapToGrid w:val="0"/>
          <w:kern w:val="0"/>
          <w:sz w:val="32"/>
          <w:szCs w:val="32"/>
        </w:rPr>
        <w:t>坚持特色化、高新化、生态化、集聚化发展方向，加快推动生产性服务业向专业化和价值链高端延伸，为实体经济提供更强支撑。进一步扩大商贸商务主导产业规模，鼓励电商龙头加强平台建设，增加高端商贸功能布局。进一步巩固现代金融支柱产业优势，把破解企业融资难题与金融业发展改革相结合，鼓励属地金融机构更多利用现代金融科技手段，提升风险防控能力、创新金融产品和服务；加大外资金融、新金融引进力度。进一步提升软件信息</w:t>
      </w:r>
      <w:r>
        <w:rPr>
          <w:rFonts w:hint="eastAsia" w:ascii="Times New Roman" w:hAnsi="Times New Roman" w:eastAsia="方正仿宋_GBK"/>
          <w:bCs/>
          <w:snapToGrid w:val="0"/>
          <w:kern w:val="0"/>
          <w:sz w:val="32"/>
          <w:szCs w:val="32"/>
        </w:rPr>
        <w:t>、</w:t>
      </w:r>
      <w:r>
        <w:rPr>
          <w:rFonts w:ascii="Times New Roman" w:hAnsi="Times New Roman" w:eastAsia="方正仿宋_GBK"/>
          <w:bCs/>
          <w:snapToGrid w:val="0"/>
          <w:kern w:val="0"/>
          <w:sz w:val="32"/>
          <w:szCs w:val="32"/>
        </w:rPr>
        <w:t>生物医药健康</w:t>
      </w:r>
      <w:r>
        <w:rPr>
          <w:rFonts w:hint="eastAsia" w:ascii="Times New Roman" w:hAnsi="Times New Roman" w:eastAsia="方正仿宋_GBK"/>
          <w:bCs/>
          <w:snapToGrid w:val="0"/>
          <w:kern w:val="0"/>
          <w:sz w:val="32"/>
          <w:szCs w:val="32"/>
        </w:rPr>
        <w:t>等</w:t>
      </w:r>
      <w:r>
        <w:rPr>
          <w:rFonts w:ascii="Times New Roman" w:hAnsi="Times New Roman" w:eastAsia="方正仿宋_GBK"/>
          <w:bCs/>
          <w:snapToGrid w:val="0"/>
          <w:kern w:val="0"/>
          <w:sz w:val="32"/>
          <w:szCs w:val="32"/>
        </w:rPr>
        <w:t>高新产业贡献度，围绕人工智能、精准医疗等重点领域提升产业集聚度，努力实现软件收入突破500亿元、生物医药健康产业营业收入突破200亿元。</w:t>
      </w:r>
      <w:r>
        <w:rPr>
          <w:rFonts w:hint="eastAsia" w:ascii="方正仿宋_GBK" w:hAnsi="Times New Roman" w:eastAsia="方正仿宋_GBK"/>
          <w:bCs/>
          <w:snapToGrid w:val="0"/>
          <w:kern w:val="0"/>
          <w:sz w:val="32"/>
          <w:szCs w:val="32"/>
        </w:rPr>
        <w:t>进一步丰富现代服务业产业体系，推动文化资源更高水平转化利用，打造“沿玄武湖文化产业圈”，提升文化产业增加值占比；结合全域旅游示范区创建，推动文商旅深度融合发展；加快培育设计产业、养老产业等新增长点。</w:t>
      </w:r>
    </w:p>
    <w:p w14:paraId="65D9F62D">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楷体_GBK"/>
          <w:snapToGrid w:val="0"/>
          <w:kern w:val="0"/>
          <w:sz w:val="32"/>
          <w:szCs w:val="32"/>
        </w:rPr>
        <w:t>高效利用主城空间。</w:t>
      </w:r>
      <w:r>
        <w:rPr>
          <w:rFonts w:ascii="Times New Roman" w:hAnsi="Times New Roman" w:eastAsia="方正仿宋_GBK"/>
          <w:snapToGrid w:val="0"/>
          <w:kern w:val="0"/>
          <w:sz w:val="32"/>
          <w:szCs w:val="32"/>
        </w:rPr>
        <w:t>强化</w:t>
      </w:r>
      <w:r>
        <w:rPr>
          <w:rFonts w:hint="eastAsia" w:ascii="方正仿宋_GBK" w:hAnsi="Times New Roman" w:eastAsia="方正仿宋_GBK"/>
          <w:snapToGrid w:val="0"/>
          <w:kern w:val="0"/>
          <w:sz w:val="32"/>
          <w:szCs w:val="32"/>
        </w:rPr>
        <w:t>“以亩产论英雄”</w:t>
      </w:r>
      <w:r>
        <w:rPr>
          <w:rFonts w:ascii="Times New Roman" w:hAnsi="Times New Roman" w:eastAsia="方正仿宋_GBK"/>
          <w:snapToGrid w:val="0"/>
          <w:kern w:val="0"/>
          <w:sz w:val="32"/>
          <w:szCs w:val="32"/>
        </w:rPr>
        <w:t>理念，以空间载体资源的高效率利用、高水平开发、高速度建设，推动高质量发展。全年安排重大项目84个，计划新开工项目48个、建成项目30个，年度计划投资107.7亿元。加快</w:t>
      </w:r>
      <w:r>
        <w:rPr>
          <w:rFonts w:ascii="Times New Roman" w:hAnsi="Times New Roman" w:eastAsia="方正仿宋_GBK"/>
          <w:sz w:val="32"/>
          <w:szCs w:val="32"/>
        </w:rPr>
        <w:t>环山、滨湖、沿城墙</w:t>
      </w:r>
      <w:r>
        <w:rPr>
          <w:rFonts w:ascii="Times New Roman" w:hAnsi="Times New Roman" w:eastAsia="方正仿宋_GBK"/>
          <w:snapToGrid w:val="0"/>
          <w:kern w:val="0"/>
          <w:sz w:val="32"/>
          <w:szCs w:val="32"/>
        </w:rPr>
        <w:t>核心区域及中山东路、中央路、长江路等重要道路沿线的项目开发，重点打造</w:t>
      </w:r>
      <w:r>
        <w:rPr>
          <w:rFonts w:ascii="Times New Roman" w:hAnsi="Times New Roman" w:eastAsia="方正仿宋_GBK"/>
          <w:bCs/>
          <w:snapToGrid w:val="0"/>
          <w:kern w:val="0"/>
          <w:sz w:val="32"/>
          <w:szCs w:val="32"/>
        </w:rPr>
        <w:t>中央路224号总部经济园、熊猫中央广场二期，开工建设梅园片区、麦哲理二期，加快推进高力六角商业广场、百子亭新天地等在建项目。持续推进</w:t>
      </w:r>
      <w:r>
        <w:rPr>
          <w:rFonts w:ascii="Times New Roman" w:hAnsi="Times New Roman" w:eastAsia="方正仿宋_GBK"/>
          <w:sz w:val="32"/>
          <w:szCs w:val="32"/>
        </w:rPr>
        <w:t>低效载体转型升级三年行动计划，对佳汇大厦</w:t>
      </w:r>
      <w:r>
        <w:rPr>
          <w:rFonts w:ascii="Times New Roman" w:hAnsi="Times New Roman" w:eastAsia="方正仿宋_GBK"/>
          <w:bCs/>
          <w:snapToGrid w:val="0"/>
          <w:kern w:val="0"/>
          <w:sz w:val="32"/>
          <w:szCs w:val="32"/>
        </w:rPr>
        <w:t>、百脑汇等一批低效楼宇及杨将军巷9号、东方城48号等一批低效园区实施转型，推动25万平方米存量载体升级</w:t>
      </w:r>
      <w:r>
        <w:rPr>
          <w:rFonts w:hint="eastAsia" w:ascii="Times New Roman" w:hAnsi="Times New Roman" w:eastAsia="方正仿宋_GBK"/>
          <w:bCs/>
          <w:snapToGrid w:val="0"/>
          <w:kern w:val="0"/>
          <w:sz w:val="32"/>
          <w:szCs w:val="32"/>
        </w:rPr>
        <w:t>；</w:t>
      </w:r>
      <w:r>
        <w:rPr>
          <w:rFonts w:ascii="Times New Roman" w:hAnsi="Times New Roman" w:eastAsia="方正仿宋_GBK"/>
          <w:bCs/>
          <w:snapToGrid w:val="0"/>
          <w:kern w:val="0"/>
          <w:sz w:val="32"/>
          <w:szCs w:val="32"/>
        </w:rPr>
        <w:t>对</w:t>
      </w:r>
      <w:r>
        <w:rPr>
          <w:rFonts w:ascii="Times New Roman" w:hAnsi="Times New Roman" w:eastAsia="方正仿宋_GBK"/>
          <w:bCs/>
          <w:sz w:val="32"/>
          <w:szCs w:val="32"/>
        </w:rPr>
        <w:t>军队全面停止有偿服务形成的</w:t>
      </w:r>
      <w:r>
        <w:rPr>
          <w:rFonts w:ascii="Times New Roman" w:hAnsi="Times New Roman" w:eastAsia="方正仿宋_GBK"/>
          <w:bCs/>
          <w:snapToGrid w:val="0"/>
          <w:kern w:val="0"/>
          <w:sz w:val="32"/>
          <w:szCs w:val="32"/>
        </w:rPr>
        <w:t>44万平方米载体，主动参与、协助招商。进一步加大土地出让推进力度，完成徐庄聚智园、珠江饭店地块征收及铁北创智新天地、铁北新经济产业园地块挂牌，推动卫岗5号等一批低效用地再开发。</w:t>
      </w:r>
    </w:p>
    <w:p w14:paraId="050DAB53">
      <w:pPr>
        <w:adjustRightInd w:val="0"/>
        <w:snapToGrid w:val="0"/>
        <w:spacing w:line="60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强力推进招商选资。</w:t>
      </w:r>
      <w:r>
        <w:rPr>
          <w:rFonts w:ascii="Times New Roman" w:hAnsi="Times New Roman" w:eastAsia="方正仿宋_GBK"/>
          <w:sz w:val="32"/>
          <w:szCs w:val="32"/>
        </w:rPr>
        <w:t>落实全市</w:t>
      </w:r>
      <w:r>
        <w:rPr>
          <w:rFonts w:hint="eastAsia" w:ascii="Times New Roman" w:hAnsi="Times New Roman" w:eastAsia="方正仿宋_GBK"/>
          <w:sz w:val="32"/>
          <w:szCs w:val="32"/>
        </w:rPr>
        <w:t>“招商突破年”的要求，</w:t>
      </w:r>
      <w:r>
        <w:rPr>
          <w:rFonts w:ascii="Times New Roman" w:hAnsi="Times New Roman" w:eastAsia="方正仿宋_GBK"/>
          <w:sz w:val="32"/>
          <w:szCs w:val="32"/>
        </w:rPr>
        <w:t>把</w:t>
      </w:r>
      <w:r>
        <w:rPr>
          <w:rFonts w:ascii="Times New Roman" w:hAnsi="Times New Roman" w:eastAsia="方正仿宋_GBK"/>
          <w:snapToGrid w:val="0"/>
          <w:kern w:val="0"/>
          <w:sz w:val="32"/>
          <w:szCs w:val="32"/>
        </w:rPr>
        <w:t>住项目引进源头关，</w:t>
      </w:r>
      <w:r>
        <w:rPr>
          <w:rFonts w:ascii="Times New Roman" w:hAnsi="Times New Roman" w:eastAsia="方正仿宋_GBK"/>
          <w:sz w:val="32"/>
          <w:szCs w:val="32"/>
        </w:rPr>
        <w:t>围绕产业发展方向，紧盯上市企业、规模企业、总部企业、高新企业，开展定点招商、精准招商，</w:t>
      </w:r>
      <w:r>
        <w:rPr>
          <w:rFonts w:hint="eastAsia" w:ascii="Times New Roman" w:hAnsi="Times New Roman" w:eastAsia="方正仿宋_GBK"/>
          <w:sz w:val="32"/>
          <w:szCs w:val="32"/>
        </w:rPr>
        <w:t>完成</w:t>
      </w:r>
      <w:r>
        <w:rPr>
          <w:rFonts w:ascii="Times New Roman" w:hAnsi="Times New Roman" w:eastAsia="方正仿宋_GBK"/>
          <w:bCs/>
          <w:snapToGrid w:val="0"/>
          <w:color w:val="000000"/>
          <w:kern w:val="0"/>
          <w:sz w:val="32"/>
          <w:szCs w:val="32"/>
        </w:rPr>
        <w:t>招商项目投资总额400亿元</w:t>
      </w:r>
      <w:r>
        <w:rPr>
          <w:rFonts w:ascii="Times New Roman" w:hAnsi="Times New Roman" w:eastAsia="方正仿宋_GBK"/>
          <w:sz w:val="32"/>
          <w:szCs w:val="32"/>
        </w:rPr>
        <w:t>。为社会产权载体提供免费招商服务，</w:t>
      </w:r>
      <w:r>
        <w:rPr>
          <w:rFonts w:ascii="Times New Roman" w:hAnsi="Times New Roman" w:eastAsia="方正仿宋_GBK"/>
          <w:snapToGrid w:val="0"/>
          <w:kern w:val="0"/>
          <w:sz w:val="32"/>
          <w:szCs w:val="32"/>
        </w:rPr>
        <w:t>鼓励有实力的企业提高载体自持比例，通过产权集中</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产业集中提高载</w:t>
      </w:r>
      <w:r>
        <w:rPr>
          <w:rFonts w:ascii="Times New Roman" w:hAnsi="Times New Roman" w:eastAsia="方正仿宋_GBK"/>
          <w:snapToGrid w:val="0"/>
          <w:spacing w:val="-10"/>
          <w:kern w:val="0"/>
          <w:sz w:val="32"/>
          <w:szCs w:val="32"/>
        </w:rPr>
        <w:t>体品质和经济效益。</w:t>
      </w:r>
      <w:r>
        <w:rPr>
          <w:rFonts w:ascii="Times New Roman" w:hAnsi="Times New Roman" w:eastAsia="方正仿宋_GBK"/>
          <w:spacing w:val="-10"/>
          <w:sz w:val="32"/>
          <w:szCs w:val="32"/>
        </w:rPr>
        <w:t>充分发挥产业协会作用，继续实施</w:t>
      </w:r>
      <w:r>
        <w:rPr>
          <w:rFonts w:hint="eastAsia" w:ascii="方正仿宋_GBK" w:hAnsi="Times New Roman" w:eastAsia="方正仿宋_GBK"/>
          <w:spacing w:val="-10"/>
          <w:sz w:val="32"/>
          <w:szCs w:val="32"/>
        </w:rPr>
        <w:t>“三个一”</w:t>
      </w:r>
      <w:r>
        <w:rPr>
          <w:rFonts w:ascii="Times New Roman" w:hAnsi="Times New Roman" w:eastAsia="方正仿宋_GBK"/>
          <w:sz w:val="32"/>
          <w:szCs w:val="32"/>
          <w:vertAlign w:val="superscript"/>
        </w:rPr>
        <w:t>20</w:t>
      </w:r>
      <w:r>
        <w:rPr>
          <w:rFonts w:ascii="Times New Roman" w:hAnsi="Times New Roman" w:eastAsia="方正仿宋_GBK"/>
          <w:sz w:val="32"/>
          <w:szCs w:val="32"/>
        </w:rPr>
        <w:t>工程，以特色的产业生态、政策平台和人才集聚，为招商项目落地提供有力支撑。</w:t>
      </w:r>
      <w:r>
        <w:rPr>
          <w:rFonts w:ascii="Times New Roman" w:hAnsi="Times New Roman" w:eastAsia="方正仿宋_GBK"/>
          <w:snapToGrid w:val="0"/>
          <w:kern w:val="0"/>
          <w:sz w:val="32"/>
          <w:szCs w:val="32"/>
        </w:rPr>
        <w:t>在北京、深圳等国内一线城市及美国、欧洲等境外招商热点区域设立招商办事处，</w:t>
      </w:r>
      <w:r>
        <w:rPr>
          <w:rFonts w:ascii="Times New Roman" w:hAnsi="Times New Roman" w:eastAsia="方正仿宋_GBK"/>
          <w:sz w:val="32"/>
          <w:szCs w:val="32"/>
        </w:rPr>
        <w:t>运用以商招商、资本招商等多种手段，借助</w:t>
      </w:r>
      <w:r>
        <w:rPr>
          <w:rFonts w:ascii="Times New Roman" w:hAnsi="Times New Roman" w:eastAsia="方正仿宋_GBK"/>
          <w:snapToGrid w:val="0"/>
          <w:kern w:val="0"/>
          <w:sz w:val="32"/>
          <w:szCs w:val="32"/>
        </w:rPr>
        <w:t>金融、中介等多方专业力量，实现高效招商。对新街口等重要经济板块的重点项目、重点企业，建立专项招商服务机制。</w:t>
      </w:r>
    </w:p>
    <w:p w14:paraId="3745B89B">
      <w:pPr>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楷体_GBK"/>
          <w:snapToGrid w:val="0"/>
          <w:kern w:val="0"/>
          <w:sz w:val="32"/>
          <w:szCs w:val="32"/>
        </w:rPr>
        <w:t>持续优化营商环境。</w:t>
      </w:r>
      <w:r>
        <w:rPr>
          <w:rFonts w:hint="eastAsia" w:ascii="方正仿宋_GBK" w:hAnsi="Times New Roman" w:eastAsia="方正仿宋_GBK"/>
          <w:snapToGrid w:val="0"/>
          <w:kern w:val="0"/>
          <w:sz w:val="32"/>
          <w:szCs w:val="32"/>
        </w:rPr>
        <w:t>对标“最高标准”“最好水平”打造一流营商环境，</w:t>
      </w:r>
      <w:r>
        <w:rPr>
          <w:rFonts w:hint="eastAsia" w:ascii="方正仿宋_GBK" w:hAnsi="Times New Roman" w:eastAsia="方正仿宋_GBK"/>
          <w:bCs/>
          <w:snapToGrid w:val="0"/>
          <w:kern w:val="0"/>
          <w:sz w:val="32"/>
          <w:szCs w:val="32"/>
        </w:rPr>
        <w:t>助力企业加快</w:t>
      </w:r>
      <w:r>
        <w:rPr>
          <w:rFonts w:hint="eastAsia" w:ascii="方正仿宋_GBK" w:hAnsi="Times New Roman" w:eastAsia="方正仿宋_GBK"/>
          <w:snapToGrid w:val="0"/>
          <w:kern w:val="0"/>
          <w:sz w:val="32"/>
          <w:szCs w:val="32"/>
        </w:rPr>
        <w:t>成长壮大。</w:t>
      </w:r>
      <w:r>
        <w:rPr>
          <w:rFonts w:hint="eastAsia" w:ascii="方正仿宋_GBK" w:hAnsi="Times New Roman" w:eastAsia="方正仿宋_GBK"/>
          <w:bCs/>
          <w:snapToGrid w:val="0"/>
          <w:kern w:val="0"/>
          <w:sz w:val="32"/>
          <w:szCs w:val="32"/>
        </w:rPr>
        <w:t>全面落实中央、省、市减税降费政策措施，制定相关配套举措，推动各项政策落地、落细、落实。</w:t>
      </w:r>
      <w:r>
        <w:rPr>
          <w:rFonts w:hint="eastAsia" w:ascii="方正仿宋_GBK" w:hAnsi="Times New Roman" w:eastAsia="方正仿宋_GBK"/>
          <w:sz w:val="32"/>
          <w:szCs w:val="32"/>
        </w:rPr>
        <w:t>清理精简行政审批事项和涉企收费，减轻企业社保缴费负担，帮助企业解决用工难题。</w:t>
      </w:r>
      <w:r>
        <w:rPr>
          <w:rFonts w:hint="eastAsia" w:ascii="方正仿宋_GBK" w:hAnsi="Times New Roman" w:eastAsia="方正仿宋_GBK"/>
          <w:kern w:val="0"/>
          <w:sz w:val="32"/>
          <w:szCs w:val="32"/>
        </w:rPr>
        <w:t>在徐庄高新区设立政务服务分中心，在重点商务楼宇设立综合服务点。</w:t>
      </w:r>
      <w:r>
        <w:rPr>
          <w:rFonts w:hint="eastAsia" w:ascii="方正仿宋_GBK" w:hAnsi="Times New Roman" w:eastAsia="方正仿宋_GBK"/>
          <w:bCs/>
          <w:snapToGrid w:val="0"/>
          <w:kern w:val="0"/>
          <w:sz w:val="32"/>
          <w:szCs w:val="32"/>
        </w:rPr>
        <w:t>高标准完成第四次全国经济普查，</w:t>
      </w:r>
      <w:r>
        <w:rPr>
          <w:rFonts w:hint="eastAsia" w:ascii="方正仿宋_GBK" w:hAnsi="Times New Roman" w:eastAsia="方正仿宋_GBK"/>
          <w:sz w:val="32"/>
          <w:szCs w:val="32"/>
        </w:rPr>
        <w:t>严格规范涉企执法检查行为</w:t>
      </w:r>
      <w:r>
        <w:rPr>
          <w:rFonts w:hint="eastAsia" w:ascii="方正仿宋_GBK" w:hAnsi="Times New Roman" w:eastAsia="方正仿宋_GBK"/>
          <w:kern w:val="0"/>
          <w:sz w:val="32"/>
          <w:szCs w:val="32"/>
        </w:rPr>
        <w:t>。</w:t>
      </w:r>
      <w:r>
        <w:rPr>
          <w:rFonts w:hint="eastAsia" w:ascii="方正仿宋_GBK" w:hAnsi="Times New Roman" w:eastAsia="方正仿宋_GBK"/>
          <w:snapToGrid w:val="0"/>
          <w:sz w:val="32"/>
          <w:szCs w:val="32"/>
        </w:rPr>
        <w:t>大力支持民营经济发展，</w:t>
      </w:r>
      <w:r>
        <w:rPr>
          <w:rFonts w:hint="eastAsia" w:ascii="方正仿宋_GBK" w:hAnsi="Times New Roman" w:eastAsia="方正仿宋_GBK"/>
          <w:bCs/>
          <w:snapToGrid w:val="0"/>
          <w:kern w:val="0"/>
          <w:sz w:val="32"/>
          <w:szCs w:val="32"/>
        </w:rPr>
        <w:t>开展“走民企送政策送服务”活动，</w:t>
      </w:r>
      <w:r>
        <w:rPr>
          <w:rFonts w:hint="eastAsia" w:ascii="方正仿宋_GBK" w:hAnsi="Times New Roman" w:eastAsia="方正仿宋_GBK"/>
          <w:kern w:val="0"/>
          <w:sz w:val="32"/>
          <w:szCs w:val="32"/>
        </w:rPr>
        <w:t>更加精准掌握情况，更加快速处理问题，更加精细制定政策；</w:t>
      </w:r>
      <w:r>
        <w:rPr>
          <w:rFonts w:hint="eastAsia" w:ascii="方正仿宋_GBK" w:hAnsi="Times New Roman" w:eastAsia="方正仿宋_GBK"/>
          <w:bCs/>
          <w:snapToGrid w:val="0"/>
          <w:kern w:val="0"/>
          <w:sz w:val="32"/>
          <w:szCs w:val="32"/>
        </w:rPr>
        <w:t>实施好市场准入负面清单制度，鼓励民间资本进入教育、卫生、医疗等社会事业和交通、水利、市政公用事业等领域，让各类市场主体平等参与竞争；</w:t>
      </w:r>
      <w:r>
        <w:rPr>
          <w:rFonts w:hint="eastAsia" w:ascii="方正仿宋_GBK" w:hAnsi="Times New Roman" w:eastAsia="方正仿宋_GBK"/>
          <w:kern w:val="0"/>
          <w:sz w:val="32"/>
          <w:szCs w:val="32"/>
        </w:rPr>
        <w:t>帮助企业家增强信心、稳定预期，让企业在玄武放心创业、安心发展。</w:t>
      </w:r>
    </w:p>
    <w:p w14:paraId="47722297">
      <w:pPr>
        <w:adjustRightInd w:val="0"/>
        <w:snapToGrid w:val="0"/>
        <w:spacing w:line="600" w:lineRule="exact"/>
        <w:ind w:firstLine="640" w:firstLineChars="200"/>
        <w:rPr>
          <w:rFonts w:ascii="方正黑体_GBK" w:hAnsi="Times New Roman" w:eastAsia="方正黑体_GBK"/>
          <w:snapToGrid w:val="0"/>
          <w:kern w:val="0"/>
          <w:sz w:val="32"/>
          <w:szCs w:val="32"/>
        </w:rPr>
      </w:pPr>
      <w:r>
        <w:rPr>
          <w:rFonts w:ascii="方正黑体_GBK" w:hAnsi="Times New Roman" w:eastAsia="方正黑体_GBK"/>
          <w:snapToGrid w:val="0"/>
          <w:kern w:val="0"/>
          <w:sz w:val="32"/>
          <w:szCs w:val="32"/>
        </w:rPr>
        <w:t>（三）强化城市建管精准精细</w:t>
      </w:r>
    </w:p>
    <w:p w14:paraId="0D9F2073">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践行精致建设、精细管理、精美品质的工作标准，加快建设幸福感强的美丽玄武。</w:t>
      </w:r>
    </w:p>
    <w:p w14:paraId="3F7B0F7E">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楷体_GBK"/>
          <w:snapToGrid w:val="0"/>
          <w:kern w:val="0"/>
          <w:sz w:val="32"/>
          <w:szCs w:val="32"/>
        </w:rPr>
        <w:t>推动形象功能双提升。</w:t>
      </w:r>
      <w:r>
        <w:rPr>
          <w:rFonts w:hint="eastAsia" w:ascii="Times New Roman" w:hAnsi="Times New Roman" w:eastAsia="方正仿宋_GBK"/>
          <w:bCs/>
          <w:snapToGrid w:val="0"/>
          <w:kern w:val="0"/>
          <w:sz w:val="32"/>
          <w:szCs w:val="32"/>
        </w:rPr>
        <w:t>统筹推进</w:t>
      </w:r>
      <w:r>
        <w:rPr>
          <w:rFonts w:ascii="Times New Roman" w:hAnsi="Times New Roman" w:eastAsia="方正仿宋_GBK"/>
          <w:bCs/>
          <w:snapToGrid w:val="0"/>
          <w:kern w:val="0"/>
          <w:sz w:val="32"/>
          <w:szCs w:val="32"/>
        </w:rPr>
        <w:t>孝陵卫、铁北红山等新城板块建设</w:t>
      </w:r>
      <w:r>
        <w:rPr>
          <w:rFonts w:hint="eastAsia" w:ascii="Times New Roman" w:hAnsi="Times New Roman" w:eastAsia="方正仿宋_GBK"/>
          <w:bCs/>
          <w:snapToGrid w:val="0"/>
          <w:kern w:val="0"/>
          <w:sz w:val="32"/>
          <w:szCs w:val="32"/>
        </w:rPr>
        <w:t>，</w:t>
      </w:r>
      <w:r>
        <w:rPr>
          <w:rFonts w:ascii="Times New Roman" w:hAnsi="Times New Roman" w:eastAsia="方正仿宋_GBK"/>
          <w:bCs/>
          <w:snapToGrid w:val="0"/>
          <w:kern w:val="0"/>
          <w:sz w:val="32"/>
          <w:szCs w:val="32"/>
        </w:rPr>
        <w:t>及香林寺沟、花红园等老城片区改造，完成8.3万平方米征收改造、6万平方米违建治理，加快实施孝陵卫片区三年整治计划。高标准开展龙蟠路、四牌楼等23条道路街巷整治，积极推动红山路—和燕路快速化改造。分步实施全区居民停车设施建设三年规划，充分开发利用地下空间，建设小营小学地下停车场等4个公共停车场，努力缓解老城</w:t>
      </w:r>
      <w:r>
        <w:rPr>
          <w:rFonts w:hint="eastAsia" w:ascii="方正仿宋_GBK" w:hAnsi="Times New Roman" w:eastAsia="方正仿宋_GBK"/>
          <w:bCs/>
          <w:snapToGrid w:val="0"/>
          <w:kern w:val="0"/>
          <w:sz w:val="32"/>
          <w:szCs w:val="32"/>
        </w:rPr>
        <w:t>“停车难”</w:t>
      </w:r>
      <w:r>
        <w:rPr>
          <w:rFonts w:ascii="Times New Roman" w:hAnsi="Times New Roman" w:eastAsia="方正仿宋_GBK"/>
          <w:bCs/>
          <w:snapToGrid w:val="0"/>
          <w:kern w:val="0"/>
          <w:sz w:val="32"/>
          <w:szCs w:val="32"/>
        </w:rPr>
        <w:t>。</w:t>
      </w:r>
    </w:p>
    <w:p w14:paraId="45239FCA">
      <w:pPr>
        <w:adjustRightInd w:val="0"/>
        <w:snapToGrid w:val="0"/>
        <w:spacing w:line="600" w:lineRule="exact"/>
        <w:ind w:firstLine="640" w:firstLineChars="200"/>
        <w:rPr>
          <w:rFonts w:ascii="方正仿宋_GBK" w:hAnsi="Times New Roman" w:eastAsia="方正仿宋_GBK"/>
          <w:bCs/>
          <w:snapToGrid w:val="0"/>
          <w:kern w:val="0"/>
          <w:sz w:val="32"/>
          <w:szCs w:val="32"/>
        </w:rPr>
      </w:pPr>
      <w:r>
        <w:rPr>
          <w:rFonts w:ascii="Times New Roman" w:hAnsi="Times New Roman" w:eastAsia="方正楷体_GBK"/>
          <w:snapToGrid w:val="0"/>
          <w:kern w:val="0"/>
          <w:sz w:val="32"/>
          <w:szCs w:val="32"/>
        </w:rPr>
        <w:t>开展老旧小区微整治。</w:t>
      </w:r>
      <w:r>
        <w:rPr>
          <w:rFonts w:ascii="Times New Roman" w:hAnsi="Times New Roman" w:eastAsia="方正仿宋_GBK"/>
          <w:bCs/>
          <w:snapToGrid w:val="0"/>
          <w:kern w:val="0"/>
          <w:sz w:val="32"/>
          <w:szCs w:val="32"/>
        </w:rPr>
        <w:t>升级整治标准，完成44万平方米老旧小区整治。</w:t>
      </w:r>
      <w:r>
        <w:rPr>
          <w:rFonts w:hint="eastAsia" w:ascii="方正仿宋_GBK" w:hAnsi="Times New Roman" w:eastAsia="方正仿宋_GBK"/>
          <w:bCs/>
          <w:snapToGrid w:val="0"/>
          <w:kern w:val="0"/>
          <w:sz w:val="32"/>
          <w:szCs w:val="32"/>
        </w:rPr>
        <w:t>在继续做好地面平整、立面出新、加装电梯等工作同时，更加关注公共设施完善和公共空间管理。补齐消防、安全、照明、适老化、体育休闲等配套设施短板，重点实施</w:t>
      </w:r>
      <w:r>
        <w:rPr>
          <w:rFonts w:hint="eastAsia" w:ascii="方正仿宋_GBK" w:hAnsi="Times New Roman" w:eastAsia="方正仿宋_GBK"/>
          <w:bCs/>
          <w:sz w:val="32"/>
          <w:szCs w:val="32"/>
        </w:rPr>
        <w:t>《玄武区住宅楼顶共用部位管理办法》，</w:t>
      </w:r>
      <w:r>
        <w:rPr>
          <w:rFonts w:hint="eastAsia" w:ascii="方正仿宋_GBK" w:hAnsi="Times New Roman" w:eastAsia="方正仿宋_GBK"/>
          <w:bCs/>
          <w:snapToGrid w:val="0"/>
          <w:kern w:val="0"/>
          <w:sz w:val="32"/>
          <w:szCs w:val="32"/>
        </w:rPr>
        <w:t>大力推行楼道革命、环境革命、管理革命“三个革命”，再新建一批“微幸福”服务站。深化小区“一治理三提高”，就小区整治和管理充分征求居民意见，深入了解群众所需所求，进一步提升老百姓参与小区自主管理的意识和能力。</w:t>
      </w:r>
    </w:p>
    <w:p w14:paraId="79C8F61F">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napToGrid w:val="0"/>
          <w:kern w:val="0"/>
          <w:sz w:val="32"/>
          <w:szCs w:val="32"/>
        </w:rPr>
        <w:t>构建城市管理新模式。</w:t>
      </w:r>
      <w:r>
        <w:rPr>
          <w:rFonts w:ascii="Times New Roman" w:hAnsi="Times New Roman" w:eastAsia="方正仿宋_GBK"/>
          <w:bCs/>
          <w:sz w:val="32"/>
          <w:szCs w:val="32"/>
        </w:rPr>
        <w:t>深化街道（园区）综合行政检查执法</w:t>
      </w:r>
      <w:r>
        <w:rPr>
          <w:rFonts w:hint="eastAsia" w:ascii="Times New Roman" w:hAnsi="Times New Roman" w:eastAsia="方正仿宋_GBK"/>
          <w:bCs/>
          <w:sz w:val="32"/>
          <w:szCs w:val="32"/>
        </w:rPr>
        <w:t>队伍</w:t>
      </w:r>
      <w:r>
        <w:rPr>
          <w:rFonts w:ascii="Times New Roman" w:hAnsi="Times New Roman" w:eastAsia="方正仿宋_GBK"/>
          <w:bCs/>
          <w:sz w:val="32"/>
          <w:szCs w:val="32"/>
        </w:rPr>
        <w:t>建设，实现执法人员统一执法、统一办公、统一服装。</w:t>
      </w:r>
      <w:r>
        <w:rPr>
          <w:rFonts w:ascii="Times New Roman" w:hAnsi="Times New Roman" w:eastAsia="方正仿宋_GBK"/>
          <w:bCs/>
          <w:snapToGrid w:val="0"/>
          <w:kern w:val="0"/>
          <w:sz w:val="32"/>
          <w:szCs w:val="32"/>
        </w:rPr>
        <w:t>依托城管服务站，建立完善全域覆盖、权责清晰、多网合一、运行高效的城市管理体制。积极推动环卫作业走向市场，完成南部片区环卫保洁市场化。加快垃圾收运系统建设，全面推进生活垃圾分类。广泛动员社会力量，发挥志愿者作用，共同参与市容监管、秩序维护、文明创建，进一步扩大街巷差异化管理试点范围，常态化抓好机动车非法占道经营整治。在长江路文化旅游大街等重要街区，尝试先做</w:t>
      </w:r>
      <w:r>
        <w:rPr>
          <w:rFonts w:hint="eastAsia" w:ascii="方正仿宋_GBK" w:hAnsi="Times New Roman" w:eastAsia="方正仿宋_GBK"/>
          <w:bCs/>
          <w:snapToGrid w:val="0"/>
          <w:kern w:val="0"/>
          <w:sz w:val="32"/>
          <w:szCs w:val="32"/>
        </w:rPr>
        <w:t>“减法”、再做“加法”</w:t>
      </w:r>
      <w:r>
        <w:rPr>
          <w:rFonts w:ascii="Times New Roman" w:hAnsi="Times New Roman" w:eastAsia="方正仿宋_GBK"/>
          <w:bCs/>
          <w:snapToGrid w:val="0"/>
          <w:kern w:val="0"/>
          <w:sz w:val="32"/>
          <w:szCs w:val="32"/>
        </w:rPr>
        <w:t>，拆除实体围墙，增设景观、雕塑，增加城市开敞空间，</w:t>
      </w:r>
      <w:r>
        <w:rPr>
          <w:rFonts w:hint="eastAsia" w:ascii="Times New Roman" w:hAnsi="Times New Roman" w:eastAsia="方正仿宋_GBK"/>
          <w:bCs/>
          <w:snapToGrid w:val="0"/>
          <w:kern w:val="0"/>
          <w:sz w:val="32"/>
          <w:szCs w:val="32"/>
        </w:rPr>
        <w:t>打造</w:t>
      </w:r>
      <w:r>
        <w:rPr>
          <w:rFonts w:ascii="Times New Roman" w:hAnsi="Times New Roman" w:eastAsia="方正仿宋_GBK"/>
          <w:bCs/>
          <w:snapToGrid w:val="0"/>
          <w:kern w:val="0"/>
          <w:sz w:val="32"/>
          <w:szCs w:val="32"/>
        </w:rPr>
        <w:t>共建共治共享的城市管理新格局。</w:t>
      </w:r>
    </w:p>
    <w:p w14:paraId="0497100C">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楷体_GBK"/>
          <w:snapToGrid w:val="0"/>
          <w:kern w:val="0"/>
          <w:sz w:val="32"/>
          <w:szCs w:val="32"/>
        </w:rPr>
        <w:t>打好污染防治攻坚战。</w:t>
      </w:r>
      <w:r>
        <w:rPr>
          <w:rFonts w:ascii="Times New Roman" w:hAnsi="Times New Roman" w:eastAsia="方正仿宋_GBK"/>
          <w:bCs/>
          <w:snapToGrid w:val="0"/>
          <w:kern w:val="0"/>
          <w:sz w:val="32"/>
          <w:szCs w:val="32"/>
        </w:rPr>
        <w:t>完成全国第二次污染源普查，加强环境监管网格化管理，强化对餐饮、印刷、汽修、加油站等行业的环保监管，严厉打击环境违法行为，对重点环境问题实行挂牌督办。进一步做好河道水质提标监测，全面开展雨污分流</w:t>
      </w:r>
      <w:r>
        <w:rPr>
          <w:rFonts w:hint="eastAsia" w:ascii="方正仿宋_GBK" w:hAnsi="Times New Roman" w:eastAsia="方正仿宋_GBK"/>
          <w:bCs/>
          <w:snapToGrid w:val="0"/>
          <w:kern w:val="0"/>
          <w:sz w:val="32"/>
          <w:szCs w:val="32"/>
        </w:rPr>
        <w:t>“回头看”</w:t>
      </w:r>
      <w:r>
        <w:rPr>
          <w:rFonts w:ascii="Times New Roman" w:hAnsi="Times New Roman" w:eastAsia="方正仿宋_GBK"/>
          <w:bCs/>
          <w:snapToGrid w:val="0"/>
          <w:kern w:val="0"/>
          <w:sz w:val="32"/>
          <w:szCs w:val="32"/>
        </w:rPr>
        <w:t>，压实河长制责任，确保水环境管护长效、长久、常态。运行22个微型空气质量自动监测站，实时掌握、分析空气质量数据，</w:t>
      </w:r>
      <w:r>
        <w:rPr>
          <w:rFonts w:hint="eastAsia" w:ascii="Times New Roman" w:hAnsi="Times New Roman" w:eastAsia="方正仿宋_GBK"/>
          <w:bCs/>
          <w:snapToGrid w:val="0"/>
          <w:kern w:val="0"/>
          <w:sz w:val="32"/>
          <w:szCs w:val="32"/>
        </w:rPr>
        <w:t>做好</w:t>
      </w:r>
      <w:r>
        <w:rPr>
          <w:rFonts w:ascii="Times New Roman" w:hAnsi="Times New Roman" w:eastAsia="方正仿宋_GBK"/>
          <w:bCs/>
          <w:snapToGrid w:val="0"/>
          <w:kern w:val="0"/>
          <w:sz w:val="32"/>
          <w:szCs w:val="32"/>
        </w:rPr>
        <w:t>污染物总量控制和减排，启动燃气锅炉脱硝改造，全面完成餐饮油烟规范治理，继续强化扬尘管控，推进建设工地降噪行动，实现</w:t>
      </w:r>
      <w:r>
        <w:rPr>
          <w:rFonts w:hint="eastAsia" w:ascii="方正仿宋_GBK" w:hAnsi="Times New Roman" w:eastAsia="方正仿宋_GBK"/>
          <w:bCs/>
          <w:sz w:val="32"/>
          <w:szCs w:val="32"/>
          <w:lang w:val="zh-CN"/>
        </w:rPr>
        <w:t>“智慧工地”</w:t>
      </w:r>
      <w:r>
        <w:rPr>
          <w:rFonts w:ascii="Times New Roman" w:hAnsi="Times New Roman" w:eastAsia="方正仿宋_GBK"/>
          <w:bCs/>
          <w:snapToGrid w:val="0"/>
          <w:kern w:val="0"/>
          <w:sz w:val="32"/>
          <w:szCs w:val="32"/>
        </w:rPr>
        <w:t>全覆盖，切实提升大气环境质量和居民环境满意度。</w:t>
      </w:r>
    </w:p>
    <w:p w14:paraId="17F3235F">
      <w:pPr>
        <w:adjustRightInd w:val="0"/>
        <w:snapToGrid w:val="0"/>
        <w:spacing w:line="600" w:lineRule="exact"/>
        <w:ind w:firstLine="640" w:firstLineChars="200"/>
        <w:rPr>
          <w:rFonts w:ascii="方正黑体_GBK" w:hAnsi="Times New Roman" w:eastAsia="方正黑体_GBK"/>
          <w:snapToGrid w:val="0"/>
          <w:kern w:val="0"/>
          <w:sz w:val="32"/>
          <w:szCs w:val="32"/>
        </w:rPr>
      </w:pPr>
      <w:r>
        <w:rPr>
          <w:rFonts w:ascii="方正黑体_GBK" w:hAnsi="Times New Roman" w:eastAsia="方正黑体_GBK"/>
          <w:snapToGrid w:val="0"/>
          <w:kern w:val="0"/>
          <w:sz w:val="32"/>
          <w:szCs w:val="32"/>
        </w:rPr>
        <w:t>（四）提高民生服务保障水平</w:t>
      </w:r>
    </w:p>
    <w:p w14:paraId="336593BF">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始终把人民利益摆在至高无上的地位，在发展中不断满足人民日益增长的美好生活需要。</w:t>
      </w:r>
    </w:p>
    <w:p w14:paraId="5B055DAF">
      <w:pPr>
        <w:adjustRightInd w:val="0"/>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楷体_GBK"/>
          <w:snapToGrid w:val="0"/>
          <w:kern w:val="0"/>
          <w:sz w:val="32"/>
          <w:szCs w:val="32"/>
        </w:rPr>
        <w:t>提高保障水平。</w:t>
      </w:r>
      <w:r>
        <w:rPr>
          <w:rFonts w:ascii="Times New Roman" w:hAnsi="Times New Roman" w:eastAsia="方正仿宋_GBK"/>
          <w:bCs/>
          <w:snapToGrid w:val="0"/>
          <w:kern w:val="0"/>
          <w:sz w:val="32"/>
          <w:szCs w:val="32"/>
        </w:rPr>
        <w:t>实施就业优先政策，结合支持民营经济、小微企业发展，多渠道促进就业，新增城镇就业1</w:t>
      </w:r>
      <w:r>
        <w:rPr>
          <w:rFonts w:hint="eastAsia" w:ascii="Times New Roman" w:hAnsi="Times New Roman" w:eastAsia="方正仿宋_GBK"/>
          <w:bCs/>
          <w:snapToGrid w:val="0"/>
          <w:kern w:val="0"/>
          <w:sz w:val="32"/>
          <w:szCs w:val="32"/>
        </w:rPr>
        <w:t>.</w:t>
      </w:r>
      <w:r>
        <w:rPr>
          <w:rFonts w:ascii="Times New Roman" w:hAnsi="Times New Roman" w:eastAsia="方正仿宋_GBK"/>
          <w:bCs/>
          <w:snapToGrid w:val="0"/>
          <w:kern w:val="0"/>
          <w:sz w:val="32"/>
          <w:szCs w:val="32"/>
        </w:rPr>
        <w:t>8</w:t>
      </w:r>
      <w:r>
        <w:rPr>
          <w:rFonts w:hint="eastAsia" w:ascii="Times New Roman" w:hAnsi="Times New Roman" w:eastAsia="方正仿宋_GBK"/>
          <w:bCs/>
          <w:snapToGrid w:val="0"/>
          <w:kern w:val="0"/>
          <w:sz w:val="32"/>
          <w:szCs w:val="32"/>
        </w:rPr>
        <w:t>万</w:t>
      </w:r>
      <w:r>
        <w:rPr>
          <w:rFonts w:ascii="Times New Roman" w:hAnsi="Times New Roman" w:eastAsia="方正仿宋_GBK"/>
          <w:bCs/>
          <w:snapToGrid w:val="0"/>
          <w:kern w:val="0"/>
          <w:sz w:val="32"/>
          <w:szCs w:val="32"/>
        </w:rPr>
        <w:t>人、大学生就业2</w:t>
      </w:r>
      <w:r>
        <w:rPr>
          <w:rFonts w:hint="eastAsia" w:ascii="Times New Roman" w:hAnsi="Times New Roman" w:eastAsia="方正仿宋_GBK"/>
          <w:bCs/>
          <w:snapToGrid w:val="0"/>
          <w:kern w:val="0"/>
          <w:sz w:val="32"/>
          <w:szCs w:val="32"/>
        </w:rPr>
        <w:t>.</w:t>
      </w:r>
      <w:r>
        <w:rPr>
          <w:rFonts w:ascii="Times New Roman" w:hAnsi="Times New Roman" w:eastAsia="方正仿宋_GBK"/>
          <w:bCs/>
          <w:snapToGrid w:val="0"/>
          <w:kern w:val="0"/>
          <w:sz w:val="32"/>
          <w:szCs w:val="32"/>
        </w:rPr>
        <w:t>1</w:t>
      </w:r>
      <w:r>
        <w:rPr>
          <w:rFonts w:hint="eastAsia" w:ascii="Times New Roman" w:hAnsi="Times New Roman" w:eastAsia="方正仿宋_GBK"/>
          <w:bCs/>
          <w:snapToGrid w:val="0"/>
          <w:kern w:val="0"/>
          <w:sz w:val="32"/>
          <w:szCs w:val="32"/>
        </w:rPr>
        <w:t>万</w:t>
      </w:r>
      <w:r>
        <w:rPr>
          <w:rFonts w:ascii="Times New Roman" w:hAnsi="Times New Roman" w:eastAsia="方正仿宋_GBK"/>
          <w:bCs/>
          <w:snapToGrid w:val="0"/>
          <w:kern w:val="0"/>
          <w:sz w:val="32"/>
          <w:szCs w:val="32"/>
        </w:rPr>
        <w:t>人，实现再就业7000人，培育自主创业4500人；及时开展失业人员就业援助；推进退役军人创业基地建设。织密帮扶保障网，</w:t>
      </w:r>
      <w:r>
        <w:rPr>
          <w:rFonts w:ascii="Times New Roman" w:hAnsi="Times New Roman" w:eastAsia="方正仿宋_GBK"/>
          <w:bCs/>
          <w:sz w:val="32"/>
          <w:szCs w:val="32"/>
          <w:lang w:val="zh-CN"/>
        </w:rPr>
        <w:t>完善困难群体救助长效保障机制，对困难群体做到</w:t>
      </w:r>
      <w:r>
        <w:rPr>
          <w:rFonts w:hint="eastAsia" w:ascii="方正仿宋_GBK" w:hAnsi="Times New Roman" w:eastAsia="方正仿宋_GBK"/>
          <w:bCs/>
          <w:sz w:val="32"/>
          <w:szCs w:val="32"/>
          <w:lang w:val="zh-CN"/>
        </w:rPr>
        <w:t>“应助尽助”</w:t>
      </w:r>
      <w:r>
        <w:rPr>
          <w:rFonts w:ascii="Times New Roman" w:hAnsi="Times New Roman" w:eastAsia="方正仿宋_GBK"/>
          <w:bCs/>
          <w:sz w:val="32"/>
          <w:szCs w:val="32"/>
          <w:lang w:val="zh-CN"/>
        </w:rPr>
        <w:t>；实施精准帮扶，帮助100名</w:t>
      </w:r>
      <w:r>
        <w:rPr>
          <w:rFonts w:ascii="Times New Roman" w:hAnsi="Times New Roman" w:eastAsia="方正仿宋_GBK"/>
          <w:sz w:val="32"/>
          <w:szCs w:val="32"/>
          <w:lang w:val="zh-CN"/>
        </w:rPr>
        <w:t>具备就业条件的低保及低保边缘人员再就业，实现绝对贫困群体每人每年获得5000元救助。</w:t>
      </w:r>
      <w:r>
        <w:rPr>
          <w:rFonts w:ascii="Times New Roman" w:hAnsi="Times New Roman" w:eastAsia="方正仿宋_GBK"/>
          <w:bCs/>
          <w:sz w:val="32"/>
          <w:szCs w:val="32"/>
        </w:rPr>
        <w:t>稳妥推进机关事业单位养老保险改革，加强企业退休人员社会化管理。</w:t>
      </w:r>
    </w:p>
    <w:p w14:paraId="639B74FB">
      <w:pPr>
        <w:adjustRightInd w:val="0"/>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楷体_GBK"/>
          <w:snapToGrid w:val="0"/>
          <w:kern w:val="0"/>
          <w:sz w:val="32"/>
          <w:szCs w:val="32"/>
        </w:rPr>
        <w:t>聚焦群众关切。</w:t>
      </w:r>
      <w:r>
        <w:rPr>
          <w:rFonts w:ascii="Times New Roman" w:hAnsi="Times New Roman" w:eastAsia="方正仿宋_GBK"/>
          <w:bCs/>
          <w:sz w:val="32"/>
          <w:szCs w:val="32"/>
        </w:rPr>
        <w:t>持续优化教育资源布局，推进教育集团办学。重点实施新名校发展计划，加快建设一批在全省</w:t>
      </w:r>
      <w:r>
        <w:rPr>
          <w:rFonts w:hint="eastAsia" w:ascii="Times New Roman" w:hAnsi="Times New Roman" w:eastAsia="方正仿宋_GBK"/>
          <w:bCs/>
          <w:sz w:val="32"/>
          <w:szCs w:val="32"/>
        </w:rPr>
        <w:t>、</w:t>
      </w:r>
      <w:r>
        <w:rPr>
          <w:rFonts w:ascii="Times New Roman" w:hAnsi="Times New Roman" w:eastAsia="方正仿宋_GBK"/>
          <w:bCs/>
          <w:sz w:val="32"/>
          <w:szCs w:val="32"/>
        </w:rPr>
        <w:t>全市范围内有示范引领作用的义务教育名校。推进特殊教育二期提升工程，分类普及残疾儿童少年15年教育。深化医药卫生体制改革，完善卫生应急与疾控体系，实施基层中医药服务能力提升工程，推动流动人口卫生计生基本公共服务均等化。积极恢复建设玄武中医院，建成徐庄社区卫生服务站。持续推进农贸市场提档升级改造，不断提高平价店管理水平。打造</w:t>
      </w:r>
      <w:r>
        <w:rPr>
          <w:rFonts w:hint="eastAsia" w:ascii="方正仿宋_GBK" w:hAnsi="Times New Roman" w:eastAsia="方正仿宋_GBK"/>
          <w:bCs/>
          <w:sz w:val="32"/>
          <w:szCs w:val="32"/>
        </w:rPr>
        <w:t>“名家精品惠万家”</w:t>
      </w:r>
      <w:r>
        <w:rPr>
          <w:rFonts w:ascii="Times New Roman" w:hAnsi="Times New Roman" w:eastAsia="方正仿宋_GBK"/>
          <w:bCs/>
          <w:sz w:val="32"/>
          <w:szCs w:val="32"/>
        </w:rPr>
        <w:t>文化惠民新品牌，推动区级文保单位</w:t>
      </w:r>
      <w:r>
        <w:rPr>
          <w:rFonts w:hint="eastAsia" w:ascii="方正仿宋_GBK" w:hAnsi="Times New Roman" w:eastAsia="方正仿宋_GBK"/>
          <w:bCs/>
          <w:sz w:val="32"/>
          <w:szCs w:val="32"/>
        </w:rPr>
        <w:t>“四有”</w:t>
      </w:r>
      <w:r>
        <w:rPr>
          <w:rFonts w:ascii="Times New Roman" w:hAnsi="Times New Roman" w:eastAsia="方正仿宋_GBK"/>
          <w:bCs/>
          <w:sz w:val="32"/>
          <w:szCs w:val="32"/>
          <w:vertAlign w:val="superscript"/>
        </w:rPr>
        <w:t>21</w:t>
      </w:r>
      <w:r>
        <w:rPr>
          <w:rFonts w:ascii="Times New Roman" w:hAnsi="Times New Roman" w:eastAsia="方正仿宋_GBK"/>
          <w:bCs/>
          <w:sz w:val="32"/>
          <w:szCs w:val="32"/>
        </w:rPr>
        <w:t>管理全覆盖。加强公共体育设施建设与管理，广泛开展全民健身活动。</w:t>
      </w:r>
      <w:r>
        <w:rPr>
          <w:rFonts w:ascii="Times New Roman" w:hAnsi="Times New Roman" w:eastAsia="方正仿宋_GBK"/>
          <w:bCs/>
          <w:snapToGrid w:val="0"/>
          <w:kern w:val="0"/>
          <w:sz w:val="32"/>
          <w:szCs w:val="32"/>
        </w:rPr>
        <w:t>完成第七届社区居委会换届选举。</w:t>
      </w:r>
    </w:p>
    <w:p w14:paraId="02C4AB22">
      <w:pPr>
        <w:adjustRightInd w:val="0"/>
        <w:snapToGrid w:val="0"/>
        <w:spacing w:line="600" w:lineRule="exact"/>
        <w:ind w:firstLine="640" w:firstLineChars="200"/>
        <w:rPr>
          <w:rFonts w:ascii="Times New Roman" w:hAnsi="Times New Roman" w:eastAsia="方正仿宋_GBK"/>
          <w:bCs/>
          <w:sz w:val="32"/>
          <w:szCs w:val="32"/>
        </w:rPr>
      </w:pPr>
      <w:r>
        <w:rPr>
          <w:rFonts w:ascii="Times New Roman" w:hAnsi="Times New Roman" w:eastAsia="方正楷体_GBK"/>
          <w:snapToGrid w:val="0"/>
          <w:kern w:val="0"/>
          <w:sz w:val="32"/>
          <w:szCs w:val="32"/>
        </w:rPr>
        <w:t>健全养老体系。</w:t>
      </w:r>
      <w:r>
        <w:rPr>
          <w:rFonts w:ascii="Times New Roman" w:hAnsi="Times New Roman" w:eastAsia="方正仿宋_GBK"/>
          <w:bCs/>
          <w:snapToGrid w:val="0"/>
          <w:kern w:val="0"/>
          <w:sz w:val="32"/>
          <w:szCs w:val="32"/>
        </w:rPr>
        <w:t>继续推动老年人日间照料中心、居家养老服务中心、老年助餐中心和助餐点建设，</w:t>
      </w:r>
      <w:r>
        <w:rPr>
          <w:rFonts w:ascii="Times New Roman" w:hAnsi="Times New Roman" w:eastAsia="方正仿宋_GBK"/>
          <w:bCs/>
          <w:sz w:val="32"/>
          <w:szCs w:val="32"/>
        </w:rPr>
        <w:t>实现每千名老人拥有养老床位40张</w:t>
      </w:r>
      <w:r>
        <w:rPr>
          <w:rFonts w:ascii="Times New Roman" w:hAnsi="Times New Roman" w:eastAsia="方正仿宋_GBK"/>
          <w:bCs/>
          <w:snapToGrid w:val="0"/>
          <w:kern w:val="0"/>
          <w:sz w:val="32"/>
          <w:szCs w:val="32"/>
        </w:rPr>
        <w:t>。</w:t>
      </w:r>
      <w:r>
        <w:rPr>
          <w:rFonts w:ascii="Times New Roman" w:hAnsi="Times New Roman" w:eastAsia="方正仿宋_GBK"/>
          <w:bCs/>
          <w:sz w:val="32"/>
          <w:szCs w:val="32"/>
        </w:rPr>
        <w:t>加快落实《南京市提升养老院服务质量若干意见（试行）》，</w:t>
      </w:r>
      <w:r>
        <w:rPr>
          <w:rFonts w:ascii="Times New Roman" w:hAnsi="Times New Roman" w:eastAsia="方正仿宋_GBK"/>
          <w:bCs/>
          <w:snapToGrid w:val="0"/>
          <w:kern w:val="0"/>
          <w:sz w:val="32"/>
          <w:szCs w:val="32"/>
        </w:rPr>
        <w:t>加强养老机构监督管理，提升养老服务专业化、规范化水平</w:t>
      </w:r>
      <w:r>
        <w:rPr>
          <w:rFonts w:ascii="Times New Roman" w:hAnsi="Times New Roman" w:eastAsia="方正仿宋_GBK"/>
          <w:bCs/>
          <w:sz w:val="32"/>
          <w:szCs w:val="32"/>
        </w:rPr>
        <w:t>，探索</w:t>
      </w:r>
      <w:r>
        <w:rPr>
          <w:rFonts w:hint="eastAsia" w:ascii="方正仿宋_GBK" w:hAnsi="Times New Roman" w:eastAsia="方正仿宋_GBK"/>
          <w:bCs/>
          <w:sz w:val="32"/>
          <w:szCs w:val="32"/>
        </w:rPr>
        <w:t>“互联网+居家医护”</w:t>
      </w:r>
      <w:r>
        <w:rPr>
          <w:rFonts w:ascii="Times New Roman" w:hAnsi="Times New Roman" w:eastAsia="方正仿宋_GBK"/>
          <w:bCs/>
          <w:sz w:val="32"/>
          <w:szCs w:val="32"/>
        </w:rPr>
        <w:t>医养融合新模式。继续为85周岁以上常住老人提供每月3小时上门照护服务。开展独居老人居家养老风险评估</w:t>
      </w:r>
      <w:r>
        <w:rPr>
          <w:rFonts w:hint="eastAsia" w:ascii="Times New Roman" w:hAnsi="Times New Roman" w:eastAsia="方正仿宋_GBK"/>
          <w:bCs/>
          <w:sz w:val="32"/>
          <w:szCs w:val="32"/>
        </w:rPr>
        <w:t>，实现分级管理</w:t>
      </w:r>
      <w:r>
        <w:rPr>
          <w:rFonts w:ascii="Times New Roman" w:hAnsi="Times New Roman" w:eastAsia="方正仿宋_GBK"/>
          <w:bCs/>
          <w:sz w:val="32"/>
          <w:szCs w:val="32"/>
        </w:rPr>
        <w:t>。更加关注外来常住老人的养老需求，</w:t>
      </w:r>
      <w:r>
        <w:rPr>
          <w:rFonts w:ascii="Times New Roman" w:hAnsi="Times New Roman" w:eastAsia="方正仿宋_GBK"/>
          <w:bCs/>
          <w:sz w:val="32"/>
          <w:szCs w:val="32"/>
          <w:lang w:val="zh-CN"/>
        </w:rPr>
        <w:t>探索构建异地养老社会支持体系，</w:t>
      </w:r>
      <w:r>
        <w:rPr>
          <w:rFonts w:ascii="Times New Roman" w:hAnsi="Times New Roman" w:eastAsia="方正仿宋_GBK"/>
          <w:bCs/>
          <w:sz w:val="32"/>
          <w:szCs w:val="32"/>
        </w:rPr>
        <w:t>试点</w:t>
      </w:r>
      <w:r>
        <w:rPr>
          <w:rFonts w:hint="eastAsia" w:ascii="Times New Roman" w:hAnsi="Times New Roman" w:eastAsia="方正仿宋_GBK"/>
          <w:bCs/>
          <w:sz w:val="32"/>
          <w:szCs w:val="32"/>
        </w:rPr>
        <w:t>提供</w:t>
      </w:r>
      <w:r>
        <w:rPr>
          <w:rFonts w:ascii="Times New Roman" w:hAnsi="Times New Roman" w:eastAsia="方正仿宋_GBK"/>
          <w:bCs/>
          <w:sz w:val="32"/>
          <w:szCs w:val="32"/>
        </w:rPr>
        <w:t>上门照护服务、家庭养老床位，逐步推动</w:t>
      </w:r>
      <w:r>
        <w:rPr>
          <w:rFonts w:hint="eastAsia" w:ascii="方正仿宋_GBK" w:hAnsi="Times New Roman" w:eastAsia="方正仿宋_GBK"/>
          <w:bCs/>
          <w:sz w:val="32"/>
          <w:szCs w:val="32"/>
        </w:rPr>
        <w:t>“老漂一族”</w:t>
      </w:r>
      <w:r>
        <w:rPr>
          <w:rFonts w:ascii="Times New Roman" w:hAnsi="Times New Roman" w:eastAsia="方正仿宋_GBK"/>
          <w:bCs/>
          <w:sz w:val="32"/>
          <w:szCs w:val="32"/>
        </w:rPr>
        <w:t>享</w:t>
      </w:r>
      <w:r>
        <w:rPr>
          <w:rFonts w:ascii="Times New Roman" w:hAnsi="Times New Roman" w:eastAsia="方正仿宋_GBK"/>
          <w:bCs/>
          <w:sz w:val="32"/>
          <w:szCs w:val="32"/>
          <w:lang w:val="zh-CN"/>
        </w:rPr>
        <w:t>受养老同城服务。</w:t>
      </w:r>
    </w:p>
    <w:p w14:paraId="4F0600B1">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napToGrid w:val="0"/>
          <w:kern w:val="0"/>
          <w:sz w:val="32"/>
          <w:szCs w:val="32"/>
        </w:rPr>
        <w:t>维护社会稳定。</w:t>
      </w:r>
      <w:r>
        <w:rPr>
          <w:rFonts w:ascii="Times New Roman" w:hAnsi="Times New Roman" w:eastAsia="方正仿宋_GBK"/>
          <w:sz w:val="32"/>
          <w:szCs w:val="32"/>
          <w:lang w:val="zh-CN"/>
        </w:rPr>
        <w:t>全力以赴打好金融风险防范和化解攻坚战，认真落实防范和处置非法集资及互联网金融风险整治的</w:t>
      </w:r>
      <w:r>
        <w:rPr>
          <w:rFonts w:ascii="Times New Roman" w:hAnsi="Times New Roman" w:eastAsia="方正仿宋_GBK"/>
          <w:sz w:val="32"/>
          <w:szCs w:val="32"/>
        </w:rPr>
        <w:t>属地责任、工作责任和监管责任</w:t>
      </w:r>
      <w:r>
        <w:rPr>
          <w:rFonts w:ascii="Times New Roman" w:hAnsi="Times New Roman" w:eastAsia="方正仿宋_GBK"/>
          <w:sz w:val="32"/>
          <w:szCs w:val="32"/>
          <w:lang w:val="zh-CN"/>
        </w:rPr>
        <w:t>。依托社会治理一体化平台，扎实开展社会矛盾与安全生产大排查大整治，加大信访积案化解力度，坚决遏制重特大安全事故。充分发挥区信用体系云平台功能，大力推动政务诚信、商务诚信、社会诚信和司法公信等重点领域信用建设，推进信用信息共建共享，实现政府信用、企业信誉、社会信心、人与人信任整体提升。</w:t>
      </w:r>
    </w:p>
    <w:p w14:paraId="77ED6B33">
      <w:pPr>
        <w:adjustRightInd w:val="0"/>
        <w:snapToGri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楷体_GBK"/>
          <w:snapToGrid w:val="0"/>
          <w:kern w:val="0"/>
          <w:sz w:val="32"/>
          <w:szCs w:val="32"/>
        </w:rPr>
        <w:t>办好民生实事。</w:t>
      </w:r>
      <w:r>
        <w:rPr>
          <w:rFonts w:ascii="Times New Roman" w:hAnsi="Times New Roman" w:eastAsia="方正仿宋_GBK"/>
          <w:sz w:val="32"/>
          <w:szCs w:val="32"/>
          <w:lang w:val="zh-CN"/>
        </w:rPr>
        <w:t>继续坚持问题导向、需求导向，解决好人民群众最关心最直接最现实的利益问题。今年，我们在广泛征集民意和代表、委员意见的基础上，围绕群众最关心的公共服务、城市功能、生态环境、保障惠民四个方面，</w:t>
      </w:r>
      <w:r>
        <w:rPr>
          <w:rFonts w:hint="eastAsia" w:ascii="Times New Roman" w:hAnsi="Times New Roman" w:eastAsia="方正仿宋_GBK"/>
          <w:sz w:val="32"/>
          <w:szCs w:val="32"/>
        </w:rPr>
        <w:t>着力</w:t>
      </w:r>
      <w:r>
        <w:rPr>
          <w:rFonts w:ascii="Times New Roman" w:hAnsi="Times New Roman" w:eastAsia="方正仿宋_GBK"/>
          <w:sz w:val="32"/>
          <w:szCs w:val="32"/>
          <w:lang w:val="zh-CN"/>
        </w:rPr>
        <w:t>再办好20件民生实事（</w:t>
      </w:r>
      <w:r>
        <w:rPr>
          <w:rFonts w:ascii="Times New Roman" w:hAnsi="Times New Roman" w:eastAsia="方正楷体_GBK"/>
          <w:sz w:val="32"/>
          <w:szCs w:val="32"/>
          <w:lang w:val="zh-CN"/>
        </w:rPr>
        <w:t>见附件1</w:t>
      </w:r>
      <w:r>
        <w:rPr>
          <w:rFonts w:ascii="Times New Roman" w:hAnsi="Times New Roman" w:eastAsia="方正仿宋_GBK"/>
          <w:sz w:val="32"/>
          <w:szCs w:val="32"/>
          <w:lang w:val="zh-CN"/>
        </w:rPr>
        <w:t>），把老百姓的操心事、烦心事、揪心事，一件一件加以解决。</w:t>
      </w:r>
    </w:p>
    <w:p w14:paraId="62C1C9A0">
      <w:pPr>
        <w:adjustRightInd w:val="0"/>
        <w:snapToGrid w:val="0"/>
        <w:spacing w:line="600" w:lineRule="exact"/>
        <w:ind w:firstLine="640" w:firstLineChars="200"/>
        <w:rPr>
          <w:rFonts w:ascii="方正黑体_GBK" w:hAnsi="Times New Roman" w:eastAsia="方正黑体_GBK"/>
          <w:snapToGrid w:val="0"/>
          <w:kern w:val="0"/>
          <w:sz w:val="32"/>
          <w:szCs w:val="32"/>
        </w:rPr>
      </w:pPr>
      <w:r>
        <w:rPr>
          <w:rFonts w:ascii="方正黑体_GBK" w:hAnsi="Times New Roman" w:eastAsia="方正黑体_GBK"/>
          <w:snapToGrid w:val="0"/>
          <w:kern w:val="0"/>
          <w:sz w:val="32"/>
          <w:szCs w:val="32"/>
        </w:rPr>
        <w:t>（五）建设人民满意的服务型政府</w:t>
      </w:r>
    </w:p>
    <w:p w14:paraId="6CE88D2A">
      <w:pPr>
        <w:adjustRightInd w:val="0"/>
        <w:snapToGrid w:val="0"/>
        <w:spacing w:line="600"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贯彻全面</w:t>
      </w:r>
      <w:bookmarkStart w:id="0" w:name="_GoBack"/>
      <w:bookmarkEnd w:id="0"/>
      <w:r>
        <w:rPr>
          <w:rFonts w:ascii="Times New Roman" w:hAnsi="Times New Roman" w:eastAsia="方正仿宋_GBK"/>
          <w:bCs/>
          <w:sz w:val="32"/>
          <w:szCs w:val="32"/>
        </w:rPr>
        <w:t>从严治党要求，以人民群众的满意度为出发点和落脚点，全面深化改革，深入改进作风，为人民提供优质高效服务。</w:t>
      </w:r>
    </w:p>
    <w:p w14:paraId="3946B06E">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hint="eastAsia" w:ascii="Times New Roman" w:hAnsi="Times New Roman" w:eastAsia="方正楷体_GBK"/>
          <w:snapToGrid w:val="0"/>
          <w:kern w:val="0"/>
          <w:sz w:val="32"/>
          <w:szCs w:val="32"/>
        </w:rPr>
        <w:t>提高</w:t>
      </w:r>
      <w:r>
        <w:rPr>
          <w:rFonts w:ascii="Times New Roman" w:hAnsi="Times New Roman" w:eastAsia="方正楷体_GBK"/>
          <w:snapToGrid w:val="0"/>
          <w:kern w:val="0"/>
          <w:sz w:val="32"/>
          <w:szCs w:val="32"/>
        </w:rPr>
        <w:t>政治站位。</w:t>
      </w:r>
      <w:r>
        <w:rPr>
          <w:rFonts w:ascii="Times New Roman" w:hAnsi="Times New Roman" w:eastAsia="方正仿宋_GBK"/>
          <w:bCs/>
          <w:snapToGrid w:val="0"/>
          <w:kern w:val="0"/>
          <w:sz w:val="32"/>
          <w:szCs w:val="32"/>
        </w:rPr>
        <w:t>将旗帜鲜明讲政治作为一以贯之的要求，坚持以习近平新时代中国特色社会主义思想为指导，牢固树立</w:t>
      </w:r>
      <w:r>
        <w:rPr>
          <w:rFonts w:hint="eastAsia" w:ascii="方正仿宋_GBK" w:hAnsi="Times New Roman" w:eastAsia="方正仿宋_GBK"/>
          <w:bCs/>
          <w:snapToGrid w:val="0"/>
          <w:kern w:val="0"/>
          <w:sz w:val="32"/>
          <w:szCs w:val="32"/>
        </w:rPr>
        <w:t>“四个意识”</w:t>
      </w:r>
      <w:r>
        <w:rPr>
          <w:rFonts w:ascii="Times New Roman" w:hAnsi="Times New Roman" w:eastAsia="方正仿宋_GBK"/>
          <w:bCs/>
          <w:snapToGrid w:val="0"/>
          <w:kern w:val="0"/>
          <w:sz w:val="32"/>
          <w:szCs w:val="32"/>
          <w:vertAlign w:val="superscript"/>
        </w:rPr>
        <w:t>22</w:t>
      </w:r>
      <w:r>
        <w:rPr>
          <w:rFonts w:ascii="Times New Roman" w:hAnsi="Times New Roman" w:eastAsia="方正仿宋_GBK"/>
          <w:bCs/>
          <w:snapToGrid w:val="0"/>
          <w:kern w:val="0"/>
          <w:sz w:val="32"/>
          <w:szCs w:val="32"/>
        </w:rPr>
        <w:t>，坚定</w:t>
      </w:r>
      <w:r>
        <w:rPr>
          <w:rFonts w:hint="eastAsia" w:ascii="方正仿宋_GBK" w:hAnsi="Times New Roman" w:eastAsia="方正仿宋_GBK"/>
          <w:bCs/>
          <w:snapToGrid w:val="0"/>
          <w:kern w:val="0"/>
          <w:sz w:val="32"/>
          <w:szCs w:val="32"/>
        </w:rPr>
        <w:t>“四个自信”</w:t>
      </w:r>
      <w:r>
        <w:rPr>
          <w:rFonts w:ascii="Times New Roman" w:hAnsi="Times New Roman" w:eastAsia="方正仿宋_GBK"/>
          <w:bCs/>
          <w:snapToGrid w:val="0"/>
          <w:kern w:val="0"/>
          <w:sz w:val="32"/>
          <w:szCs w:val="32"/>
          <w:vertAlign w:val="superscript"/>
        </w:rPr>
        <w:t>23</w:t>
      </w:r>
      <w:r>
        <w:rPr>
          <w:rFonts w:ascii="Times New Roman" w:hAnsi="Times New Roman" w:eastAsia="方正仿宋_GBK"/>
          <w:bCs/>
          <w:snapToGrid w:val="0"/>
          <w:kern w:val="0"/>
          <w:sz w:val="32"/>
          <w:szCs w:val="32"/>
        </w:rPr>
        <w:t>，践行</w:t>
      </w:r>
      <w:r>
        <w:rPr>
          <w:rFonts w:hint="eastAsia" w:ascii="方正仿宋_GBK" w:hAnsi="Times New Roman" w:eastAsia="方正仿宋_GBK"/>
          <w:bCs/>
          <w:snapToGrid w:val="0"/>
          <w:kern w:val="0"/>
          <w:sz w:val="32"/>
          <w:szCs w:val="32"/>
        </w:rPr>
        <w:t>“两个维护”</w:t>
      </w:r>
      <w:r>
        <w:rPr>
          <w:rFonts w:ascii="Times New Roman" w:hAnsi="Times New Roman" w:eastAsia="方正仿宋_GBK"/>
          <w:bCs/>
          <w:snapToGrid w:val="0"/>
          <w:kern w:val="0"/>
          <w:sz w:val="32"/>
          <w:szCs w:val="32"/>
          <w:vertAlign w:val="superscript"/>
        </w:rPr>
        <w:t>24</w:t>
      </w:r>
      <w:r>
        <w:rPr>
          <w:rFonts w:ascii="Times New Roman" w:hAnsi="Times New Roman" w:eastAsia="方正仿宋_GBK"/>
          <w:bCs/>
          <w:snapToGrid w:val="0"/>
          <w:kern w:val="0"/>
          <w:sz w:val="32"/>
          <w:szCs w:val="32"/>
        </w:rPr>
        <w:t>，始终在思想上政治上行动上同以习近平同志为核心的党中央保持高度一致。学习贯彻党支部工作条例，充分发挥区政府党组、行政系统党组织作用，坚决破除形式主义和官僚主义，严格落实党风廉政建设、意识形态工作主体责任。持续抓好中央巡视反馈意见后续整改，强化建章立制，不断深化巩固巡视整改成果。</w:t>
      </w:r>
    </w:p>
    <w:p w14:paraId="66626574">
      <w:pPr>
        <w:adjustRightInd w:val="0"/>
        <w:snapToGrid w:val="0"/>
        <w:spacing w:line="600" w:lineRule="exact"/>
        <w:ind w:firstLine="640" w:firstLineChars="200"/>
        <w:rPr>
          <w:rFonts w:ascii="Times New Roman" w:hAnsi="Times New Roman" w:eastAsia="楷体"/>
          <w:b/>
          <w:bCs/>
          <w:snapToGrid w:val="0"/>
          <w:kern w:val="0"/>
          <w:sz w:val="32"/>
          <w:szCs w:val="32"/>
        </w:rPr>
      </w:pPr>
      <w:r>
        <w:rPr>
          <w:rFonts w:hint="eastAsia" w:ascii="Times New Roman" w:hAnsi="Times New Roman" w:eastAsia="方正楷体_GBK"/>
          <w:snapToGrid w:val="0"/>
          <w:kern w:val="0"/>
          <w:sz w:val="32"/>
          <w:szCs w:val="32"/>
        </w:rPr>
        <w:t>提高</w:t>
      </w:r>
      <w:r>
        <w:rPr>
          <w:rFonts w:ascii="Times New Roman" w:hAnsi="Times New Roman" w:eastAsia="方正楷体_GBK"/>
          <w:snapToGrid w:val="0"/>
          <w:kern w:val="0"/>
          <w:sz w:val="32"/>
          <w:szCs w:val="32"/>
        </w:rPr>
        <w:t>行政效能。</w:t>
      </w:r>
      <w:r>
        <w:rPr>
          <w:rFonts w:ascii="Times New Roman" w:hAnsi="Times New Roman" w:eastAsia="方正仿宋_GBK"/>
          <w:bCs/>
          <w:sz w:val="32"/>
          <w:szCs w:val="32"/>
        </w:rPr>
        <w:t>深入推进供给侧结构性改革，完成</w:t>
      </w:r>
      <w:r>
        <w:rPr>
          <w:rFonts w:hint="eastAsia" w:ascii="方正仿宋_GBK" w:hAnsi="Times New Roman" w:eastAsia="方正仿宋_GBK"/>
          <w:bCs/>
          <w:sz w:val="32"/>
          <w:szCs w:val="32"/>
        </w:rPr>
        <w:t>“补短板”</w:t>
      </w:r>
      <w:r>
        <w:rPr>
          <w:rFonts w:ascii="Times New Roman" w:hAnsi="Times New Roman" w:eastAsia="方正仿宋_GBK"/>
          <w:bCs/>
          <w:spacing w:val="-4"/>
          <w:sz w:val="32"/>
          <w:szCs w:val="32"/>
        </w:rPr>
        <w:t>三年行动计划。继续深化“放管服”改革，扎实推进</w:t>
      </w:r>
      <w:r>
        <w:rPr>
          <w:rFonts w:hint="eastAsia" w:ascii="方正仿宋_GBK" w:hAnsi="Times New Roman" w:eastAsia="方正仿宋_GBK"/>
          <w:bCs/>
          <w:spacing w:val="-4"/>
          <w:sz w:val="32"/>
          <w:szCs w:val="32"/>
        </w:rPr>
        <w:t>“不见面”</w:t>
      </w:r>
      <w:r>
        <w:rPr>
          <w:rFonts w:ascii="Times New Roman" w:hAnsi="Times New Roman" w:eastAsia="方正仿宋_GBK"/>
          <w:bCs/>
          <w:spacing w:val="-4"/>
          <w:sz w:val="32"/>
          <w:szCs w:val="32"/>
        </w:rPr>
        <w:t>审批</w:t>
      </w:r>
      <w:r>
        <w:rPr>
          <w:rFonts w:ascii="Times New Roman" w:hAnsi="Times New Roman" w:eastAsia="方正仿宋_GBK"/>
          <w:bCs/>
          <w:sz w:val="32"/>
          <w:szCs w:val="32"/>
          <w:vertAlign w:val="superscript"/>
        </w:rPr>
        <w:t>25</w:t>
      </w:r>
      <w:r>
        <w:rPr>
          <w:rFonts w:ascii="Times New Roman" w:hAnsi="Times New Roman" w:eastAsia="方正仿宋_GBK"/>
          <w:bCs/>
          <w:sz w:val="32"/>
          <w:szCs w:val="32"/>
        </w:rPr>
        <w:t>、</w:t>
      </w:r>
      <w:r>
        <w:rPr>
          <w:rFonts w:hint="eastAsia" w:ascii="方正仿宋_GBK" w:hAnsi="Times New Roman" w:eastAsia="方正仿宋_GBK"/>
          <w:bCs/>
          <w:sz w:val="32"/>
          <w:szCs w:val="32"/>
        </w:rPr>
        <w:t>“预审代办”</w:t>
      </w:r>
      <w:r>
        <w:rPr>
          <w:rFonts w:ascii="Times New Roman" w:hAnsi="Times New Roman" w:eastAsia="方正仿宋_GBK"/>
          <w:bCs/>
          <w:sz w:val="32"/>
          <w:szCs w:val="32"/>
          <w:vertAlign w:val="superscript"/>
        </w:rPr>
        <w:t>26</w:t>
      </w:r>
      <w:r>
        <w:rPr>
          <w:rFonts w:ascii="Times New Roman" w:hAnsi="Times New Roman" w:eastAsia="方正仿宋_GBK"/>
          <w:bCs/>
          <w:sz w:val="32"/>
          <w:szCs w:val="32"/>
        </w:rPr>
        <w:t>等改革任务，抓好</w:t>
      </w:r>
      <w:r>
        <w:rPr>
          <w:rFonts w:hint="eastAsia" w:ascii="方正仿宋_GBK" w:hAnsi="Times New Roman" w:eastAsia="方正仿宋_GBK"/>
          <w:bCs/>
          <w:sz w:val="32"/>
          <w:szCs w:val="32"/>
        </w:rPr>
        <w:t>“互联网+政务服务”</w:t>
      </w:r>
      <w:r>
        <w:rPr>
          <w:rFonts w:ascii="Times New Roman" w:hAnsi="Times New Roman" w:eastAsia="方正仿宋_GBK"/>
          <w:bCs/>
          <w:sz w:val="32"/>
          <w:szCs w:val="32"/>
        </w:rPr>
        <w:t>建设。落实中央、省、市部署要求，完成机构改革相关工作。</w:t>
      </w:r>
      <w:r>
        <w:rPr>
          <w:rFonts w:hint="eastAsia" w:ascii="Times New Roman" w:hAnsi="Times New Roman" w:eastAsia="方正仿宋_GBK"/>
          <w:bCs/>
          <w:sz w:val="32"/>
          <w:szCs w:val="32"/>
        </w:rPr>
        <w:t>更大力度推进</w:t>
      </w:r>
      <w:r>
        <w:rPr>
          <w:rFonts w:ascii="Times New Roman" w:hAnsi="Times New Roman" w:eastAsia="方正仿宋_GBK"/>
          <w:bCs/>
          <w:sz w:val="32"/>
          <w:szCs w:val="32"/>
        </w:rPr>
        <w:t>综合行政执法体制改革</w:t>
      </w:r>
      <w:r>
        <w:rPr>
          <w:rFonts w:hint="eastAsia" w:ascii="Times New Roman" w:hAnsi="Times New Roman" w:eastAsia="方正仿宋_GBK"/>
          <w:bCs/>
          <w:sz w:val="32"/>
          <w:szCs w:val="32"/>
        </w:rPr>
        <w:t>试点</w:t>
      </w:r>
      <w:r>
        <w:rPr>
          <w:rFonts w:ascii="Times New Roman" w:hAnsi="Times New Roman" w:eastAsia="方正仿宋_GBK"/>
          <w:bCs/>
          <w:sz w:val="32"/>
          <w:szCs w:val="32"/>
        </w:rPr>
        <w:t>，充分整合执法力量，积极推进市场监管、卫生计生、人力资源社会保障等领域内综合执法，实现</w:t>
      </w:r>
      <w:r>
        <w:rPr>
          <w:rFonts w:hint="eastAsia" w:ascii="方正仿宋_GBK" w:hAnsi="Times New Roman" w:eastAsia="方正仿宋_GBK"/>
          <w:bCs/>
          <w:snapToGrid w:val="0"/>
          <w:kern w:val="0"/>
          <w:sz w:val="32"/>
          <w:szCs w:val="32"/>
        </w:rPr>
        <w:t>“一个部门、一个领域、一个队伍”</w:t>
      </w:r>
      <w:r>
        <w:rPr>
          <w:rFonts w:ascii="Times New Roman" w:hAnsi="Times New Roman" w:eastAsia="方正仿宋_GBK"/>
          <w:bCs/>
          <w:sz w:val="32"/>
          <w:szCs w:val="32"/>
        </w:rPr>
        <w:t>。深化国有企业改革，强化对公益性项目、经营性项目的分类考核。</w:t>
      </w:r>
      <w:r>
        <w:rPr>
          <w:rFonts w:ascii="Times New Roman" w:hAnsi="Times New Roman" w:eastAsia="方正仿宋_GBK"/>
          <w:bCs/>
          <w:snapToGrid w:val="0"/>
          <w:kern w:val="0"/>
          <w:sz w:val="32"/>
          <w:szCs w:val="32"/>
        </w:rPr>
        <w:t>落实税收体制改革工作要求，优化税收征管方式，促进征管体制融合统一。</w:t>
      </w:r>
    </w:p>
    <w:p w14:paraId="7033D2EC">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hint="eastAsia" w:ascii="Times New Roman" w:hAnsi="Times New Roman" w:eastAsia="方正楷体_GBK"/>
          <w:snapToGrid w:val="0"/>
          <w:kern w:val="0"/>
          <w:sz w:val="32"/>
          <w:szCs w:val="32"/>
        </w:rPr>
        <w:t>提高</w:t>
      </w:r>
      <w:r>
        <w:rPr>
          <w:rFonts w:ascii="Times New Roman" w:hAnsi="Times New Roman" w:eastAsia="方正楷体_GBK"/>
          <w:snapToGrid w:val="0"/>
          <w:kern w:val="0"/>
          <w:sz w:val="32"/>
          <w:szCs w:val="32"/>
        </w:rPr>
        <w:t>履职能力。</w:t>
      </w:r>
      <w:r>
        <w:rPr>
          <w:rFonts w:ascii="Times New Roman" w:hAnsi="Times New Roman" w:eastAsia="方正仿宋_GBK"/>
          <w:bCs/>
          <w:snapToGrid w:val="0"/>
          <w:kern w:val="0"/>
          <w:sz w:val="32"/>
          <w:szCs w:val="32"/>
        </w:rPr>
        <w:t>对照</w:t>
      </w:r>
      <w:r>
        <w:rPr>
          <w:rFonts w:hint="eastAsia" w:ascii="方正仿宋_GBK" w:hAnsi="Times New Roman" w:eastAsia="方正仿宋_GBK"/>
          <w:bCs/>
          <w:snapToGrid w:val="0"/>
          <w:kern w:val="0"/>
          <w:sz w:val="32"/>
          <w:szCs w:val="32"/>
        </w:rPr>
        <w:t>“视野更开阔、格局更大、本领更强、肩膀更硬”</w:t>
      </w:r>
      <w:r>
        <w:rPr>
          <w:rFonts w:ascii="Times New Roman" w:hAnsi="Times New Roman" w:eastAsia="方正仿宋_GBK"/>
          <w:bCs/>
          <w:snapToGrid w:val="0"/>
          <w:kern w:val="0"/>
          <w:sz w:val="32"/>
          <w:szCs w:val="32"/>
        </w:rPr>
        <w:t>工作标准，着力</w:t>
      </w:r>
      <w:r>
        <w:rPr>
          <w:rFonts w:ascii="Times New Roman" w:hAnsi="Times New Roman" w:eastAsia="方正仿宋_GBK"/>
          <w:bCs/>
          <w:snapToGrid w:val="0"/>
          <w:sz w:val="32"/>
          <w:szCs w:val="32"/>
        </w:rPr>
        <w:t>加强作风建设，牢固树立爬坡过坎意识、为民服务的责任意识、奋力探索的使命意识。坚持研究性思考、创造性工作，在学习和实践中找思路、想办法，不断形成新经验、深化新认识、贡献新方案。围绕经济社会发展目标，细化任务分解，形成上下贯通、层层负责的主体责任链，确保各项决策部署落实到位。</w:t>
      </w:r>
      <w:r>
        <w:rPr>
          <w:rFonts w:ascii="Times New Roman" w:hAnsi="Times New Roman" w:eastAsia="方正仿宋_GBK"/>
          <w:bCs/>
          <w:snapToGrid w:val="0"/>
          <w:kern w:val="0"/>
          <w:sz w:val="32"/>
          <w:szCs w:val="32"/>
        </w:rPr>
        <w:t>深入推进依法行政，严格按照法定权限和程序行使权力、履行职责。</w:t>
      </w:r>
      <w:r>
        <w:rPr>
          <w:rFonts w:ascii="Times New Roman" w:hAnsi="Times New Roman" w:eastAsia="方正仿宋_GBK"/>
          <w:bCs/>
          <w:sz w:val="32"/>
          <w:szCs w:val="32"/>
        </w:rPr>
        <w:t>加强政府性债务</w:t>
      </w:r>
      <w:r>
        <w:rPr>
          <w:rFonts w:ascii="Times New Roman" w:hAnsi="Times New Roman" w:eastAsia="方正仿宋_GBK"/>
          <w:bCs/>
          <w:snapToGrid w:val="0"/>
          <w:sz w:val="32"/>
          <w:szCs w:val="32"/>
        </w:rPr>
        <w:t>管控，推进隐性债务化解</w:t>
      </w:r>
      <w:r>
        <w:rPr>
          <w:rFonts w:hint="eastAsia" w:ascii="Times New Roman" w:hAnsi="Times New Roman" w:eastAsia="方正仿宋_GBK"/>
          <w:bCs/>
          <w:snapToGrid w:val="0"/>
          <w:sz w:val="32"/>
          <w:szCs w:val="32"/>
        </w:rPr>
        <w:t>，</w:t>
      </w:r>
      <w:r>
        <w:rPr>
          <w:rFonts w:ascii="Times New Roman" w:hAnsi="Times New Roman" w:eastAsia="方正仿宋_GBK"/>
          <w:bCs/>
          <w:snapToGrid w:val="0"/>
          <w:sz w:val="32"/>
          <w:szCs w:val="32"/>
        </w:rPr>
        <w:t>做到坚定、可控、有序、适度</w:t>
      </w:r>
      <w:r>
        <w:rPr>
          <w:rFonts w:ascii="Times New Roman" w:hAnsi="Times New Roman" w:eastAsia="方正仿宋_GBK"/>
          <w:bCs/>
          <w:snapToGrid w:val="0"/>
          <w:kern w:val="0"/>
          <w:sz w:val="32"/>
          <w:szCs w:val="32"/>
        </w:rPr>
        <w:t>。自觉接受区人大工作监督、法律监督和区政协民主监督，更加重视审计监督和舆论监督，切实做好建议提案办理工作。</w:t>
      </w:r>
    </w:p>
    <w:p w14:paraId="131CEE87">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sz w:val="32"/>
          <w:szCs w:val="32"/>
        </w:rPr>
        <w:t>各位代表！新时代赋予新使命，新使命成就新梦想，</w:t>
      </w:r>
      <w:r>
        <w:rPr>
          <w:rFonts w:ascii="Times New Roman" w:hAnsi="Times New Roman" w:eastAsia="方正仿宋_GBK"/>
          <w:bCs/>
          <w:snapToGrid w:val="0"/>
          <w:kern w:val="0"/>
          <w:sz w:val="32"/>
          <w:szCs w:val="32"/>
        </w:rPr>
        <w:t>让我们更加紧密地团结在以习近平同志为核心的党中央周围，在市委、市政府的正确领导和区委的坚强领导下，紧紧依靠全区人民，凝心聚力，锐意进取，全力开创</w:t>
      </w:r>
      <w:r>
        <w:rPr>
          <w:rFonts w:hint="eastAsia" w:ascii="方正仿宋_GBK" w:hAnsi="Times New Roman" w:eastAsia="方正仿宋_GBK"/>
          <w:bCs/>
          <w:snapToGrid w:val="0"/>
          <w:kern w:val="0"/>
          <w:sz w:val="32"/>
          <w:szCs w:val="32"/>
        </w:rPr>
        <w:t>“强富美高”</w:t>
      </w:r>
      <w:r>
        <w:rPr>
          <w:rFonts w:ascii="Times New Roman" w:hAnsi="Times New Roman" w:eastAsia="方正仿宋_GBK"/>
          <w:bCs/>
          <w:snapToGrid w:val="0"/>
          <w:kern w:val="0"/>
          <w:sz w:val="32"/>
          <w:szCs w:val="32"/>
        </w:rPr>
        <w:t>新玄武的新篇章！以经济社会发展的优异成绩迎接中华人民共和国成立70周年！</w:t>
      </w:r>
    </w:p>
    <w:p w14:paraId="6791C5EF">
      <w:pPr>
        <w:adjustRightInd w:val="0"/>
        <w:snapToGrid w:val="0"/>
        <w:spacing w:line="600" w:lineRule="exact"/>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br w:type="page"/>
      </w:r>
      <w:r>
        <w:rPr>
          <w:rFonts w:ascii="Times New Roman" w:hAnsi="Times New Roman" w:eastAsia="方正黑体_GBK"/>
          <w:bCs/>
          <w:spacing w:val="12"/>
          <w:sz w:val="32"/>
          <w:szCs w:val="32"/>
        </w:rPr>
        <w:t>附件1</w:t>
      </w:r>
    </w:p>
    <w:p w14:paraId="062D1103">
      <w:pPr>
        <w:adjustRightInd w:val="0"/>
        <w:snapToGrid w:val="0"/>
        <w:spacing w:line="600" w:lineRule="exact"/>
        <w:rPr>
          <w:rFonts w:ascii="Times New Roman" w:hAnsi="Times New Roman" w:eastAsia="方正仿宋_GBK"/>
          <w:bCs/>
          <w:snapToGrid w:val="0"/>
          <w:kern w:val="0"/>
          <w:sz w:val="32"/>
          <w:szCs w:val="32"/>
        </w:rPr>
      </w:pPr>
    </w:p>
    <w:p w14:paraId="28011961">
      <w:pPr>
        <w:adjustRightInd w:val="0"/>
        <w:snapToGrid w:val="0"/>
        <w:spacing w:line="60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2019年20件民生实事</w:t>
      </w:r>
    </w:p>
    <w:p w14:paraId="6377DD7A">
      <w:pPr>
        <w:adjustRightInd w:val="0"/>
        <w:snapToGrid w:val="0"/>
        <w:spacing w:line="600" w:lineRule="exact"/>
        <w:rPr>
          <w:rFonts w:ascii="Times New Roman" w:hAnsi="Times New Roman" w:eastAsia="方正仿宋_GBK"/>
          <w:bCs/>
          <w:snapToGrid w:val="0"/>
          <w:kern w:val="0"/>
          <w:sz w:val="32"/>
          <w:szCs w:val="32"/>
        </w:rPr>
      </w:pPr>
    </w:p>
    <w:p w14:paraId="72F3C173">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bCs/>
          <w:snapToGrid w:val="0"/>
          <w:kern w:val="0"/>
          <w:sz w:val="32"/>
          <w:szCs w:val="32"/>
        </w:rPr>
        <w:t>2018年《玄武区人民政府工作报告》明确了30件民生实事。一年来，我们集中力量、集中资源、集中财力，</w:t>
      </w:r>
      <w:r>
        <w:rPr>
          <w:rFonts w:ascii="Times New Roman" w:hAnsi="Times New Roman" w:eastAsia="方正仿宋_GBK"/>
          <w:sz w:val="32"/>
          <w:szCs w:val="32"/>
        </w:rPr>
        <w:t>用心用情、落细落实，</w:t>
      </w:r>
      <w:r>
        <w:rPr>
          <w:rFonts w:ascii="Times New Roman" w:hAnsi="Times New Roman" w:eastAsia="方正仿宋_GBK"/>
          <w:bCs/>
          <w:snapToGrid w:val="0"/>
          <w:kern w:val="0"/>
          <w:sz w:val="32"/>
          <w:szCs w:val="32"/>
        </w:rPr>
        <w:t>推动30件民生实事全部兑现，</w:t>
      </w:r>
      <w:r>
        <w:rPr>
          <w:rFonts w:ascii="Times New Roman" w:hAnsi="Times New Roman" w:eastAsia="方正仿宋_GBK"/>
          <w:sz w:val="32"/>
          <w:szCs w:val="32"/>
        </w:rPr>
        <w:t>经第三方评估，</w:t>
      </w:r>
      <w:r>
        <w:rPr>
          <w:rFonts w:ascii="Times New Roman" w:hAnsi="Times New Roman" w:eastAsia="方正仿宋_GBK"/>
          <w:bCs/>
          <w:snapToGrid w:val="0"/>
          <w:kern w:val="0"/>
          <w:sz w:val="32"/>
          <w:szCs w:val="32"/>
        </w:rPr>
        <w:t>群众满意度达95.21%。今年，</w:t>
      </w:r>
      <w:r>
        <w:rPr>
          <w:rFonts w:ascii="Times New Roman" w:hAnsi="Times New Roman" w:eastAsia="方正仿宋_GBK"/>
          <w:sz w:val="32"/>
          <w:szCs w:val="32"/>
          <w:lang w:val="zh-CN"/>
        </w:rPr>
        <w:t>我们在广泛征集民意及代表、委员意见的基础上，围绕群众最关心的公共服务、城市功能、生态环境、保障惠民四个方面，</w:t>
      </w:r>
      <w:r>
        <w:rPr>
          <w:rFonts w:hint="eastAsia" w:ascii="Times New Roman" w:hAnsi="Times New Roman" w:eastAsia="方正仿宋_GBK"/>
          <w:sz w:val="32"/>
          <w:szCs w:val="32"/>
        </w:rPr>
        <w:t>着力</w:t>
      </w:r>
      <w:r>
        <w:rPr>
          <w:rFonts w:ascii="Times New Roman" w:hAnsi="Times New Roman" w:eastAsia="方正仿宋_GBK"/>
          <w:sz w:val="32"/>
          <w:szCs w:val="32"/>
          <w:lang w:val="zh-CN"/>
        </w:rPr>
        <w:t>再办好20件民生实事，持续提高</w:t>
      </w:r>
      <w:r>
        <w:rPr>
          <w:rFonts w:ascii="Times New Roman" w:hAnsi="Times New Roman" w:eastAsia="方正仿宋_GBK"/>
          <w:sz w:val="32"/>
          <w:szCs w:val="32"/>
        </w:rPr>
        <w:t>保障和改善民生水平。</w:t>
      </w:r>
    </w:p>
    <w:p w14:paraId="74BA6A16">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 实施《玄武区新名校发展计划（2018年—2022年）》，建成素质教育特色学校15所。</w:t>
      </w:r>
    </w:p>
    <w:p w14:paraId="07682E0E">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 缓解老城区停车供需矛盾，新增居民公共停车位2000个。</w:t>
      </w:r>
    </w:p>
    <w:p w14:paraId="18CB929D">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 新建和改扩建6所中小学，增加义务教育学位和幼教学位2500个。</w:t>
      </w:r>
    </w:p>
    <w:p w14:paraId="2E364E60">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 实施楼顶公用部位专项治理，完成屋顶治漏和拆违各1万平方米。</w:t>
      </w:r>
    </w:p>
    <w:p w14:paraId="45A7FEBA">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 开展高质量养老服务扩面行动，新增养老床位800张。</w:t>
      </w:r>
    </w:p>
    <w:p w14:paraId="28CAF5CC">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 提升公共卫生服务水平，建设特色基层医疗机构。</w:t>
      </w:r>
    </w:p>
    <w:p w14:paraId="4F552652">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 实施安居保障工程，推进顾家营保障房建设和1万平方米人才公寓筹建。</w:t>
      </w:r>
    </w:p>
    <w:p w14:paraId="6879E22E">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8. 实施餐饮油烟重点整治工程，创建7条餐饮油烟整治示范街区。</w:t>
      </w:r>
    </w:p>
    <w:p w14:paraId="5CE2EF7C">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9. 实施</w:t>
      </w:r>
      <w:r>
        <w:rPr>
          <w:rFonts w:hint="eastAsia" w:ascii="方正仿宋_GBK" w:hAnsi="Times New Roman" w:eastAsia="方正仿宋_GBK"/>
          <w:sz w:val="32"/>
          <w:szCs w:val="32"/>
        </w:rPr>
        <w:t>“宜居”</w:t>
      </w:r>
      <w:r>
        <w:rPr>
          <w:rFonts w:ascii="Times New Roman" w:hAnsi="Times New Roman" w:eastAsia="方正仿宋_GBK"/>
          <w:sz w:val="32"/>
          <w:szCs w:val="32"/>
        </w:rPr>
        <w:t>工程，完成27个老旧小区环境综合整治。</w:t>
      </w:r>
    </w:p>
    <w:p w14:paraId="3FE0F607">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10. 建立完善既有住宅增梯常态机制，继续推进既有住宅增梯工作。</w:t>
      </w:r>
    </w:p>
    <w:p w14:paraId="1FB41CFC">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 实施水环境提升工程，完成6条河道整治提升。</w:t>
      </w:r>
    </w:p>
    <w:p w14:paraId="3BB2AB3B">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12. 实施环卫配套设施建设，完成5座公厕新改建任务。</w:t>
      </w:r>
    </w:p>
    <w:p w14:paraId="47A44CD8">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13. 实施高层住宅防火消险工程，完成148栋住宅类高层固化水带建设。</w:t>
      </w:r>
    </w:p>
    <w:p w14:paraId="4799E676">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14. 实施</w:t>
      </w:r>
      <w:r>
        <w:rPr>
          <w:rFonts w:hint="eastAsia" w:ascii="方正仿宋_GBK" w:hAnsi="Times New Roman" w:eastAsia="方正仿宋_GBK"/>
          <w:sz w:val="32"/>
          <w:szCs w:val="32"/>
        </w:rPr>
        <w:t>“菜篮子”</w:t>
      </w:r>
      <w:r>
        <w:rPr>
          <w:rFonts w:ascii="Times New Roman" w:hAnsi="Times New Roman" w:eastAsia="方正仿宋_GBK"/>
          <w:sz w:val="32"/>
          <w:szCs w:val="32"/>
        </w:rPr>
        <w:t>提升工程，完成20家惠民平价商店规范化运营。</w:t>
      </w:r>
    </w:p>
    <w:p w14:paraId="58FF0477">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15. 实施省级创业社区创建工程，带动就业24600人。</w:t>
      </w:r>
    </w:p>
    <w:p w14:paraId="4DE009DA">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16. 实施文化体育惠民工程，完成文体专业活动200场。</w:t>
      </w:r>
    </w:p>
    <w:p w14:paraId="0D74B8C0">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17. 实施旅游惠民工程，完成旅游特色活动100场。</w:t>
      </w:r>
    </w:p>
    <w:p w14:paraId="7251FE8D">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18. 举办普惠金融服务活动，提高百姓防范金融风险能力，100场服务进社区。</w:t>
      </w:r>
    </w:p>
    <w:p w14:paraId="61AC5171">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 实施残疾儿童少年成长关爱行动，符合条件的适龄儿童少年100%就学。</w:t>
      </w:r>
    </w:p>
    <w:p w14:paraId="6067C1FA">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 实施小区社会治理示范区工程，完成网格创建达标率达100%。</w:t>
      </w:r>
    </w:p>
    <w:p w14:paraId="5DB5544F">
      <w:pPr>
        <w:spacing w:line="516" w:lineRule="exact"/>
        <w:rPr>
          <w:rFonts w:ascii="Times New Roman" w:hAnsi="Times New Roman" w:eastAsia="方正黑体_GBK"/>
          <w:sz w:val="32"/>
          <w:szCs w:val="32"/>
        </w:rPr>
      </w:pPr>
      <w:r>
        <w:rPr>
          <w:rFonts w:ascii="Times New Roman" w:hAnsi="Times New Roman" w:eastAsia="方正仿宋_GBK"/>
          <w:bCs/>
          <w:snapToGrid w:val="0"/>
          <w:kern w:val="0"/>
          <w:sz w:val="32"/>
          <w:szCs w:val="32"/>
        </w:rPr>
        <w:br w:type="page"/>
      </w:r>
      <w:r>
        <w:rPr>
          <w:rFonts w:ascii="Times New Roman" w:hAnsi="Times New Roman" w:eastAsia="方正黑体_GBK"/>
          <w:sz w:val="32"/>
          <w:szCs w:val="32"/>
        </w:rPr>
        <w:t>附件2</w:t>
      </w:r>
    </w:p>
    <w:p w14:paraId="13E5BD05">
      <w:pPr>
        <w:spacing w:line="516" w:lineRule="exact"/>
        <w:ind w:firstLine="640" w:firstLineChars="200"/>
        <w:rPr>
          <w:rFonts w:ascii="Times New Roman" w:hAnsi="Times New Roman" w:eastAsia="方正仿宋简体"/>
          <w:sz w:val="32"/>
          <w:szCs w:val="32"/>
        </w:rPr>
      </w:pPr>
    </w:p>
    <w:p w14:paraId="4CC1D025">
      <w:pPr>
        <w:pStyle w:val="21"/>
        <w:spacing w:beforeLines="100"/>
        <w:rPr>
          <w:rFonts w:ascii="方正小标宋_GBK" w:eastAsia="方正小标宋_GBK"/>
        </w:rPr>
      </w:pPr>
      <w:r>
        <w:rPr>
          <w:rFonts w:hint="eastAsia" w:ascii="方正小标宋_GBK" w:eastAsia="方正小标宋_GBK"/>
        </w:rPr>
        <w:t>名 词 解 释</w:t>
      </w:r>
    </w:p>
    <w:p w14:paraId="47D6BB2C">
      <w:pPr>
        <w:spacing w:line="516" w:lineRule="exact"/>
        <w:ind w:firstLine="640" w:firstLineChars="200"/>
        <w:rPr>
          <w:rFonts w:ascii="Times New Roman" w:hAnsi="Times New Roman" w:eastAsia="方正仿宋简体"/>
          <w:sz w:val="32"/>
          <w:szCs w:val="32"/>
        </w:rPr>
      </w:pPr>
    </w:p>
    <w:p w14:paraId="65B91414">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ascii="Times New Roman" w:hAnsi="Times New Roman" w:eastAsia="方正仿宋_GBK"/>
          <w:bCs/>
          <w:snapToGrid w:val="0"/>
          <w:kern w:val="0"/>
          <w:sz w:val="32"/>
          <w:szCs w:val="32"/>
        </w:rPr>
        <w:t>. 独角兽企业：即</w:t>
      </w:r>
      <w:r>
        <w:rPr>
          <w:rFonts w:ascii="Times New Roman" w:hAnsi="Times New Roman" w:eastAsia="方正仿宋_GBK"/>
          <w:sz w:val="32"/>
          <w:szCs w:val="32"/>
        </w:rPr>
        <w:t>成立10年以内、估值超10亿美元、获得过私募投资且尚未上市的企业，其具备爆发式成长的潜力。</w:t>
      </w:r>
    </w:p>
    <w:p w14:paraId="2924AC15">
      <w:pPr>
        <w:adjustRightInd w:val="0"/>
        <w:snapToGrid w:val="0"/>
        <w:spacing w:line="600" w:lineRule="exact"/>
        <w:ind w:firstLine="640" w:firstLineChars="200"/>
        <w:rPr>
          <w:rFonts w:ascii="方正仿宋_GBK" w:hAnsi="Times New Roman" w:eastAsia="方正仿宋_GBK"/>
          <w:bCs/>
          <w:snapToGrid w:val="0"/>
          <w:kern w:val="0"/>
          <w:sz w:val="32"/>
          <w:szCs w:val="32"/>
        </w:rPr>
      </w:pPr>
      <w:r>
        <w:rPr>
          <w:rFonts w:ascii="Times New Roman" w:hAnsi="Times New Roman" w:eastAsia="方正仿宋_GBK"/>
          <w:bCs/>
          <w:snapToGrid w:val="0"/>
          <w:kern w:val="0"/>
          <w:sz w:val="32"/>
          <w:szCs w:val="32"/>
        </w:rPr>
        <w:t>2. 瞪羚企业：即</w:t>
      </w:r>
      <w:r>
        <w:rPr>
          <w:rFonts w:ascii="Times New Roman" w:hAnsi="Times New Roman" w:eastAsia="方正仿宋_GBK"/>
          <w:sz w:val="32"/>
          <w:szCs w:val="32"/>
        </w:rPr>
        <w:t>高速成长的中小企业。</w:t>
      </w:r>
      <w:r>
        <w:rPr>
          <w:rFonts w:hint="eastAsia" w:ascii="方正仿宋_GBK" w:hAnsi="Times New Roman" w:eastAsia="方正仿宋_GBK"/>
          <w:sz w:val="32"/>
          <w:szCs w:val="32"/>
        </w:rPr>
        <w:t>一个地区“瞪羚企业”越多，创新活力越强，发展速度越快。</w:t>
      </w:r>
    </w:p>
    <w:p w14:paraId="0A64D230">
      <w:pPr>
        <w:adjustRightInd w:val="0"/>
        <w:snapToGrid w:val="0"/>
        <w:spacing w:line="600" w:lineRule="exact"/>
        <w:ind w:firstLine="640" w:firstLineChars="200"/>
        <w:rPr>
          <w:rFonts w:ascii="方正仿宋_GBK" w:hAnsi="Times New Roman" w:eastAsia="方正仿宋_GBK"/>
          <w:bCs/>
          <w:snapToGrid w:val="0"/>
          <w:kern w:val="0"/>
          <w:sz w:val="32"/>
          <w:szCs w:val="32"/>
        </w:rPr>
      </w:pPr>
      <w:r>
        <w:rPr>
          <w:rFonts w:ascii="Times New Roman" w:hAnsi="Times New Roman" w:eastAsia="方正仿宋_GBK"/>
          <w:bCs/>
          <w:snapToGrid w:val="0"/>
          <w:kern w:val="0"/>
          <w:sz w:val="32"/>
          <w:szCs w:val="32"/>
        </w:rPr>
        <w:t>3.</w:t>
      </w:r>
      <w:r>
        <w:rPr>
          <w:rFonts w:hint="eastAsia" w:ascii="方正仿宋_GBK" w:hAnsi="Times New Roman" w:eastAsia="方正仿宋_GBK"/>
          <w:sz w:val="32"/>
          <w:szCs w:val="32"/>
        </w:rPr>
        <w:t>“四上”企业：即规模以上工业企业、房地产开发业和有资质的建筑业企业、限额以上批发零售业和住宿餐饮业企业、规模以上服务业企业。</w:t>
      </w:r>
    </w:p>
    <w:p w14:paraId="4CD68055">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4.</w:t>
      </w:r>
      <w:r>
        <w:rPr>
          <w:rFonts w:hint="eastAsia" w:ascii="方正仿宋_GBK" w:hAnsi="Times New Roman" w:eastAsia="方正仿宋_GBK"/>
          <w:bCs/>
          <w:snapToGrid w:val="0"/>
          <w:kern w:val="0"/>
          <w:sz w:val="32"/>
          <w:szCs w:val="32"/>
        </w:rPr>
        <w:t>“两落地一融合”：</w:t>
      </w:r>
      <w:r>
        <w:rPr>
          <w:rFonts w:hint="eastAsia" w:ascii="方正仿宋_GBK" w:hAnsi="Times New Roman" w:eastAsia="方正仿宋_GBK"/>
          <w:sz w:val="32"/>
          <w:szCs w:val="32"/>
        </w:rPr>
        <w:t>即科技成果项目落地、新型研发机构落地、校地融合发展。</w:t>
      </w:r>
    </w:p>
    <w:p w14:paraId="50801A91">
      <w:pPr>
        <w:adjustRightInd w:val="0"/>
        <w:snapToGrid w:val="0"/>
        <w:spacing w:line="600" w:lineRule="exact"/>
        <w:ind w:firstLine="640" w:firstLineChars="200"/>
        <w:rPr>
          <w:rFonts w:ascii="方正仿宋_GBK" w:hAnsi="Times New Roman" w:eastAsia="方正仿宋_GBK"/>
          <w:bCs/>
          <w:snapToGrid w:val="0"/>
          <w:kern w:val="0"/>
          <w:sz w:val="32"/>
          <w:szCs w:val="32"/>
        </w:rPr>
      </w:pPr>
      <w:r>
        <w:rPr>
          <w:rFonts w:ascii="Times New Roman" w:hAnsi="Times New Roman" w:eastAsia="方正仿宋_GBK"/>
          <w:bCs/>
          <w:snapToGrid w:val="0"/>
          <w:kern w:val="0"/>
          <w:sz w:val="32"/>
          <w:szCs w:val="32"/>
        </w:rPr>
        <w:t>5.</w:t>
      </w:r>
      <w:r>
        <w:rPr>
          <w:rFonts w:hint="eastAsia" w:ascii="方正仿宋_GBK" w:hAnsi="Times New Roman" w:eastAsia="方正仿宋_GBK"/>
          <w:bCs/>
          <w:snapToGrid w:val="0"/>
          <w:kern w:val="0"/>
          <w:sz w:val="32"/>
          <w:szCs w:val="32"/>
        </w:rPr>
        <w:t>“一区五园”：</w:t>
      </w:r>
      <w:r>
        <w:rPr>
          <w:rFonts w:hint="eastAsia" w:ascii="方正仿宋_GBK" w:hAnsi="Times New Roman" w:eastAsia="方正仿宋_GBK"/>
          <w:sz w:val="32"/>
          <w:szCs w:val="32"/>
        </w:rPr>
        <w:t>“一区”为徐庄高新区，“五园”为铁北红山新城、东大·南京设计名城、珠江路创业大街、玄武科技金融园、南理工科技创新园。</w:t>
      </w:r>
    </w:p>
    <w:p w14:paraId="308366F8">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6. 徐庄高新区去筹：2017年8月，根据苏政复〔2017〕70号文，省政府批复同意筹建江苏省南京徐庄高新技术产业开发区；2018年9月，根据苏政复〔2018〕82号文，省政府批复同意设立江苏省南京徐庄高新技术产业开发区。</w:t>
      </w:r>
    </w:p>
    <w:p w14:paraId="52615576">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7.</w:t>
      </w:r>
      <w:r>
        <w:rPr>
          <w:rFonts w:hint="eastAsia" w:ascii="方正仿宋_GBK" w:hAnsi="Times New Roman" w:eastAsia="方正仿宋_GBK"/>
          <w:bCs/>
          <w:snapToGrid w:val="0"/>
          <w:kern w:val="0"/>
          <w:sz w:val="32"/>
          <w:szCs w:val="32"/>
        </w:rPr>
        <w:t>“领创之路·凤栖玄梧”：“领创之路”即针对不同创业阶段、不同产业领域、不同需求的创业者，提供“全周期、全要素、全方位”服务的创业助推行动计划。“凤栖玄梧”即推行“产业链延展、新项目开发、科技成果转化”等八个先导举措，让玄武有限的资源发挥最大效益的引才与质效提升计划。</w:t>
      </w:r>
    </w:p>
    <w:p w14:paraId="6BF332E2">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8. PCT：即《专利合作条约》（Patent Cooperation Treaty）的英文缩写，是有关专利的国际条约。根据PCT的规定，专利申请人可以通过PCT途径递交国际专利申请，向多个国家申请专利。</w:t>
      </w:r>
    </w:p>
    <w:p w14:paraId="1858D284">
      <w:pPr>
        <w:adjustRightInd w:val="0"/>
        <w:snapToGrid w:val="0"/>
        <w:spacing w:line="600" w:lineRule="exact"/>
        <w:ind w:firstLine="640" w:firstLineChars="200"/>
        <w:rPr>
          <w:rFonts w:ascii="方正仿宋_GBK" w:hAnsi="Times New Roman" w:eastAsia="方正仿宋_GBK"/>
          <w:bCs/>
          <w:snapToGrid w:val="0"/>
          <w:kern w:val="0"/>
          <w:sz w:val="32"/>
          <w:szCs w:val="32"/>
        </w:rPr>
      </w:pPr>
      <w:r>
        <w:rPr>
          <w:rFonts w:ascii="Times New Roman" w:hAnsi="Times New Roman" w:eastAsia="方正仿宋_GBK"/>
          <w:bCs/>
          <w:snapToGrid w:val="0"/>
          <w:kern w:val="0"/>
          <w:sz w:val="32"/>
          <w:szCs w:val="32"/>
        </w:rPr>
        <w:t>9.</w:t>
      </w:r>
      <w:r>
        <w:rPr>
          <w:rFonts w:hint="eastAsia" w:ascii="方正仿宋_GBK" w:hAnsi="Times New Roman" w:eastAsia="方正仿宋_GBK"/>
          <w:bCs/>
          <w:snapToGrid w:val="0"/>
          <w:kern w:val="0"/>
          <w:sz w:val="32"/>
          <w:szCs w:val="32"/>
        </w:rPr>
        <w:t>“雷霆行动”：</w:t>
      </w:r>
      <w:r>
        <w:rPr>
          <w:rFonts w:hint="eastAsia" w:ascii="方正仿宋_GBK" w:hAnsi="Times New Roman" w:eastAsia="方正仿宋_GBK"/>
          <w:sz w:val="32"/>
          <w:szCs w:val="32"/>
        </w:rPr>
        <w:t>即我区针对机动车违停、占道经营等城市管理相关违法违规行为开展的专项整治行动。</w:t>
      </w:r>
    </w:p>
    <w:p w14:paraId="7A40447C">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10.</w:t>
      </w:r>
      <w:r>
        <w:rPr>
          <w:rFonts w:hint="eastAsia" w:ascii="方正仿宋_GBK" w:hAnsi="Times New Roman" w:eastAsia="方正仿宋_GBK"/>
          <w:bCs/>
          <w:snapToGrid w:val="0"/>
          <w:kern w:val="0"/>
          <w:sz w:val="32"/>
          <w:szCs w:val="32"/>
        </w:rPr>
        <w:t>“</w:t>
      </w:r>
      <w:r>
        <w:rPr>
          <w:rFonts w:ascii="Times New Roman" w:hAnsi="Times New Roman" w:eastAsia="方正仿宋_GBK"/>
          <w:bCs/>
          <w:snapToGrid w:val="0"/>
          <w:kern w:val="0"/>
          <w:sz w:val="32"/>
          <w:szCs w:val="32"/>
        </w:rPr>
        <w:t>263</w:t>
      </w:r>
      <w:r>
        <w:rPr>
          <w:rFonts w:hint="eastAsia" w:ascii="方正仿宋_GBK" w:hAnsi="Times New Roman" w:eastAsia="方正仿宋_GBK"/>
          <w:bCs/>
          <w:snapToGrid w:val="0"/>
          <w:kern w:val="0"/>
          <w:sz w:val="32"/>
          <w:szCs w:val="32"/>
        </w:rPr>
        <w:t>”</w:t>
      </w:r>
      <w:r>
        <w:rPr>
          <w:rFonts w:ascii="Times New Roman" w:hAnsi="Times New Roman" w:eastAsia="方正仿宋_GBK"/>
          <w:bCs/>
          <w:snapToGrid w:val="0"/>
          <w:kern w:val="0"/>
          <w:sz w:val="32"/>
          <w:szCs w:val="32"/>
        </w:rPr>
        <w:t>专项行动：即减少煤炭消费总量、减少化工铸造等行业落后产能，治理太湖及长江流域水环境、治理生活垃圾、治理黑臭水体、治理挥发性有机物和扬尘污染、治理畜禽养殖污染、治理环境隐患，提升生态保护水平、提升环境经济政策调控水平、提升环境执法监督水平。</w:t>
      </w:r>
    </w:p>
    <w:p w14:paraId="53DB8D57">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11. 四级河长：即区级河长、街道（园区）河长、社区河长和志愿者河长。</w:t>
      </w:r>
    </w:p>
    <w:p w14:paraId="43307502">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12.</w:t>
      </w:r>
      <w:r>
        <w:rPr>
          <w:rFonts w:hint="eastAsia" w:ascii="方正仿宋_GBK" w:hAnsi="Times New Roman" w:eastAsia="方正仿宋_GBK"/>
          <w:bCs/>
          <w:snapToGrid w:val="0"/>
          <w:kern w:val="0"/>
          <w:sz w:val="32"/>
          <w:szCs w:val="32"/>
        </w:rPr>
        <w:t>“智慧工地”：即运用信息化手段，围绕施工过程管理，建立互联协同、智能安全生产、科学管理的施工项目信息化生态圈，实现工程施工可视化智能管理，提高工程管理信息化水平。</w:t>
      </w:r>
    </w:p>
    <w:p w14:paraId="6E068145">
      <w:pPr>
        <w:adjustRightInd w:val="0"/>
        <w:snapToGrid w:val="0"/>
        <w:spacing w:line="600" w:lineRule="exact"/>
        <w:ind w:firstLine="640" w:firstLineChars="200"/>
        <w:rPr>
          <w:rFonts w:ascii="方正仿宋_GBK" w:hAnsi="Times New Roman" w:eastAsia="方正仿宋_GBK"/>
          <w:bCs/>
          <w:snapToGrid w:val="0"/>
          <w:kern w:val="0"/>
          <w:sz w:val="32"/>
          <w:szCs w:val="32"/>
        </w:rPr>
      </w:pPr>
      <w:r>
        <w:rPr>
          <w:rFonts w:ascii="Times New Roman" w:hAnsi="Times New Roman" w:eastAsia="方正仿宋_GBK"/>
          <w:bCs/>
          <w:snapToGrid w:val="0"/>
          <w:kern w:val="0"/>
          <w:sz w:val="32"/>
          <w:szCs w:val="32"/>
        </w:rPr>
        <w:t>13.</w:t>
      </w:r>
      <w:r>
        <w:rPr>
          <w:rFonts w:hint="eastAsia" w:ascii="方正仿宋_GBK" w:hAnsi="Times New Roman" w:eastAsia="方正仿宋_GBK"/>
          <w:bCs/>
          <w:snapToGrid w:val="0"/>
          <w:kern w:val="0"/>
          <w:sz w:val="32"/>
          <w:szCs w:val="32"/>
        </w:rPr>
        <w:t>“放管服”：即简政放权、放管结合、优化服务改革。</w:t>
      </w:r>
    </w:p>
    <w:p w14:paraId="64C839CE">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14.</w:t>
      </w:r>
      <w:r>
        <w:rPr>
          <w:rFonts w:hint="eastAsia" w:ascii="方正仿宋_GBK" w:hAnsi="Times New Roman" w:eastAsia="方正仿宋_GBK"/>
          <w:bCs/>
          <w:snapToGrid w:val="0"/>
          <w:kern w:val="0"/>
          <w:sz w:val="32"/>
          <w:szCs w:val="32"/>
        </w:rPr>
        <w:t>“政银直通车”：即通过与银行合作，利用银行网点覆盖面广的特点，大力推广企业全程电子化登记银行网点代办模式，将企业登记窗口向银行网点延伸。</w:t>
      </w:r>
    </w:p>
    <w:p w14:paraId="4C264D60">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 xml:space="preserve">15. </w:t>
      </w:r>
      <w:r>
        <w:rPr>
          <w:rFonts w:hint="eastAsia" w:ascii="方正仿宋_GBK" w:hAnsi="Times New Roman" w:eastAsia="方正仿宋_GBK"/>
          <w:bCs/>
          <w:snapToGrid w:val="0"/>
          <w:kern w:val="0"/>
          <w:sz w:val="32"/>
          <w:szCs w:val="32"/>
        </w:rPr>
        <w:t>全科政务：即前台全科受理、后台同步审批、区街联网通办、照证立等可取，为辖区居民群众提供“全科化”政务服务，实现“进一扇门、办所有事”</w:t>
      </w:r>
      <w:r>
        <w:rPr>
          <w:rFonts w:ascii="Times New Roman" w:hAnsi="Times New Roman" w:eastAsia="方正仿宋_GBK"/>
          <w:bCs/>
          <w:snapToGrid w:val="0"/>
          <w:kern w:val="0"/>
          <w:sz w:val="32"/>
          <w:szCs w:val="32"/>
        </w:rPr>
        <w:t>。</w:t>
      </w:r>
    </w:p>
    <w:p w14:paraId="6C074487">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16.</w:t>
      </w:r>
      <w:r>
        <w:rPr>
          <w:rFonts w:hint="eastAsia" w:ascii="方正仿宋_GBK" w:hAnsi="Times New Roman" w:eastAsia="方正仿宋_GBK"/>
          <w:bCs/>
          <w:snapToGrid w:val="0"/>
          <w:kern w:val="0"/>
          <w:sz w:val="32"/>
          <w:szCs w:val="32"/>
        </w:rPr>
        <w:t>“一治理三提高”：即开展小区社会治理，提高小区物管水平，提高小区环境质量，提高居民和谐程度。</w:t>
      </w:r>
    </w:p>
    <w:p w14:paraId="372932E3">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17.</w:t>
      </w:r>
      <w:r>
        <w:rPr>
          <w:rFonts w:hint="eastAsia" w:ascii="方正仿宋_GBK" w:hAnsi="Times New Roman" w:eastAsia="方正仿宋_GBK"/>
          <w:bCs/>
          <w:snapToGrid w:val="0"/>
          <w:kern w:val="0"/>
          <w:sz w:val="32"/>
          <w:szCs w:val="32"/>
        </w:rPr>
        <w:t>“三供一业”：即国有企业职工家属区供水、供电、供热（供气）及物业管理。</w:t>
      </w:r>
    </w:p>
    <w:p w14:paraId="5BC64A95">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18.</w:t>
      </w:r>
      <w:r>
        <w:rPr>
          <w:rFonts w:hint="eastAsia" w:ascii="方正仿宋_GBK" w:hAnsi="Times New Roman" w:eastAsia="方正仿宋_GBK"/>
          <w:bCs/>
          <w:snapToGrid w:val="0"/>
          <w:kern w:val="0"/>
          <w:sz w:val="32"/>
          <w:szCs w:val="32"/>
        </w:rPr>
        <w:t>“六化同步”：即市委对创新名城建设提出的“市场化、国际化、高端化、融合化、集群化、法治化”“六化同步”要求。</w:t>
      </w:r>
    </w:p>
    <w:p w14:paraId="60AEDBF1">
      <w:pPr>
        <w:adjustRightInd w:val="0"/>
        <w:snapToGrid w:val="0"/>
        <w:spacing w:line="600" w:lineRule="exact"/>
        <w:ind w:firstLine="640" w:firstLineChars="200"/>
        <w:rPr>
          <w:rFonts w:ascii="Times New Roman" w:hAnsi="Times New Roman" w:eastAsia="方正仿宋_GBK"/>
          <w:bCs/>
          <w:snapToGrid w:val="0"/>
          <w:sz w:val="32"/>
          <w:szCs w:val="32"/>
        </w:rPr>
      </w:pPr>
      <w:r>
        <w:rPr>
          <w:rFonts w:ascii="Times New Roman" w:hAnsi="Times New Roman" w:eastAsia="方正仿宋_GBK"/>
          <w:bCs/>
          <w:snapToGrid w:val="0"/>
          <w:kern w:val="0"/>
          <w:sz w:val="32"/>
          <w:szCs w:val="32"/>
        </w:rPr>
        <w:t xml:space="preserve">19. </w:t>
      </w:r>
      <w:r>
        <w:rPr>
          <w:rFonts w:hint="eastAsia" w:ascii="方正仿宋_GBK" w:hAnsi="Times New Roman" w:eastAsia="方正仿宋_GBK"/>
          <w:bCs/>
          <w:snapToGrid w:val="0"/>
          <w:kern w:val="0"/>
          <w:sz w:val="32"/>
          <w:szCs w:val="32"/>
        </w:rPr>
        <w:t>城市“硅巷”：即按照市统一部署，借鉴纽约、曼哈顿等城市经验，推动部分老城区的高新区改造老厂房、盘活老校区，打造集约紧凑、功能互补、结构完善、校地融合、产城一体、创新创业活跃度高的城市“硅巷”。</w:t>
      </w:r>
    </w:p>
    <w:p w14:paraId="2F3F6C2E">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20.</w:t>
      </w:r>
      <w:r>
        <w:rPr>
          <w:rFonts w:hint="eastAsia" w:ascii="方正仿宋_GBK" w:hAnsi="Times New Roman" w:eastAsia="方正仿宋_GBK"/>
          <w:bCs/>
          <w:snapToGrid w:val="0"/>
          <w:kern w:val="0"/>
          <w:sz w:val="32"/>
          <w:szCs w:val="32"/>
        </w:rPr>
        <w:t>“三个一”工程：即成立一个行业协会，制定一个行业发展规划，设立一个专项基金。</w:t>
      </w:r>
    </w:p>
    <w:p w14:paraId="300B8036">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21.</w:t>
      </w:r>
      <w:r>
        <w:rPr>
          <w:rFonts w:hint="eastAsia" w:ascii="方正仿宋_GBK" w:hAnsi="Times New Roman" w:eastAsia="方正仿宋_GBK"/>
          <w:bCs/>
          <w:snapToGrid w:val="0"/>
          <w:kern w:val="0"/>
          <w:sz w:val="32"/>
          <w:szCs w:val="32"/>
        </w:rPr>
        <w:t>“四有”：即文物保护有保护范围、有保护标志、有记录档案、有保管机构。</w:t>
      </w:r>
    </w:p>
    <w:p w14:paraId="5B359061">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22.</w:t>
      </w:r>
      <w:r>
        <w:rPr>
          <w:rFonts w:hint="eastAsia" w:ascii="方正仿宋_GBK" w:hAnsi="Times New Roman" w:eastAsia="方正仿宋_GBK"/>
          <w:bCs/>
          <w:snapToGrid w:val="0"/>
          <w:kern w:val="0"/>
          <w:sz w:val="32"/>
          <w:szCs w:val="32"/>
        </w:rPr>
        <w:t>“四个意识”：即政治意识、大局意识、核心意识、看齐意识。</w:t>
      </w:r>
    </w:p>
    <w:p w14:paraId="61B55B69">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23.</w:t>
      </w:r>
      <w:r>
        <w:rPr>
          <w:rFonts w:hint="eastAsia" w:ascii="方正仿宋_GBK" w:hAnsi="Times New Roman" w:eastAsia="方正仿宋_GBK"/>
          <w:bCs/>
          <w:snapToGrid w:val="0"/>
          <w:kern w:val="0"/>
          <w:sz w:val="32"/>
          <w:szCs w:val="32"/>
        </w:rPr>
        <w:t>“四个自信”：即中国特色社会主义道路自信、理论自信、制度自信、文化自信。</w:t>
      </w:r>
    </w:p>
    <w:p w14:paraId="0E398EF5">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24.</w:t>
      </w:r>
      <w:r>
        <w:rPr>
          <w:rFonts w:hint="eastAsia" w:ascii="方正仿宋_GBK" w:hAnsi="Times New Roman" w:eastAsia="方正仿宋_GBK"/>
          <w:bCs/>
          <w:snapToGrid w:val="0"/>
          <w:kern w:val="0"/>
          <w:sz w:val="32"/>
          <w:szCs w:val="32"/>
        </w:rPr>
        <w:t>“两个维护”：即坚决维护习近平总书记党中央的核心、全党的核心地位，坚决维护党中央权威和集中统一领导。</w:t>
      </w:r>
    </w:p>
    <w:p w14:paraId="695A673B">
      <w:pPr>
        <w:adjustRightInd w:val="0"/>
        <w:snapToGrid w:val="0"/>
        <w:spacing w:line="600" w:lineRule="exact"/>
        <w:ind w:firstLine="640" w:firstLineChars="200"/>
        <w:rPr>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25.</w:t>
      </w:r>
      <w:r>
        <w:rPr>
          <w:rFonts w:hint="eastAsia" w:ascii="方正仿宋_GBK" w:hAnsi="Times New Roman" w:eastAsia="方正仿宋_GBK"/>
          <w:bCs/>
          <w:snapToGrid w:val="0"/>
          <w:kern w:val="0"/>
          <w:sz w:val="32"/>
          <w:szCs w:val="32"/>
        </w:rPr>
        <w:t>“不见面”审批：即申请人无需到政府服务窗口面对面办理，只需要通过电脑或手机登录，采取视频对话、人证核对、电子签名、手机验证等“不见面”方式，即可完成事项办理，并可选择快递送达，实现“网上办、集中批、联合审、区域评、代办制、不见面”。</w:t>
      </w:r>
    </w:p>
    <w:p w14:paraId="376FABA1">
      <w:pPr>
        <w:adjustRightInd w:val="0"/>
        <w:snapToGrid w:val="0"/>
        <w:spacing w:line="600" w:lineRule="exact"/>
        <w:ind w:firstLine="640" w:firstLineChars="200"/>
        <w:rPr>
          <w:rFonts w:ascii="方正仿宋_GBK" w:hAnsi="Times New Roman" w:eastAsia="方正仿宋_GBK"/>
          <w:bCs/>
          <w:snapToGrid w:val="0"/>
          <w:kern w:val="0"/>
          <w:sz w:val="32"/>
          <w:szCs w:val="32"/>
        </w:rPr>
      </w:pPr>
      <w:r>
        <w:rPr>
          <w:rFonts w:ascii="Times New Roman" w:hAnsi="Times New Roman" w:eastAsia="方正仿宋_GBK"/>
          <w:bCs/>
          <w:snapToGrid w:val="0"/>
          <w:kern w:val="0"/>
          <w:sz w:val="32"/>
          <w:szCs w:val="32"/>
        </w:rPr>
        <w:t>26.</w:t>
      </w:r>
      <w:r>
        <w:rPr>
          <w:rFonts w:hint="eastAsia" w:ascii="方正仿宋_GBK" w:hAnsi="Times New Roman" w:eastAsia="方正仿宋_GBK"/>
          <w:bCs/>
          <w:snapToGrid w:val="0"/>
          <w:kern w:val="0"/>
          <w:sz w:val="32"/>
          <w:szCs w:val="32"/>
        </w:rPr>
        <w:t>“预审代办”：即项目单位在未取得用地前，由项目代办员代理项目单位预先申报相关报批材料，具有行政许可权的机关或部门，依法对投资建设项目进行实质性预审，并出具预审意见，待项目用地手续完备并达到法定条件后，将预审意见转换为正式审批的一种全程代办审批服务模式。</w:t>
      </w:r>
    </w:p>
    <w:p w14:paraId="40D3DBC8">
      <w:pPr>
        <w:adjustRightInd w:val="0"/>
        <w:snapToGrid w:val="0"/>
        <w:spacing w:line="600" w:lineRule="exact"/>
        <w:rPr>
          <w:rFonts w:ascii="Times New Roman" w:hAnsi="Times New Roman" w:eastAsia="方正仿宋_GBK"/>
          <w:bCs/>
          <w:snapToGrid w:val="0"/>
          <w:kern w:val="0"/>
          <w:sz w:val="32"/>
          <w:szCs w:val="32"/>
        </w:rPr>
      </w:pPr>
    </w:p>
    <w:p w14:paraId="7710B91E">
      <w:pPr>
        <w:adjustRightInd w:val="0"/>
        <w:snapToGrid w:val="0"/>
        <w:spacing w:line="600" w:lineRule="exact"/>
        <w:rPr>
          <w:rFonts w:ascii="Times New Roman" w:hAnsi="Times New Roman" w:eastAsia="方正仿宋_GBK"/>
          <w:bCs/>
          <w:snapToGrid w:val="0"/>
          <w:kern w:val="0"/>
          <w:sz w:val="32"/>
          <w:szCs w:val="32"/>
        </w:rPr>
      </w:pPr>
    </w:p>
    <w:p w14:paraId="0BF7AE40">
      <w:pPr>
        <w:adjustRightInd w:val="0"/>
        <w:snapToGrid w:val="0"/>
        <w:spacing w:line="600" w:lineRule="exact"/>
        <w:rPr>
          <w:rFonts w:ascii="Times New Roman" w:hAnsi="Times New Roman" w:eastAsia="方正仿宋_GBK"/>
          <w:bCs/>
          <w:snapToGrid w:val="0"/>
          <w:kern w:val="0"/>
          <w:sz w:val="32"/>
          <w:szCs w:val="32"/>
        </w:rPr>
      </w:pPr>
    </w:p>
    <w:p w14:paraId="334038DE">
      <w:pPr>
        <w:pStyle w:val="4"/>
        <w:rPr>
          <w:rFonts w:ascii="楷体_GB2312" w:hAnsi="宋体" w:eastAsia="楷体_GB2312"/>
          <w:szCs w:val="21"/>
        </w:rPr>
      </w:pPr>
    </w:p>
    <w:p w14:paraId="273AFB7D">
      <w:pPr>
        <w:pStyle w:val="4"/>
        <w:rPr>
          <w:rFonts w:ascii="楷体_GB2312" w:hAnsi="宋体" w:eastAsia="楷体_GB2312"/>
          <w:szCs w:val="21"/>
        </w:rPr>
      </w:pPr>
    </w:p>
    <w:p w14:paraId="3B7DEB05">
      <w:pPr>
        <w:pStyle w:val="4"/>
        <w:rPr>
          <w:rFonts w:ascii="楷体_GB2312" w:hAnsi="宋体" w:eastAsia="楷体_GB2312"/>
          <w:szCs w:val="21"/>
        </w:rPr>
      </w:pPr>
    </w:p>
    <w:p w14:paraId="01E4040F">
      <w:pPr>
        <w:pStyle w:val="4"/>
        <w:rPr>
          <w:rFonts w:ascii="楷体_GB2312" w:hAnsi="宋体" w:eastAsia="楷体_GB2312"/>
          <w:szCs w:val="21"/>
        </w:rPr>
      </w:pPr>
    </w:p>
    <w:p w14:paraId="71C0AD24">
      <w:pPr>
        <w:pStyle w:val="4"/>
        <w:rPr>
          <w:rFonts w:ascii="楷体_GB2312" w:hAnsi="宋体" w:eastAsia="楷体_GB2312"/>
          <w:szCs w:val="21"/>
        </w:rPr>
      </w:pPr>
    </w:p>
    <w:p w14:paraId="7C4A04F9">
      <w:pPr>
        <w:pStyle w:val="4"/>
        <w:rPr>
          <w:rFonts w:ascii="楷体_GB2312" w:hAnsi="宋体" w:eastAsia="楷体_GB2312"/>
          <w:szCs w:val="21"/>
        </w:rPr>
      </w:pPr>
    </w:p>
    <w:p w14:paraId="781552DE">
      <w:pPr>
        <w:pStyle w:val="4"/>
        <w:rPr>
          <w:rFonts w:ascii="楷体_GB2312" w:hAnsi="宋体" w:eastAsia="楷体_GB2312"/>
          <w:szCs w:val="21"/>
        </w:rPr>
      </w:pPr>
    </w:p>
    <w:p w14:paraId="3F7854A9">
      <w:pPr>
        <w:pStyle w:val="4"/>
        <w:rPr>
          <w:rFonts w:ascii="楷体_GB2312" w:hAnsi="宋体" w:eastAsia="楷体_GB2312"/>
          <w:szCs w:val="21"/>
        </w:rPr>
      </w:pPr>
    </w:p>
    <w:p w14:paraId="6BE85F5B">
      <w:pPr>
        <w:pStyle w:val="4"/>
        <w:rPr>
          <w:rFonts w:ascii="楷体_GB2312" w:hAnsi="宋体" w:eastAsia="楷体_GB2312"/>
          <w:szCs w:val="21"/>
        </w:rPr>
      </w:pPr>
    </w:p>
    <w:p w14:paraId="62091B6D">
      <w:pPr>
        <w:pStyle w:val="4"/>
        <w:rPr>
          <w:rFonts w:ascii="楷体_GB2312" w:hAnsi="宋体" w:eastAsia="楷体_GB2312"/>
          <w:szCs w:val="21"/>
        </w:rPr>
      </w:pPr>
    </w:p>
    <w:p w14:paraId="63F8441B">
      <w:pPr>
        <w:pStyle w:val="4"/>
        <w:rPr>
          <w:rFonts w:ascii="楷体_GB2312" w:hAnsi="宋体" w:eastAsia="楷体_GB2312"/>
          <w:szCs w:val="21"/>
        </w:rPr>
      </w:pPr>
    </w:p>
    <w:p w14:paraId="258F4CD9">
      <w:pPr>
        <w:pStyle w:val="4"/>
        <w:rPr>
          <w:rFonts w:ascii="楷体_GB2312" w:hAnsi="宋体" w:eastAsia="楷体_GB2312"/>
          <w:szCs w:val="21"/>
        </w:rPr>
      </w:pPr>
    </w:p>
    <w:p w14:paraId="30191FCC">
      <w:pPr>
        <w:pStyle w:val="4"/>
        <w:rPr>
          <w:rFonts w:ascii="楷体_GB2312" w:hAnsi="宋体" w:eastAsia="楷体_GB2312"/>
          <w:szCs w:val="21"/>
        </w:rPr>
      </w:pPr>
    </w:p>
    <w:p w14:paraId="137CC9C4">
      <w:pPr>
        <w:pStyle w:val="4"/>
        <w:rPr>
          <w:rFonts w:ascii="楷体_GB2312" w:hAnsi="宋体" w:eastAsia="楷体_GB2312"/>
          <w:szCs w:val="21"/>
        </w:rPr>
      </w:pPr>
    </w:p>
    <w:p w14:paraId="25B10F9F">
      <w:pPr>
        <w:pStyle w:val="4"/>
        <w:rPr>
          <w:rFonts w:ascii="楷体_GB2312" w:hAnsi="宋体" w:eastAsia="楷体_GB2312"/>
          <w:szCs w:val="21"/>
        </w:rPr>
      </w:pPr>
    </w:p>
    <w:p w14:paraId="77F0F62D">
      <w:pPr>
        <w:pStyle w:val="4"/>
        <w:rPr>
          <w:rFonts w:ascii="楷体_GB2312" w:hAnsi="宋体" w:eastAsia="楷体_GB2312"/>
          <w:szCs w:val="21"/>
        </w:rPr>
      </w:pPr>
    </w:p>
    <w:p w14:paraId="3C9F9286">
      <w:pPr>
        <w:pStyle w:val="4"/>
        <w:rPr>
          <w:rFonts w:ascii="楷体_GB2312" w:hAnsi="宋体" w:eastAsia="楷体_GB2312"/>
          <w:szCs w:val="21"/>
        </w:rPr>
      </w:pPr>
    </w:p>
    <w:p w14:paraId="696A2B46">
      <w:pPr>
        <w:pStyle w:val="4"/>
        <w:rPr>
          <w:rFonts w:ascii="楷体_GB2312" w:hAnsi="宋体" w:eastAsia="楷体_GB2312"/>
          <w:szCs w:val="21"/>
        </w:rPr>
      </w:pPr>
    </w:p>
    <w:p w14:paraId="34210EEE">
      <w:pPr>
        <w:pStyle w:val="4"/>
        <w:rPr>
          <w:rFonts w:ascii="楷体_GB2312" w:hAnsi="宋体" w:eastAsia="楷体_GB2312"/>
          <w:szCs w:val="21"/>
        </w:rPr>
      </w:pPr>
    </w:p>
    <w:p w14:paraId="6825C121">
      <w:pPr>
        <w:pStyle w:val="4"/>
        <w:rPr>
          <w:rFonts w:ascii="楷体_GB2312" w:hAnsi="宋体" w:eastAsia="楷体_GB2312"/>
          <w:szCs w:val="21"/>
        </w:rPr>
      </w:pPr>
    </w:p>
    <w:p w14:paraId="63043147">
      <w:pPr>
        <w:pStyle w:val="4"/>
        <w:rPr>
          <w:rFonts w:ascii="楷体_GB2312" w:hAnsi="宋体" w:eastAsia="楷体_GB2312"/>
          <w:szCs w:val="21"/>
        </w:rPr>
      </w:pPr>
    </w:p>
    <w:p w14:paraId="5D189EE6">
      <w:pPr>
        <w:pStyle w:val="4"/>
        <w:rPr>
          <w:rFonts w:ascii="楷体_GB2312" w:hAnsi="宋体" w:eastAsia="楷体_GB2312"/>
          <w:szCs w:val="21"/>
        </w:rPr>
      </w:pPr>
    </w:p>
    <w:p w14:paraId="44C7E956">
      <w:pPr>
        <w:pStyle w:val="4"/>
        <w:rPr>
          <w:rFonts w:ascii="楷体_GB2312" w:hAnsi="宋体" w:eastAsia="楷体_GB2312"/>
          <w:szCs w:val="21"/>
        </w:rPr>
      </w:pPr>
    </w:p>
    <w:p w14:paraId="4DB9257A">
      <w:pPr>
        <w:pStyle w:val="4"/>
        <w:rPr>
          <w:rFonts w:ascii="楷体_GB2312" w:hAnsi="宋体" w:eastAsia="楷体_GB2312"/>
          <w:szCs w:val="21"/>
        </w:rPr>
      </w:pPr>
    </w:p>
    <w:p w14:paraId="270ED3E5">
      <w:pPr>
        <w:pStyle w:val="4"/>
        <w:rPr>
          <w:rFonts w:ascii="楷体_GB2312" w:hAnsi="宋体" w:eastAsia="楷体_GB2312"/>
          <w:szCs w:val="21"/>
        </w:rPr>
      </w:pPr>
    </w:p>
    <w:p w14:paraId="0A149505">
      <w:pPr>
        <w:pStyle w:val="4"/>
        <w:rPr>
          <w:rFonts w:ascii="楷体_GB2312" w:hAnsi="宋体" w:eastAsia="楷体_GB2312"/>
          <w:szCs w:val="21"/>
        </w:rPr>
      </w:pPr>
    </w:p>
    <w:p w14:paraId="2BF80555">
      <w:pPr>
        <w:pStyle w:val="4"/>
        <w:rPr>
          <w:rFonts w:ascii="楷体_GB2312" w:hAnsi="宋体" w:eastAsia="楷体_GB2312"/>
          <w:szCs w:val="21"/>
        </w:rPr>
      </w:pPr>
    </w:p>
    <w:p w14:paraId="1D9E7E40">
      <w:pPr>
        <w:pStyle w:val="4"/>
        <w:rPr>
          <w:rFonts w:ascii="楷体_GB2312" w:hAnsi="宋体" w:eastAsia="楷体_GB2312"/>
          <w:szCs w:val="21"/>
        </w:rPr>
      </w:pPr>
    </w:p>
    <w:p w14:paraId="3CA13F39">
      <w:pPr>
        <w:pStyle w:val="4"/>
        <w:rPr>
          <w:rFonts w:ascii="楷体_GB2312" w:hAnsi="宋体" w:eastAsia="楷体_GB2312"/>
          <w:szCs w:val="21"/>
        </w:rPr>
      </w:pPr>
    </w:p>
    <w:p w14:paraId="09EE28B6">
      <w:pPr>
        <w:pStyle w:val="4"/>
        <w:rPr>
          <w:rFonts w:ascii="楷体_GB2312" w:hAnsi="宋体" w:eastAsia="楷体_GB2312"/>
          <w:szCs w:val="21"/>
        </w:rPr>
      </w:pPr>
    </w:p>
    <w:p w14:paraId="12CA4446">
      <w:pPr>
        <w:pStyle w:val="4"/>
        <w:rPr>
          <w:rFonts w:ascii="楷体_GB2312" w:hAnsi="宋体" w:eastAsia="楷体_GB2312"/>
          <w:szCs w:val="21"/>
        </w:rPr>
      </w:pPr>
    </w:p>
    <w:p w14:paraId="61B3E31F">
      <w:pPr>
        <w:pStyle w:val="4"/>
        <w:rPr>
          <w:rFonts w:ascii="楷体_GB2312" w:hAnsi="宋体" w:eastAsia="楷体_GB2312"/>
          <w:szCs w:val="21"/>
        </w:rPr>
      </w:pPr>
    </w:p>
    <w:p w14:paraId="0D884A52">
      <w:pPr>
        <w:pStyle w:val="4"/>
        <w:rPr>
          <w:rFonts w:ascii="楷体_GB2312" w:hAnsi="宋体" w:eastAsia="楷体_GB2312"/>
          <w:szCs w:val="21"/>
        </w:rPr>
      </w:pPr>
    </w:p>
    <w:p w14:paraId="33C0AEC4">
      <w:pPr>
        <w:pStyle w:val="4"/>
        <w:rPr>
          <w:rFonts w:ascii="楷体_GB2312" w:hAnsi="宋体" w:eastAsia="楷体_GB2312"/>
          <w:szCs w:val="21"/>
        </w:rPr>
      </w:pPr>
    </w:p>
    <w:p w14:paraId="60FF0B65">
      <w:pPr>
        <w:pStyle w:val="4"/>
        <w:rPr>
          <w:rFonts w:ascii="楷体_GB2312" w:hAnsi="宋体" w:eastAsia="楷体_GB2312"/>
          <w:szCs w:val="21"/>
        </w:rPr>
      </w:pPr>
    </w:p>
    <w:p w14:paraId="35C3FDA2">
      <w:pPr>
        <w:pStyle w:val="4"/>
        <w:rPr>
          <w:rFonts w:ascii="楷体_GB2312" w:hAnsi="宋体" w:eastAsia="楷体_GB2312"/>
          <w:szCs w:val="21"/>
        </w:rPr>
      </w:pPr>
    </w:p>
    <w:p w14:paraId="5ED53911">
      <w:pPr>
        <w:pStyle w:val="4"/>
        <w:rPr>
          <w:rFonts w:ascii="楷体_GB2312" w:hAnsi="宋体" w:eastAsia="楷体_GB2312"/>
          <w:szCs w:val="21"/>
        </w:rPr>
      </w:pPr>
    </w:p>
    <w:p w14:paraId="51300F12">
      <w:pPr>
        <w:pStyle w:val="4"/>
        <w:rPr>
          <w:rFonts w:ascii="楷体_GB2312" w:hAnsi="宋体" w:eastAsia="楷体_GB2312"/>
          <w:szCs w:val="21"/>
        </w:rPr>
      </w:pPr>
    </w:p>
    <w:p w14:paraId="3C75C53A">
      <w:pPr>
        <w:pStyle w:val="4"/>
        <w:rPr>
          <w:rFonts w:ascii="楷体_GB2312" w:hAnsi="宋体" w:eastAsia="楷体_GB2312"/>
          <w:szCs w:val="21"/>
        </w:rPr>
      </w:pPr>
    </w:p>
    <w:p w14:paraId="2410E954">
      <w:pPr>
        <w:pStyle w:val="4"/>
        <w:rPr>
          <w:rFonts w:ascii="楷体_GB2312" w:hAnsi="宋体" w:eastAsia="楷体_GB2312"/>
          <w:szCs w:val="21"/>
        </w:rPr>
      </w:pPr>
    </w:p>
    <w:p w14:paraId="111C1BBF">
      <w:pPr>
        <w:pStyle w:val="4"/>
        <w:rPr>
          <w:rFonts w:ascii="楷体_GB2312" w:hAnsi="宋体" w:eastAsia="楷体_GB2312"/>
          <w:szCs w:val="21"/>
        </w:rPr>
      </w:pPr>
    </w:p>
    <w:p w14:paraId="3A7333D0">
      <w:pPr>
        <w:pStyle w:val="4"/>
        <w:rPr>
          <w:rFonts w:ascii="楷体_GB2312" w:hAnsi="宋体" w:eastAsia="楷体_GB2312"/>
          <w:szCs w:val="21"/>
        </w:rPr>
      </w:pPr>
    </w:p>
    <w:p w14:paraId="45C3A140">
      <w:pPr>
        <w:pStyle w:val="4"/>
        <w:rPr>
          <w:rFonts w:ascii="楷体_GB2312" w:hAnsi="宋体" w:eastAsia="楷体_GB2312"/>
          <w:szCs w:val="21"/>
        </w:rPr>
      </w:pPr>
    </w:p>
    <w:p w14:paraId="37BA5F65">
      <w:pPr>
        <w:pStyle w:val="4"/>
        <w:rPr>
          <w:rFonts w:ascii="楷体_GB2312" w:hAnsi="宋体" w:eastAsia="楷体_GB2312"/>
          <w:szCs w:val="21"/>
        </w:rPr>
      </w:pPr>
    </w:p>
    <w:p w14:paraId="17FB5F29">
      <w:pPr>
        <w:pStyle w:val="4"/>
        <w:rPr>
          <w:rFonts w:ascii="楷体_GB2312" w:hAnsi="宋体" w:eastAsia="楷体_GB2312"/>
          <w:szCs w:val="21"/>
        </w:rPr>
      </w:pPr>
    </w:p>
    <w:p w14:paraId="2A8086BE">
      <w:pPr>
        <w:pStyle w:val="4"/>
        <w:rPr>
          <w:rFonts w:ascii="楷体_GB2312" w:hAnsi="宋体" w:eastAsia="楷体_GB2312"/>
          <w:szCs w:val="21"/>
        </w:rPr>
      </w:pPr>
    </w:p>
    <w:p w14:paraId="05091BF8">
      <w:pPr>
        <w:pStyle w:val="4"/>
        <w:rPr>
          <w:rFonts w:ascii="楷体_GB2312" w:hAnsi="宋体" w:eastAsia="楷体_GB2312"/>
          <w:szCs w:val="21"/>
        </w:rPr>
      </w:pPr>
    </w:p>
    <w:p w14:paraId="736BF817">
      <w:pPr>
        <w:pStyle w:val="4"/>
        <w:rPr>
          <w:rFonts w:ascii="楷体_GB2312" w:hAnsi="宋体" w:eastAsia="楷体_GB2312"/>
          <w:szCs w:val="21"/>
        </w:rPr>
      </w:pPr>
    </w:p>
    <w:p w14:paraId="2C009B2D">
      <w:pPr>
        <w:pStyle w:val="4"/>
        <w:rPr>
          <w:rFonts w:ascii="楷体_GB2312" w:hAnsi="宋体" w:eastAsia="楷体_GB2312"/>
          <w:szCs w:val="21"/>
        </w:rPr>
      </w:pPr>
    </w:p>
    <w:p w14:paraId="6A9E2AD7">
      <w:pPr>
        <w:pStyle w:val="4"/>
        <w:rPr>
          <w:rFonts w:ascii="楷体_GB2312" w:hAnsi="宋体" w:eastAsia="楷体_GB2312"/>
          <w:szCs w:val="21"/>
        </w:rPr>
      </w:pPr>
    </w:p>
    <w:p w14:paraId="23A27E77">
      <w:pPr>
        <w:pStyle w:val="4"/>
        <w:rPr>
          <w:rFonts w:ascii="楷体_GB2312" w:hAnsi="宋体" w:eastAsia="楷体_GB2312"/>
          <w:szCs w:val="21"/>
        </w:rPr>
      </w:pPr>
    </w:p>
    <w:p w14:paraId="786C56CD">
      <w:pPr>
        <w:pStyle w:val="4"/>
        <w:rPr>
          <w:rFonts w:ascii="楷体_GB2312" w:hAnsi="宋体" w:eastAsia="楷体_GB2312"/>
          <w:szCs w:val="21"/>
        </w:rPr>
      </w:pPr>
    </w:p>
    <w:p w14:paraId="52C8E522">
      <w:pPr>
        <w:pStyle w:val="4"/>
        <w:rPr>
          <w:rFonts w:ascii="楷体_GB2312" w:hAnsi="宋体" w:eastAsia="楷体_GB2312"/>
          <w:szCs w:val="21"/>
        </w:rPr>
      </w:pPr>
    </w:p>
    <w:p w14:paraId="30CB7831">
      <w:pPr>
        <w:pStyle w:val="4"/>
        <w:rPr>
          <w:rFonts w:ascii="楷体_GB2312" w:hAnsi="宋体" w:eastAsia="楷体_GB2312"/>
          <w:szCs w:val="21"/>
        </w:rPr>
      </w:pPr>
    </w:p>
    <w:p w14:paraId="0846E0BA">
      <w:pPr>
        <w:pStyle w:val="4"/>
        <w:rPr>
          <w:rFonts w:ascii="楷体_GB2312" w:hAnsi="宋体" w:eastAsia="楷体_GB2312"/>
          <w:szCs w:val="21"/>
        </w:rPr>
      </w:pPr>
    </w:p>
    <w:p w14:paraId="0410B047">
      <w:pPr>
        <w:pStyle w:val="4"/>
        <w:rPr>
          <w:rFonts w:ascii="楷体_GB2312" w:hAnsi="宋体" w:eastAsia="楷体_GB2312"/>
          <w:szCs w:val="21"/>
        </w:rPr>
      </w:pPr>
    </w:p>
    <w:p w14:paraId="2E931C40">
      <w:pPr>
        <w:pStyle w:val="4"/>
        <w:rPr>
          <w:rFonts w:ascii="楷体_GB2312" w:hAnsi="宋体" w:eastAsia="楷体_GB2312"/>
          <w:szCs w:val="21"/>
        </w:rPr>
      </w:pPr>
    </w:p>
    <w:p w14:paraId="124AAA39">
      <w:pPr>
        <w:pStyle w:val="4"/>
        <w:rPr>
          <w:rFonts w:ascii="楷体_GB2312" w:hAnsi="宋体" w:eastAsia="楷体_GB2312"/>
          <w:szCs w:val="21"/>
        </w:rPr>
      </w:pPr>
    </w:p>
    <w:p w14:paraId="23D2BB9A">
      <w:pPr>
        <w:pStyle w:val="4"/>
        <w:rPr>
          <w:rFonts w:ascii="楷体_GB2312" w:hAnsi="宋体" w:eastAsia="楷体_GB2312"/>
          <w:szCs w:val="21"/>
        </w:rPr>
      </w:pPr>
    </w:p>
    <w:p w14:paraId="5F186A09">
      <w:pPr>
        <w:pStyle w:val="4"/>
        <w:rPr>
          <w:rFonts w:ascii="楷体_GB2312" w:hAnsi="宋体" w:eastAsia="楷体_GB2312"/>
          <w:szCs w:val="21"/>
        </w:rPr>
      </w:pPr>
    </w:p>
    <w:p w14:paraId="1716C846">
      <w:pPr>
        <w:pStyle w:val="4"/>
        <w:rPr>
          <w:rFonts w:ascii="楷体_GB2312" w:hAnsi="宋体" w:eastAsia="楷体_GB2312"/>
          <w:szCs w:val="21"/>
        </w:rPr>
      </w:pPr>
    </w:p>
    <w:p w14:paraId="03A90FB9">
      <w:pPr>
        <w:pStyle w:val="4"/>
        <w:rPr>
          <w:rFonts w:ascii="楷体_GB2312" w:hAnsi="宋体" w:eastAsia="楷体_GB2312"/>
          <w:szCs w:val="21"/>
        </w:rPr>
      </w:pPr>
    </w:p>
    <w:p w14:paraId="706B0DD9">
      <w:pPr>
        <w:pStyle w:val="4"/>
        <w:rPr>
          <w:rFonts w:ascii="楷体_GB2312" w:hAnsi="宋体" w:eastAsia="楷体_GB2312"/>
          <w:szCs w:val="21"/>
        </w:rPr>
      </w:pPr>
    </w:p>
    <w:p w14:paraId="1F2D1E49">
      <w:pPr>
        <w:pStyle w:val="4"/>
        <w:rPr>
          <w:rFonts w:ascii="楷体_GB2312" w:hAnsi="宋体" w:eastAsia="楷体_GB2312"/>
          <w:szCs w:val="21"/>
        </w:rPr>
      </w:pPr>
    </w:p>
    <w:p w14:paraId="7758829E">
      <w:pPr>
        <w:pStyle w:val="4"/>
        <w:rPr>
          <w:rFonts w:ascii="楷体_GB2312" w:hAnsi="宋体" w:eastAsia="楷体_GB2312"/>
          <w:szCs w:val="21"/>
        </w:rPr>
      </w:pPr>
    </w:p>
    <w:p w14:paraId="34D3A436">
      <w:pPr>
        <w:pStyle w:val="4"/>
        <w:rPr>
          <w:rFonts w:ascii="楷体_GB2312" w:hAnsi="宋体" w:eastAsia="楷体_GB2312"/>
          <w:szCs w:val="21"/>
        </w:rPr>
      </w:pPr>
    </w:p>
    <w:p w14:paraId="1D55D1B7">
      <w:pPr>
        <w:pStyle w:val="4"/>
        <w:rPr>
          <w:rFonts w:ascii="楷体_GB2312" w:hAnsi="宋体" w:eastAsia="楷体_GB2312"/>
          <w:szCs w:val="21"/>
        </w:rPr>
      </w:pPr>
    </w:p>
    <w:p w14:paraId="398A9E0A">
      <w:pPr>
        <w:pStyle w:val="4"/>
        <w:rPr>
          <w:rFonts w:ascii="楷体_GB2312" w:hAnsi="宋体" w:eastAsia="楷体_GB2312"/>
          <w:szCs w:val="21"/>
        </w:rPr>
      </w:pPr>
    </w:p>
    <w:p w14:paraId="65C54E01">
      <w:pPr>
        <w:pStyle w:val="4"/>
        <w:rPr>
          <w:rFonts w:ascii="楷体_GB2312" w:hAnsi="宋体" w:eastAsia="楷体_GB2312"/>
          <w:szCs w:val="21"/>
        </w:rPr>
      </w:pPr>
    </w:p>
    <w:p w14:paraId="446E5C19">
      <w:pPr>
        <w:pStyle w:val="4"/>
        <w:rPr>
          <w:rFonts w:ascii="楷体_GB2312" w:hAnsi="宋体" w:eastAsia="楷体_GB2312"/>
          <w:szCs w:val="21"/>
        </w:rPr>
      </w:pPr>
    </w:p>
    <w:p w14:paraId="3E1A49A4">
      <w:pPr>
        <w:pStyle w:val="4"/>
        <w:rPr>
          <w:rFonts w:ascii="楷体_GB2312" w:hAnsi="宋体" w:eastAsia="楷体_GB2312"/>
          <w:szCs w:val="21"/>
        </w:rPr>
      </w:pPr>
    </w:p>
    <w:p w14:paraId="67607384">
      <w:pPr>
        <w:pStyle w:val="4"/>
        <w:rPr>
          <w:rFonts w:ascii="楷体_GB2312" w:hAnsi="宋体" w:eastAsia="楷体_GB2312"/>
          <w:szCs w:val="21"/>
        </w:rPr>
      </w:pPr>
    </w:p>
    <w:p w14:paraId="4A5A77A0">
      <w:pPr>
        <w:pStyle w:val="4"/>
        <w:rPr>
          <w:rFonts w:ascii="楷体_GB2312" w:hAnsi="宋体" w:eastAsia="楷体_GB2312"/>
          <w:szCs w:val="21"/>
        </w:rPr>
      </w:pPr>
    </w:p>
    <w:p w14:paraId="7D344C83">
      <w:pPr>
        <w:pStyle w:val="4"/>
        <w:rPr>
          <w:rFonts w:ascii="楷体_GB2312" w:hAnsi="宋体" w:eastAsia="楷体_GB2312"/>
          <w:szCs w:val="21"/>
        </w:rPr>
      </w:pPr>
    </w:p>
    <w:p w14:paraId="7F7E957B">
      <w:pPr>
        <w:pStyle w:val="4"/>
        <w:rPr>
          <w:rFonts w:ascii="楷体_GB2312" w:hAnsi="宋体" w:eastAsia="楷体_GB2312"/>
          <w:szCs w:val="21"/>
        </w:rPr>
      </w:pPr>
    </w:p>
    <w:p w14:paraId="3080BAF3">
      <w:pPr>
        <w:pStyle w:val="4"/>
        <w:rPr>
          <w:rFonts w:ascii="楷体_GB2312" w:hAnsi="宋体" w:eastAsia="楷体_GB2312"/>
          <w:szCs w:val="21"/>
        </w:rPr>
      </w:pPr>
    </w:p>
    <w:p w14:paraId="3780BFB9">
      <w:pPr>
        <w:pStyle w:val="4"/>
        <w:rPr>
          <w:rFonts w:ascii="楷体_GB2312" w:hAnsi="宋体" w:eastAsia="楷体_GB2312"/>
          <w:szCs w:val="21"/>
        </w:rPr>
      </w:pPr>
    </w:p>
    <w:p w14:paraId="34C04AD7">
      <w:pPr>
        <w:pStyle w:val="4"/>
        <w:rPr>
          <w:rFonts w:ascii="楷体_GB2312" w:hAnsi="宋体" w:eastAsia="楷体_GB2312"/>
          <w:szCs w:val="21"/>
        </w:rPr>
      </w:pPr>
    </w:p>
    <w:p w14:paraId="7FFD8C09">
      <w:pPr>
        <w:pStyle w:val="4"/>
        <w:rPr>
          <w:rFonts w:ascii="楷体_GB2312" w:hAnsi="宋体" w:eastAsia="楷体_GB2312"/>
          <w:szCs w:val="21"/>
        </w:rPr>
      </w:pPr>
    </w:p>
    <w:p w14:paraId="1F3B384E">
      <w:pPr>
        <w:pStyle w:val="4"/>
        <w:rPr>
          <w:rFonts w:ascii="楷体_GB2312" w:hAnsi="宋体" w:eastAsia="楷体_GB2312"/>
          <w:szCs w:val="21"/>
        </w:rPr>
      </w:pPr>
    </w:p>
    <w:p w14:paraId="59BD4607">
      <w:pPr>
        <w:pStyle w:val="4"/>
        <w:rPr>
          <w:rFonts w:ascii="楷体_GB2312" w:hAnsi="宋体" w:eastAsia="楷体_GB2312"/>
          <w:szCs w:val="21"/>
        </w:rPr>
      </w:pPr>
    </w:p>
    <w:p w14:paraId="406B8F43">
      <w:pPr>
        <w:pStyle w:val="4"/>
        <w:rPr>
          <w:rFonts w:ascii="楷体_GB2312" w:hAnsi="宋体" w:eastAsia="楷体_GB2312"/>
          <w:szCs w:val="21"/>
        </w:rPr>
      </w:pPr>
    </w:p>
    <w:p w14:paraId="1117BF2E">
      <w:pPr>
        <w:pStyle w:val="4"/>
        <w:rPr>
          <w:rFonts w:ascii="楷体_GB2312" w:hAnsi="宋体" w:eastAsia="楷体_GB2312"/>
          <w:szCs w:val="21"/>
        </w:rPr>
      </w:pPr>
    </w:p>
    <w:p w14:paraId="204450EE">
      <w:pPr>
        <w:pStyle w:val="4"/>
        <w:rPr>
          <w:rFonts w:ascii="楷体_GB2312" w:hAnsi="宋体" w:eastAsia="楷体_GB2312"/>
          <w:szCs w:val="21"/>
        </w:rPr>
      </w:pPr>
    </w:p>
    <w:p w14:paraId="327B644B">
      <w:pPr>
        <w:pStyle w:val="4"/>
        <w:rPr>
          <w:rFonts w:ascii="楷体_GB2312" w:hAnsi="宋体" w:eastAsia="楷体_GB2312"/>
          <w:szCs w:val="21"/>
        </w:rPr>
      </w:pPr>
    </w:p>
    <w:p w14:paraId="3A14C900">
      <w:pPr>
        <w:pStyle w:val="4"/>
        <w:rPr>
          <w:rFonts w:ascii="楷体_GB2312" w:hAnsi="宋体" w:eastAsia="楷体_GB2312"/>
          <w:szCs w:val="21"/>
        </w:rPr>
      </w:pPr>
    </w:p>
    <w:p w14:paraId="3DACCEAE">
      <w:pPr>
        <w:pStyle w:val="4"/>
        <w:rPr>
          <w:rFonts w:ascii="楷体_GB2312" w:hAnsi="宋体" w:eastAsia="楷体_GB2312"/>
          <w:szCs w:val="21"/>
        </w:rPr>
      </w:pPr>
    </w:p>
    <w:p w14:paraId="210E24E3">
      <w:pPr>
        <w:pStyle w:val="4"/>
        <w:rPr>
          <w:rFonts w:ascii="楷体_GB2312" w:hAnsi="宋体" w:eastAsia="楷体_GB2312"/>
          <w:szCs w:val="21"/>
        </w:rPr>
      </w:pPr>
    </w:p>
    <w:p w14:paraId="67CA6688">
      <w:pPr>
        <w:pStyle w:val="4"/>
        <w:rPr>
          <w:rFonts w:ascii="楷体_GB2312" w:hAnsi="宋体" w:eastAsia="楷体_GB2312"/>
          <w:szCs w:val="21"/>
        </w:rPr>
      </w:pPr>
    </w:p>
    <w:p w14:paraId="386C46B6">
      <w:pPr>
        <w:pStyle w:val="4"/>
        <w:rPr>
          <w:rFonts w:ascii="楷体_GB2312" w:hAnsi="宋体" w:eastAsia="楷体_GB2312"/>
          <w:szCs w:val="21"/>
        </w:rPr>
      </w:pPr>
    </w:p>
    <w:p w14:paraId="7703DCC7">
      <w:pPr>
        <w:pStyle w:val="4"/>
        <w:rPr>
          <w:rFonts w:ascii="楷体_GB2312" w:hAnsi="宋体" w:eastAsia="楷体_GB2312"/>
          <w:szCs w:val="21"/>
        </w:rPr>
      </w:pPr>
    </w:p>
    <w:p w14:paraId="4A8ED001">
      <w:pPr>
        <w:pStyle w:val="4"/>
        <w:rPr>
          <w:rFonts w:ascii="楷体_GB2312" w:hAnsi="宋体" w:eastAsia="楷体_GB2312"/>
          <w:szCs w:val="21"/>
        </w:rPr>
      </w:pPr>
    </w:p>
    <w:p w14:paraId="62D38026">
      <w:pPr>
        <w:pStyle w:val="4"/>
        <w:rPr>
          <w:rFonts w:ascii="楷体_GB2312" w:hAnsi="宋体" w:eastAsia="楷体_GB2312"/>
          <w:szCs w:val="21"/>
        </w:rPr>
      </w:pPr>
    </w:p>
    <w:p w14:paraId="0AB26C71">
      <w:pPr>
        <w:pStyle w:val="4"/>
        <w:rPr>
          <w:rFonts w:ascii="楷体_GB2312" w:hAnsi="宋体" w:eastAsia="楷体_GB2312"/>
          <w:szCs w:val="21"/>
        </w:rPr>
      </w:pPr>
    </w:p>
    <w:p w14:paraId="1718502C">
      <w:pPr>
        <w:pStyle w:val="4"/>
        <w:rPr>
          <w:rFonts w:ascii="楷体_GB2312" w:hAnsi="宋体" w:eastAsia="楷体_GB2312"/>
          <w:szCs w:val="21"/>
        </w:rPr>
      </w:pPr>
    </w:p>
    <w:p w14:paraId="62D1682A">
      <w:pPr>
        <w:pStyle w:val="4"/>
        <w:rPr>
          <w:rFonts w:ascii="楷体_GB2312" w:hAnsi="宋体" w:eastAsia="楷体_GB2312"/>
          <w:szCs w:val="21"/>
        </w:rPr>
      </w:pPr>
    </w:p>
    <w:p w14:paraId="4AE84299">
      <w:pPr>
        <w:pStyle w:val="4"/>
        <w:rPr>
          <w:rFonts w:ascii="楷体_GB2312" w:hAnsi="宋体" w:eastAsia="楷体_GB2312"/>
          <w:szCs w:val="21"/>
        </w:rPr>
      </w:pPr>
    </w:p>
    <w:p w14:paraId="14B29400">
      <w:pPr>
        <w:pStyle w:val="4"/>
        <w:rPr>
          <w:rFonts w:ascii="楷体_GB2312" w:hAnsi="宋体" w:eastAsia="楷体_GB2312"/>
          <w:szCs w:val="21"/>
        </w:rPr>
      </w:pPr>
    </w:p>
    <w:p w14:paraId="795268AF">
      <w:pPr>
        <w:pStyle w:val="4"/>
        <w:rPr>
          <w:rFonts w:ascii="楷体_GB2312" w:hAnsi="宋体" w:eastAsia="楷体_GB2312"/>
          <w:szCs w:val="21"/>
        </w:rPr>
      </w:pPr>
    </w:p>
    <w:p w14:paraId="1108F654">
      <w:pPr>
        <w:pStyle w:val="4"/>
        <w:rPr>
          <w:rFonts w:ascii="楷体_GB2312" w:hAnsi="宋体" w:eastAsia="楷体_GB2312"/>
          <w:szCs w:val="21"/>
        </w:rPr>
      </w:pPr>
    </w:p>
    <w:p w14:paraId="322E7B35">
      <w:pPr>
        <w:pStyle w:val="4"/>
        <w:rPr>
          <w:rFonts w:ascii="楷体_GB2312" w:hAnsi="宋体" w:eastAsia="楷体_GB2312"/>
          <w:szCs w:val="21"/>
        </w:rPr>
      </w:pPr>
    </w:p>
    <w:p w14:paraId="1475A5DA">
      <w:pPr>
        <w:pStyle w:val="4"/>
        <w:rPr>
          <w:rFonts w:ascii="楷体_GB2312" w:hAnsi="宋体" w:eastAsia="楷体_GB2312"/>
          <w:szCs w:val="21"/>
        </w:rPr>
      </w:pPr>
    </w:p>
    <w:p w14:paraId="7D00FED5">
      <w:pPr>
        <w:pStyle w:val="4"/>
        <w:rPr>
          <w:rFonts w:ascii="楷体_GB2312" w:hAnsi="宋体" w:eastAsia="楷体_GB2312"/>
          <w:szCs w:val="21"/>
        </w:rPr>
      </w:pPr>
    </w:p>
    <w:p w14:paraId="0A1B09AB">
      <w:pPr>
        <w:pStyle w:val="4"/>
        <w:rPr>
          <w:rFonts w:ascii="楷体_GB2312" w:hAnsi="宋体" w:eastAsia="楷体_GB2312"/>
          <w:szCs w:val="21"/>
        </w:rPr>
      </w:pPr>
    </w:p>
    <w:p w14:paraId="5E169028">
      <w:pPr>
        <w:pStyle w:val="4"/>
        <w:rPr>
          <w:rFonts w:ascii="楷体_GB2312" w:hAnsi="宋体" w:eastAsia="楷体_GB2312"/>
          <w:szCs w:val="21"/>
        </w:rPr>
      </w:pPr>
    </w:p>
    <w:p w14:paraId="081D2FA8">
      <w:pPr>
        <w:pStyle w:val="4"/>
        <w:rPr>
          <w:rFonts w:ascii="楷体_GB2312" w:hAnsi="宋体" w:eastAsia="楷体_GB2312"/>
          <w:szCs w:val="21"/>
        </w:rPr>
      </w:pPr>
    </w:p>
    <w:p w14:paraId="7FAF1D34">
      <w:pPr>
        <w:pStyle w:val="4"/>
        <w:rPr>
          <w:rFonts w:ascii="楷体_GB2312" w:hAnsi="宋体" w:eastAsia="楷体_GB2312"/>
          <w:szCs w:val="21"/>
        </w:rPr>
      </w:pPr>
    </w:p>
    <w:p w14:paraId="0806C0B9">
      <w:pPr>
        <w:pStyle w:val="4"/>
        <w:rPr>
          <w:rFonts w:ascii="楷体_GB2312" w:hAnsi="宋体" w:eastAsia="楷体_GB2312"/>
          <w:szCs w:val="21"/>
        </w:rPr>
      </w:pPr>
    </w:p>
    <w:p w14:paraId="72613F62">
      <w:pPr>
        <w:pStyle w:val="4"/>
        <w:rPr>
          <w:rFonts w:ascii="楷体_GB2312" w:hAnsi="宋体" w:eastAsia="楷体_GB2312"/>
          <w:szCs w:val="21"/>
        </w:rPr>
      </w:pPr>
    </w:p>
    <w:p w14:paraId="01D1063E">
      <w:pPr>
        <w:pStyle w:val="4"/>
        <w:rPr>
          <w:rFonts w:ascii="楷体_GB2312" w:hAnsi="宋体" w:eastAsia="楷体_GB2312"/>
          <w:szCs w:val="21"/>
        </w:rPr>
      </w:pPr>
    </w:p>
    <w:p w14:paraId="149C60F6">
      <w:pPr>
        <w:pStyle w:val="4"/>
        <w:rPr>
          <w:rFonts w:ascii="楷体_GB2312" w:hAnsi="宋体" w:eastAsia="楷体_GB2312"/>
          <w:szCs w:val="21"/>
        </w:rPr>
      </w:pPr>
    </w:p>
    <w:p w14:paraId="437BE4A4">
      <w:pPr>
        <w:pStyle w:val="4"/>
        <w:rPr>
          <w:rFonts w:ascii="楷体_GB2312" w:hAnsi="宋体" w:eastAsia="楷体_GB2312"/>
          <w:szCs w:val="21"/>
        </w:rPr>
      </w:pPr>
    </w:p>
    <w:p w14:paraId="132D5422">
      <w:pPr>
        <w:pStyle w:val="4"/>
        <w:rPr>
          <w:rFonts w:ascii="楷体_GB2312" w:hAnsi="宋体" w:eastAsia="楷体_GB2312"/>
          <w:szCs w:val="21"/>
        </w:rPr>
      </w:pPr>
    </w:p>
    <w:p w14:paraId="136C8244">
      <w:pPr>
        <w:pStyle w:val="4"/>
        <w:rPr>
          <w:rFonts w:ascii="楷体_GB2312" w:hAnsi="宋体" w:eastAsia="楷体_GB2312"/>
          <w:szCs w:val="21"/>
        </w:rPr>
      </w:pPr>
    </w:p>
    <w:p w14:paraId="40E45939">
      <w:pPr>
        <w:pStyle w:val="4"/>
        <w:rPr>
          <w:rFonts w:ascii="楷体_GB2312" w:hAnsi="宋体" w:eastAsia="楷体_GB2312"/>
          <w:szCs w:val="21"/>
        </w:rPr>
      </w:pPr>
    </w:p>
    <w:p w14:paraId="38A33D18">
      <w:pPr>
        <w:pStyle w:val="4"/>
        <w:rPr>
          <w:rFonts w:ascii="楷体_GB2312" w:hAnsi="宋体" w:eastAsia="楷体_GB2312"/>
          <w:szCs w:val="21"/>
        </w:rPr>
      </w:pPr>
    </w:p>
    <w:p w14:paraId="664031B6">
      <w:pPr>
        <w:pStyle w:val="4"/>
        <w:rPr>
          <w:rFonts w:ascii="楷体_GB2312" w:hAnsi="宋体" w:eastAsia="楷体_GB2312"/>
          <w:szCs w:val="21"/>
        </w:rPr>
      </w:pPr>
    </w:p>
    <w:p w14:paraId="00FC7C87">
      <w:pPr>
        <w:pStyle w:val="4"/>
        <w:rPr>
          <w:rFonts w:ascii="楷体_GB2312" w:hAnsi="宋体" w:eastAsia="楷体_GB2312"/>
          <w:szCs w:val="21"/>
        </w:rPr>
      </w:pPr>
    </w:p>
    <w:p w14:paraId="660158D1">
      <w:pPr>
        <w:pStyle w:val="4"/>
        <w:rPr>
          <w:rFonts w:ascii="楷体_GB2312" w:hAnsi="宋体" w:eastAsia="楷体_GB2312"/>
          <w:szCs w:val="21"/>
        </w:rPr>
      </w:pPr>
    </w:p>
    <w:p w14:paraId="12A69AB3">
      <w:pPr>
        <w:pStyle w:val="4"/>
        <w:rPr>
          <w:rFonts w:ascii="楷体_GB2312" w:hAnsi="宋体" w:eastAsia="楷体_GB2312"/>
          <w:szCs w:val="21"/>
        </w:rPr>
      </w:pPr>
    </w:p>
    <w:p w14:paraId="19F0FD04">
      <w:pPr>
        <w:pStyle w:val="4"/>
        <w:rPr>
          <w:rFonts w:ascii="楷体_GB2312" w:hAnsi="宋体" w:eastAsia="楷体_GB2312"/>
          <w:szCs w:val="21"/>
        </w:rPr>
      </w:pPr>
    </w:p>
    <w:p w14:paraId="3646D54F">
      <w:pPr>
        <w:pStyle w:val="4"/>
        <w:rPr>
          <w:rFonts w:ascii="楷体_GB2312" w:hAnsi="宋体" w:eastAsia="楷体_GB2312"/>
          <w:szCs w:val="21"/>
        </w:rPr>
      </w:pPr>
    </w:p>
    <w:p w14:paraId="0F168377">
      <w:pPr>
        <w:pStyle w:val="4"/>
        <w:rPr>
          <w:rFonts w:ascii="楷体_GB2312" w:hAnsi="宋体" w:eastAsia="楷体_GB2312"/>
          <w:szCs w:val="21"/>
        </w:rPr>
      </w:pPr>
    </w:p>
    <w:p w14:paraId="2E29A418">
      <w:pPr>
        <w:pStyle w:val="4"/>
        <w:rPr>
          <w:rFonts w:ascii="楷体_GB2312" w:hAnsi="宋体" w:eastAsia="楷体_GB2312"/>
          <w:szCs w:val="21"/>
        </w:rPr>
      </w:pPr>
    </w:p>
    <w:p w14:paraId="4A1C283E">
      <w:pPr>
        <w:pStyle w:val="4"/>
        <w:rPr>
          <w:rFonts w:ascii="楷体_GB2312" w:hAnsi="宋体" w:eastAsia="楷体_GB2312"/>
          <w:szCs w:val="21"/>
        </w:rPr>
      </w:pPr>
    </w:p>
    <w:p w14:paraId="174D30E6">
      <w:pPr>
        <w:pStyle w:val="4"/>
        <w:rPr>
          <w:rFonts w:ascii="楷体_GB2312" w:hAnsi="宋体" w:eastAsia="楷体_GB2312"/>
          <w:szCs w:val="21"/>
        </w:rPr>
      </w:pPr>
    </w:p>
    <w:p w14:paraId="00714578">
      <w:pPr>
        <w:pStyle w:val="4"/>
        <w:rPr>
          <w:rFonts w:ascii="楷体_GB2312" w:hAnsi="宋体" w:eastAsia="楷体_GB2312"/>
          <w:szCs w:val="21"/>
        </w:rPr>
      </w:pPr>
    </w:p>
    <w:p w14:paraId="113F657C">
      <w:pPr>
        <w:pStyle w:val="4"/>
        <w:rPr>
          <w:rFonts w:ascii="楷体_GB2312" w:hAnsi="宋体" w:eastAsia="楷体_GB2312"/>
          <w:szCs w:val="21"/>
        </w:rPr>
      </w:pPr>
    </w:p>
    <w:p w14:paraId="76C7E581">
      <w:pPr>
        <w:pStyle w:val="4"/>
        <w:rPr>
          <w:rFonts w:ascii="楷体_GB2312" w:hAnsi="宋体" w:eastAsia="楷体_GB2312"/>
          <w:szCs w:val="21"/>
        </w:rPr>
      </w:pPr>
    </w:p>
    <w:p w14:paraId="276CCB90">
      <w:pPr>
        <w:pStyle w:val="4"/>
        <w:rPr>
          <w:rFonts w:ascii="楷体_GB2312" w:hAnsi="宋体" w:eastAsia="楷体_GB2312"/>
          <w:szCs w:val="21"/>
        </w:rPr>
      </w:pPr>
    </w:p>
    <w:p w14:paraId="3A1703F5">
      <w:pPr>
        <w:pStyle w:val="4"/>
        <w:rPr>
          <w:rFonts w:ascii="楷体_GB2312" w:hAnsi="宋体" w:eastAsia="楷体_GB2312"/>
          <w:szCs w:val="21"/>
        </w:rPr>
      </w:pPr>
    </w:p>
    <w:p w14:paraId="6E9AD15D">
      <w:pPr>
        <w:pStyle w:val="4"/>
        <w:rPr>
          <w:rFonts w:ascii="楷体_GB2312" w:hAnsi="宋体" w:eastAsia="楷体_GB2312"/>
          <w:szCs w:val="21"/>
        </w:rPr>
      </w:pPr>
    </w:p>
    <w:p w14:paraId="0AE3FCC2">
      <w:pPr>
        <w:pStyle w:val="4"/>
        <w:rPr>
          <w:rFonts w:ascii="楷体_GB2312" w:hAnsi="宋体" w:eastAsia="楷体_GB2312"/>
          <w:szCs w:val="21"/>
        </w:rPr>
      </w:pPr>
    </w:p>
    <w:p w14:paraId="3B22EA49">
      <w:pPr>
        <w:pStyle w:val="4"/>
        <w:rPr>
          <w:rFonts w:ascii="楷体_GB2312" w:hAnsi="宋体" w:eastAsia="楷体_GB2312"/>
          <w:szCs w:val="21"/>
        </w:rPr>
      </w:pPr>
    </w:p>
    <w:p w14:paraId="60889DA9">
      <w:pPr>
        <w:pStyle w:val="4"/>
        <w:rPr>
          <w:rFonts w:ascii="楷体_GB2312" w:hAnsi="宋体" w:eastAsia="楷体_GB2312"/>
          <w:szCs w:val="21"/>
        </w:rPr>
      </w:pPr>
    </w:p>
    <w:p w14:paraId="0994D189">
      <w:pPr>
        <w:pStyle w:val="4"/>
        <w:rPr>
          <w:rFonts w:ascii="楷体_GB2312" w:hAnsi="宋体" w:eastAsia="楷体_GB2312"/>
          <w:szCs w:val="21"/>
        </w:rPr>
      </w:pPr>
    </w:p>
    <w:p w14:paraId="4B607FB5">
      <w:pPr>
        <w:pStyle w:val="4"/>
        <w:rPr>
          <w:rFonts w:ascii="楷体_GB2312" w:hAnsi="宋体" w:eastAsia="楷体_GB2312"/>
          <w:szCs w:val="21"/>
        </w:rPr>
      </w:pPr>
    </w:p>
    <w:p w14:paraId="5B8CA23F">
      <w:pPr>
        <w:pStyle w:val="4"/>
        <w:rPr>
          <w:rFonts w:ascii="楷体_GB2312" w:hAnsi="宋体" w:eastAsia="楷体_GB2312"/>
          <w:szCs w:val="21"/>
        </w:rPr>
      </w:pPr>
    </w:p>
    <w:p w14:paraId="773E7D9C">
      <w:pPr>
        <w:pStyle w:val="4"/>
        <w:rPr>
          <w:rFonts w:ascii="楷体_GB2312" w:hAnsi="宋体" w:eastAsia="楷体_GB2312"/>
          <w:szCs w:val="21"/>
        </w:rPr>
      </w:pPr>
    </w:p>
    <w:p w14:paraId="6AFC77E6">
      <w:pPr>
        <w:pStyle w:val="4"/>
        <w:rPr>
          <w:rFonts w:ascii="楷体_GB2312" w:hAnsi="宋体" w:eastAsia="楷体_GB2312"/>
          <w:szCs w:val="21"/>
        </w:rPr>
      </w:pPr>
    </w:p>
    <w:p w14:paraId="5D3C89CB">
      <w:pPr>
        <w:pStyle w:val="4"/>
        <w:rPr>
          <w:rFonts w:ascii="楷体_GB2312" w:hAnsi="宋体" w:eastAsia="楷体_GB2312"/>
          <w:szCs w:val="21"/>
        </w:rPr>
      </w:pPr>
    </w:p>
    <w:p w14:paraId="2E4EA8D5">
      <w:pPr>
        <w:pStyle w:val="4"/>
        <w:rPr>
          <w:rFonts w:ascii="楷体_GB2312" w:hAnsi="宋体" w:eastAsia="楷体_GB2312"/>
          <w:szCs w:val="21"/>
        </w:rPr>
      </w:pPr>
    </w:p>
    <w:p w14:paraId="74F79F6E">
      <w:pPr>
        <w:pStyle w:val="4"/>
        <w:rPr>
          <w:rFonts w:ascii="楷体_GB2312" w:hAnsi="宋体" w:eastAsia="楷体_GB2312"/>
          <w:szCs w:val="21"/>
        </w:rPr>
      </w:pPr>
    </w:p>
    <w:p w14:paraId="3CB42096">
      <w:pPr>
        <w:pStyle w:val="4"/>
        <w:rPr>
          <w:rFonts w:ascii="楷体_GB2312" w:hAnsi="宋体" w:eastAsia="楷体_GB2312"/>
          <w:szCs w:val="21"/>
        </w:rPr>
      </w:pPr>
    </w:p>
    <w:p w14:paraId="3D817245">
      <w:pPr>
        <w:pStyle w:val="4"/>
        <w:rPr>
          <w:rFonts w:ascii="楷体_GB2312" w:hAnsi="宋体" w:eastAsia="楷体_GB2312"/>
          <w:szCs w:val="21"/>
        </w:rPr>
      </w:pPr>
      <w:r>
        <w:rPr>
          <w:rFonts w:ascii="楷体_GB2312" w:hAnsi="宋体" w:eastAsia="楷体_GB2312"/>
          <w:szCs w:val="21"/>
        </w:rPr>
        <w:pict>
          <v:shape id="文本框 3" o:spid="_x0000_s1026" o:spt="202" type="#_x0000_t202" style="position:absolute;left:0pt;margin-left:-12.45pt;margin-top:36.75pt;height:41.9pt;width:480.1pt;mso-wrap-distance-bottom:0pt;mso-wrap-distance-left:9pt;mso-wrap-distance-right:9pt;mso-wrap-distance-top:0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">
            <v:path/>
            <v:fill focussize="0,0"/>
            <v:stroke color="#FFFFFF" joinstyle="miter"/>
            <v:imagedata o:title=""/>
            <o:lock v:ext="edit"/>
            <v:textbox>
              <w:txbxContent>
                <w:tbl>
                  <w:tblPr>
                    <w:tblStyle w:val="9"/>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5"/>
                  </w:tblGrid>
                  <w:tr w14:paraId="0214EDC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9185" w:type="dxa"/>
                        <w:vAlign w:val="center"/>
                      </w:tcPr>
                      <w:p w14:paraId="2403231E">
                        <w:pPr>
                          <w:spacing w:beforeLines="20" w:afterLines="20" w:line="470" w:lineRule="exact"/>
                          <w:rPr>
                            <w:rFonts w:eastAsia="方正仿宋_GBK"/>
                            <w:sz w:val="30"/>
                            <w:szCs w:val="30"/>
                          </w:rPr>
                        </w:pPr>
                        <w:r>
                          <w:rPr>
                            <w:rFonts w:hint="eastAsia" w:eastAsia="方正仿宋_GBK"/>
                            <w:sz w:val="30"/>
                            <w:szCs w:val="30"/>
                          </w:rPr>
                          <w:t>大会</w:t>
                        </w:r>
                        <w:r>
                          <w:rPr>
                            <w:rFonts w:eastAsia="方正仿宋_GBK"/>
                            <w:sz w:val="30"/>
                            <w:szCs w:val="30"/>
                          </w:rPr>
                          <w:t>秘书处</w:t>
                        </w:r>
                        <w:r>
                          <w:rPr>
                            <w:rFonts w:hint="eastAsia" w:eastAsia="方正仿宋_GBK"/>
                            <w:sz w:val="30"/>
                            <w:szCs w:val="30"/>
                          </w:rPr>
                          <w:t>　　                            　</w:t>
                        </w:r>
                        <w:r>
                          <w:rPr>
                            <w:rFonts w:ascii="Times New Roman" w:hAnsi="Times New Roman" w:eastAsia="方正仿宋_GBK"/>
                            <w:sz w:val="30"/>
                            <w:szCs w:val="30"/>
                          </w:rPr>
                          <w:t>2019年1月2日印</w:t>
                        </w:r>
                      </w:p>
                    </w:tc>
                  </w:tr>
                </w:tbl>
                <w:p w14:paraId="56FD7F4A"/>
              </w:txbxContent>
            </v:textbox>
            <w10:wrap type="square"/>
          </v:shape>
        </w:pict>
      </w:r>
    </w:p>
    <w:sectPr>
      <w:footerReference r:id="rId3" w:type="default"/>
      <w:footerReference r:id="rId4" w:type="even"/>
      <w:pgSz w:w="11906" w:h="16838"/>
      <w:pgMar w:top="2098" w:right="1474" w:bottom="1701" w:left="1588" w:header="851" w:footer="1247"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
    <w:altName w:val="方正仿宋_GBK"/>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0702470"/>
      <w:docPartObj>
        <w:docPartGallery w:val="AutoText"/>
      </w:docPartObj>
    </w:sdtPr>
    <w:sdtContent>
      <w:p w14:paraId="74874B7F">
        <w:pPr>
          <w:pStyle w:val="6"/>
          <w:jc w:val="right"/>
        </w:pPr>
        <w:r>
          <w:rPr>
            <w:rFonts w:ascii="Times New Roman" w:hAnsi="Times New Roman"/>
            <w:kern w:val="0"/>
            <w:sz w:val="28"/>
            <w:szCs w:val="28"/>
          </w:rPr>
          <w:t xml:space="preserve">— </w:t>
        </w:r>
        <w:r>
          <w:rPr>
            <w:rFonts w:ascii="Times New Roman" w:hAnsi="Times New Roman"/>
            <w:kern w:val="0"/>
            <w:sz w:val="28"/>
            <w:szCs w:val="28"/>
          </w:rPr>
          <w:fldChar w:fldCharType="begin"/>
        </w:r>
        <w:r>
          <w:rPr>
            <w:rFonts w:ascii="Times New Roman" w:hAnsi="Times New Roman"/>
            <w:kern w:val="0"/>
            <w:sz w:val="28"/>
            <w:szCs w:val="28"/>
          </w:rPr>
          <w:instrText xml:space="preserve"> PAGE </w:instrText>
        </w:r>
        <w:r>
          <w:rPr>
            <w:rFonts w:ascii="Times New Roman" w:hAnsi="Times New Roman"/>
            <w:kern w:val="0"/>
            <w:sz w:val="28"/>
            <w:szCs w:val="28"/>
          </w:rPr>
          <w:fldChar w:fldCharType="separate"/>
        </w:r>
        <w:r>
          <w:rPr>
            <w:rFonts w:ascii="Times New Roman" w:hAnsi="Times New Roman"/>
            <w:kern w:val="0"/>
            <w:sz w:val="28"/>
            <w:szCs w:val="28"/>
          </w:rPr>
          <w:t>23</w:t>
        </w:r>
        <w:r>
          <w:rPr>
            <w:rFonts w:ascii="Times New Roman" w:hAnsi="Times New Roman"/>
            <w:kern w:val="0"/>
            <w:sz w:val="28"/>
            <w:szCs w:val="28"/>
          </w:rPr>
          <w:fldChar w:fldCharType="end"/>
        </w:r>
        <w:r>
          <w:rPr>
            <w:rFonts w:ascii="Times New Roman" w:hAnsi="Times New Roman"/>
            <w:kern w:val="0"/>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225BE">
    <w:pPr>
      <w:pStyle w:val="6"/>
      <w:rPr>
        <w:rFonts w:ascii="Times New Roman" w:hAnsi="Times New Roman"/>
      </w:rPr>
    </w:pPr>
    <w:r>
      <w:rPr>
        <w:rFonts w:ascii="Times New Roman" w:hAnsi="Times New Roman"/>
        <w:kern w:val="0"/>
        <w:sz w:val="28"/>
        <w:szCs w:val="28"/>
      </w:rPr>
      <w:t xml:space="preserve">— </w:t>
    </w:r>
    <w:r>
      <w:rPr>
        <w:rFonts w:ascii="Times New Roman" w:hAnsi="Times New Roman"/>
        <w:kern w:val="0"/>
        <w:sz w:val="28"/>
        <w:szCs w:val="28"/>
      </w:rPr>
      <w:fldChar w:fldCharType="begin"/>
    </w:r>
    <w:r>
      <w:rPr>
        <w:rFonts w:ascii="Times New Roman" w:hAnsi="Times New Roman"/>
        <w:kern w:val="0"/>
        <w:sz w:val="28"/>
        <w:szCs w:val="28"/>
      </w:rPr>
      <w:instrText xml:space="preserve"> PAGE </w:instrText>
    </w:r>
    <w:r>
      <w:rPr>
        <w:rFonts w:ascii="Times New Roman" w:hAnsi="Times New Roman"/>
        <w:kern w:val="0"/>
        <w:sz w:val="28"/>
        <w:szCs w:val="28"/>
      </w:rPr>
      <w:fldChar w:fldCharType="separate"/>
    </w:r>
    <w:r>
      <w:rPr>
        <w:rFonts w:ascii="Times New Roman" w:hAnsi="Times New Roman"/>
        <w:kern w:val="0"/>
        <w:sz w:val="28"/>
        <w:szCs w:val="28"/>
      </w:rPr>
      <w:t>24</w:t>
    </w:r>
    <w:r>
      <w:rPr>
        <w:rFonts w:ascii="Times New Roman" w:hAnsi="Times New Roman"/>
        <w:kern w:val="0"/>
        <w:sz w:val="28"/>
        <w:szCs w:val="28"/>
      </w:rPr>
      <w:fldChar w:fldCharType="end"/>
    </w:r>
    <w:r>
      <w:rPr>
        <w:rFonts w:ascii="Times New Roman" w:hAnsi="Times New Roman"/>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357C"/>
    <w:rsid w:val="0000539D"/>
    <w:rsid w:val="000069DA"/>
    <w:rsid w:val="00010584"/>
    <w:rsid w:val="00013F99"/>
    <w:rsid w:val="0001617C"/>
    <w:rsid w:val="00017C18"/>
    <w:rsid w:val="000208DC"/>
    <w:rsid w:val="000229A1"/>
    <w:rsid w:val="00022FC1"/>
    <w:rsid w:val="0002459E"/>
    <w:rsid w:val="00025F23"/>
    <w:rsid w:val="000269E8"/>
    <w:rsid w:val="000271E2"/>
    <w:rsid w:val="00031684"/>
    <w:rsid w:val="00031CF4"/>
    <w:rsid w:val="00032C20"/>
    <w:rsid w:val="00034196"/>
    <w:rsid w:val="00034B6C"/>
    <w:rsid w:val="00036F92"/>
    <w:rsid w:val="00040B17"/>
    <w:rsid w:val="00040E28"/>
    <w:rsid w:val="0004205A"/>
    <w:rsid w:val="000428C7"/>
    <w:rsid w:val="0004369D"/>
    <w:rsid w:val="0004523B"/>
    <w:rsid w:val="0004578A"/>
    <w:rsid w:val="000463A1"/>
    <w:rsid w:val="00047C97"/>
    <w:rsid w:val="000503BB"/>
    <w:rsid w:val="00052418"/>
    <w:rsid w:val="00053E1A"/>
    <w:rsid w:val="00054323"/>
    <w:rsid w:val="0005570B"/>
    <w:rsid w:val="00055F5F"/>
    <w:rsid w:val="000562EB"/>
    <w:rsid w:val="00056970"/>
    <w:rsid w:val="0005727E"/>
    <w:rsid w:val="000572F5"/>
    <w:rsid w:val="00057912"/>
    <w:rsid w:val="00057DB6"/>
    <w:rsid w:val="00057E0A"/>
    <w:rsid w:val="0006255A"/>
    <w:rsid w:val="0006285F"/>
    <w:rsid w:val="00063900"/>
    <w:rsid w:val="0006538E"/>
    <w:rsid w:val="00066106"/>
    <w:rsid w:val="000702B4"/>
    <w:rsid w:val="0007049F"/>
    <w:rsid w:val="000719E1"/>
    <w:rsid w:val="00071DF1"/>
    <w:rsid w:val="00071EEF"/>
    <w:rsid w:val="000720AA"/>
    <w:rsid w:val="00072AFD"/>
    <w:rsid w:val="00072CAF"/>
    <w:rsid w:val="00074759"/>
    <w:rsid w:val="0007585A"/>
    <w:rsid w:val="0007652D"/>
    <w:rsid w:val="000779C0"/>
    <w:rsid w:val="000802AA"/>
    <w:rsid w:val="00080818"/>
    <w:rsid w:val="0008125C"/>
    <w:rsid w:val="00083408"/>
    <w:rsid w:val="00086001"/>
    <w:rsid w:val="000863B9"/>
    <w:rsid w:val="0009207F"/>
    <w:rsid w:val="0009309E"/>
    <w:rsid w:val="000944C6"/>
    <w:rsid w:val="00095020"/>
    <w:rsid w:val="0009635A"/>
    <w:rsid w:val="000965F1"/>
    <w:rsid w:val="00097A9B"/>
    <w:rsid w:val="000A33FC"/>
    <w:rsid w:val="000A459C"/>
    <w:rsid w:val="000A47DC"/>
    <w:rsid w:val="000A52A7"/>
    <w:rsid w:val="000A5877"/>
    <w:rsid w:val="000B40BB"/>
    <w:rsid w:val="000B7F7E"/>
    <w:rsid w:val="000C0DEC"/>
    <w:rsid w:val="000C7D20"/>
    <w:rsid w:val="000D0AF4"/>
    <w:rsid w:val="000D13D3"/>
    <w:rsid w:val="000D1884"/>
    <w:rsid w:val="000D19C1"/>
    <w:rsid w:val="000D1C46"/>
    <w:rsid w:val="000D2A33"/>
    <w:rsid w:val="000D45CA"/>
    <w:rsid w:val="000D5BD8"/>
    <w:rsid w:val="000D695B"/>
    <w:rsid w:val="000E5B73"/>
    <w:rsid w:val="000E5D50"/>
    <w:rsid w:val="000F119E"/>
    <w:rsid w:val="000F29C2"/>
    <w:rsid w:val="000F37C5"/>
    <w:rsid w:val="000F3B21"/>
    <w:rsid w:val="000F45E9"/>
    <w:rsid w:val="000F49EC"/>
    <w:rsid w:val="000F6B51"/>
    <w:rsid w:val="00100ACD"/>
    <w:rsid w:val="001014CB"/>
    <w:rsid w:val="00103796"/>
    <w:rsid w:val="00105EEA"/>
    <w:rsid w:val="00106310"/>
    <w:rsid w:val="00107092"/>
    <w:rsid w:val="00111EA9"/>
    <w:rsid w:val="00112C9E"/>
    <w:rsid w:val="0011320C"/>
    <w:rsid w:val="00115895"/>
    <w:rsid w:val="00117D41"/>
    <w:rsid w:val="00121AE8"/>
    <w:rsid w:val="00123DCB"/>
    <w:rsid w:val="0012532E"/>
    <w:rsid w:val="00126E51"/>
    <w:rsid w:val="00127707"/>
    <w:rsid w:val="00133FBF"/>
    <w:rsid w:val="001354B8"/>
    <w:rsid w:val="00140F12"/>
    <w:rsid w:val="00141200"/>
    <w:rsid w:val="001423EF"/>
    <w:rsid w:val="0014317B"/>
    <w:rsid w:val="00146944"/>
    <w:rsid w:val="00150566"/>
    <w:rsid w:val="0015559F"/>
    <w:rsid w:val="0015585A"/>
    <w:rsid w:val="001573C0"/>
    <w:rsid w:val="00161FAE"/>
    <w:rsid w:val="00162318"/>
    <w:rsid w:val="001633AB"/>
    <w:rsid w:val="0016373A"/>
    <w:rsid w:val="00164541"/>
    <w:rsid w:val="00165938"/>
    <w:rsid w:val="00166455"/>
    <w:rsid w:val="00167C92"/>
    <w:rsid w:val="00170501"/>
    <w:rsid w:val="00170E4B"/>
    <w:rsid w:val="00173FEA"/>
    <w:rsid w:val="0017494C"/>
    <w:rsid w:val="00176119"/>
    <w:rsid w:val="0017771D"/>
    <w:rsid w:val="00180446"/>
    <w:rsid w:val="00181537"/>
    <w:rsid w:val="00181C3D"/>
    <w:rsid w:val="001823CC"/>
    <w:rsid w:val="00182AC9"/>
    <w:rsid w:val="0018480F"/>
    <w:rsid w:val="00190E76"/>
    <w:rsid w:val="001917CC"/>
    <w:rsid w:val="00191EEA"/>
    <w:rsid w:val="0019208C"/>
    <w:rsid w:val="00192116"/>
    <w:rsid w:val="00192B79"/>
    <w:rsid w:val="00193E66"/>
    <w:rsid w:val="00194343"/>
    <w:rsid w:val="00194C42"/>
    <w:rsid w:val="00195726"/>
    <w:rsid w:val="001958B6"/>
    <w:rsid w:val="001961B5"/>
    <w:rsid w:val="00197188"/>
    <w:rsid w:val="001A08B1"/>
    <w:rsid w:val="001A108A"/>
    <w:rsid w:val="001A2AAE"/>
    <w:rsid w:val="001A3077"/>
    <w:rsid w:val="001A5293"/>
    <w:rsid w:val="001A57C3"/>
    <w:rsid w:val="001A795E"/>
    <w:rsid w:val="001B0AC7"/>
    <w:rsid w:val="001B3F1A"/>
    <w:rsid w:val="001B50AE"/>
    <w:rsid w:val="001B5E1D"/>
    <w:rsid w:val="001B6CA3"/>
    <w:rsid w:val="001B6E85"/>
    <w:rsid w:val="001B6F00"/>
    <w:rsid w:val="001B7AC1"/>
    <w:rsid w:val="001C166F"/>
    <w:rsid w:val="001C502F"/>
    <w:rsid w:val="001D0B00"/>
    <w:rsid w:val="001D0D0B"/>
    <w:rsid w:val="001D0F49"/>
    <w:rsid w:val="001D160F"/>
    <w:rsid w:val="001D16E0"/>
    <w:rsid w:val="001D1FA2"/>
    <w:rsid w:val="001D2E80"/>
    <w:rsid w:val="001D3970"/>
    <w:rsid w:val="001D5396"/>
    <w:rsid w:val="001D5BA7"/>
    <w:rsid w:val="001D5F68"/>
    <w:rsid w:val="001D63A4"/>
    <w:rsid w:val="001D6A76"/>
    <w:rsid w:val="001D71CA"/>
    <w:rsid w:val="001E1484"/>
    <w:rsid w:val="001E1867"/>
    <w:rsid w:val="001E2D1E"/>
    <w:rsid w:val="001E4CE6"/>
    <w:rsid w:val="001E628C"/>
    <w:rsid w:val="001F128D"/>
    <w:rsid w:val="001F168A"/>
    <w:rsid w:val="001F2A83"/>
    <w:rsid w:val="001F5F57"/>
    <w:rsid w:val="001F6CBB"/>
    <w:rsid w:val="002003B0"/>
    <w:rsid w:val="0020065E"/>
    <w:rsid w:val="0020238E"/>
    <w:rsid w:val="0020336B"/>
    <w:rsid w:val="00203558"/>
    <w:rsid w:val="00203833"/>
    <w:rsid w:val="00206960"/>
    <w:rsid w:val="00207ABD"/>
    <w:rsid w:val="002120FD"/>
    <w:rsid w:val="00214073"/>
    <w:rsid w:val="0021752E"/>
    <w:rsid w:val="00220077"/>
    <w:rsid w:val="00220FFA"/>
    <w:rsid w:val="00221C2E"/>
    <w:rsid w:val="00223EC1"/>
    <w:rsid w:val="00224029"/>
    <w:rsid w:val="0022664D"/>
    <w:rsid w:val="00232240"/>
    <w:rsid w:val="00236829"/>
    <w:rsid w:val="00236B95"/>
    <w:rsid w:val="002404F7"/>
    <w:rsid w:val="00240BCD"/>
    <w:rsid w:val="0024312C"/>
    <w:rsid w:val="00243346"/>
    <w:rsid w:val="00244180"/>
    <w:rsid w:val="0025013D"/>
    <w:rsid w:val="00250A6B"/>
    <w:rsid w:val="00251769"/>
    <w:rsid w:val="00251EA8"/>
    <w:rsid w:val="00252BEF"/>
    <w:rsid w:val="0025346C"/>
    <w:rsid w:val="00254436"/>
    <w:rsid w:val="00256733"/>
    <w:rsid w:val="00256ABE"/>
    <w:rsid w:val="002603AA"/>
    <w:rsid w:val="0026107C"/>
    <w:rsid w:val="00261C0F"/>
    <w:rsid w:val="00261D20"/>
    <w:rsid w:val="00262B07"/>
    <w:rsid w:val="00264685"/>
    <w:rsid w:val="0026656E"/>
    <w:rsid w:val="002666BD"/>
    <w:rsid w:val="002701EB"/>
    <w:rsid w:val="00273902"/>
    <w:rsid w:val="00275311"/>
    <w:rsid w:val="0028031A"/>
    <w:rsid w:val="00281218"/>
    <w:rsid w:val="00284CB9"/>
    <w:rsid w:val="002857D6"/>
    <w:rsid w:val="00285CC8"/>
    <w:rsid w:val="0028641A"/>
    <w:rsid w:val="002873A6"/>
    <w:rsid w:val="00287756"/>
    <w:rsid w:val="002930CC"/>
    <w:rsid w:val="00293943"/>
    <w:rsid w:val="002960CF"/>
    <w:rsid w:val="002A0BDF"/>
    <w:rsid w:val="002A4B95"/>
    <w:rsid w:val="002B00C8"/>
    <w:rsid w:val="002B4659"/>
    <w:rsid w:val="002B4C57"/>
    <w:rsid w:val="002B527B"/>
    <w:rsid w:val="002B62B9"/>
    <w:rsid w:val="002C01A6"/>
    <w:rsid w:val="002C01DF"/>
    <w:rsid w:val="002C07CE"/>
    <w:rsid w:val="002C0D74"/>
    <w:rsid w:val="002C0F23"/>
    <w:rsid w:val="002C27EA"/>
    <w:rsid w:val="002C2E19"/>
    <w:rsid w:val="002C3015"/>
    <w:rsid w:val="002C5969"/>
    <w:rsid w:val="002C5CAF"/>
    <w:rsid w:val="002C5ECF"/>
    <w:rsid w:val="002C704F"/>
    <w:rsid w:val="002D30BE"/>
    <w:rsid w:val="002D3365"/>
    <w:rsid w:val="002D4BFF"/>
    <w:rsid w:val="002D4D8F"/>
    <w:rsid w:val="002D6C87"/>
    <w:rsid w:val="002E425A"/>
    <w:rsid w:val="002E5C38"/>
    <w:rsid w:val="002E6D3B"/>
    <w:rsid w:val="002E761D"/>
    <w:rsid w:val="002F0687"/>
    <w:rsid w:val="002F4CD2"/>
    <w:rsid w:val="002F5C5A"/>
    <w:rsid w:val="002F5E4F"/>
    <w:rsid w:val="002F7845"/>
    <w:rsid w:val="003011C0"/>
    <w:rsid w:val="00301BAB"/>
    <w:rsid w:val="00304279"/>
    <w:rsid w:val="00304320"/>
    <w:rsid w:val="00305AB4"/>
    <w:rsid w:val="0031061B"/>
    <w:rsid w:val="00310BBB"/>
    <w:rsid w:val="00313D72"/>
    <w:rsid w:val="00314747"/>
    <w:rsid w:val="003153C6"/>
    <w:rsid w:val="003175B2"/>
    <w:rsid w:val="00322907"/>
    <w:rsid w:val="00324C0B"/>
    <w:rsid w:val="003277D8"/>
    <w:rsid w:val="00330484"/>
    <w:rsid w:val="00331621"/>
    <w:rsid w:val="003372E8"/>
    <w:rsid w:val="003377CC"/>
    <w:rsid w:val="00340041"/>
    <w:rsid w:val="00341D02"/>
    <w:rsid w:val="00341D07"/>
    <w:rsid w:val="00344083"/>
    <w:rsid w:val="00344EAE"/>
    <w:rsid w:val="0034515D"/>
    <w:rsid w:val="003455BA"/>
    <w:rsid w:val="00346D79"/>
    <w:rsid w:val="00350613"/>
    <w:rsid w:val="003526FF"/>
    <w:rsid w:val="00353A83"/>
    <w:rsid w:val="00354EBA"/>
    <w:rsid w:val="00355BCB"/>
    <w:rsid w:val="00355DE0"/>
    <w:rsid w:val="00360D1C"/>
    <w:rsid w:val="003615EE"/>
    <w:rsid w:val="003629D3"/>
    <w:rsid w:val="003637FB"/>
    <w:rsid w:val="00365053"/>
    <w:rsid w:val="00365EDC"/>
    <w:rsid w:val="00366367"/>
    <w:rsid w:val="00367062"/>
    <w:rsid w:val="00367128"/>
    <w:rsid w:val="00371D3B"/>
    <w:rsid w:val="00372928"/>
    <w:rsid w:val="003742FC"/>
    <w:rsid w:val="003749AB"/>
    <w:rsid w:val="00375548"/>
    <w:rsid w:val="00377958"/>
    <w:rsid w:val="00380AC8"/>
    <w:rsid w:val="0038222F"/>
    <w:rsid w:val="00382652"/>
    <w:rsid w:val="00382A1E"/>
    <w:rsid w:val="0038430C"/>
    <w:rsid w:val="00384B68"/>
    <w:rsid w:val="0038531B"/>
    <w:rsid w:val="00386209"/>
    <w:rsid w:val="00386E49"/>
    <w:rsid w:val="00390AE2"/>
    <w:rsid w:val="003921AB"/>
    <w:rsid w:val="00393992"/>
    <w:rsid w:val="00394134"/>
    <w:rsid w:val="0039757A"/>
    <w:rsid w:val="003A06A3"/>
    <w:rsid w:val="003A0737"/>
    <w:rsid w:val="003A1679"/>
    <w:rsid w:val="003A595F"/>
    <w:rsid w:val="003A6130"/>
    <w:rsid w:val="003B2678"/>
    <w:rsid w:val="003B2A8A"/>
    <w:rsid w:val="003B4B34"/>
    <w:rsid w:val="003B4B6C"/>
    <w:rsid w:val="003B5491"/>
    <w:rsid w:val="003B5A54"/>
    <w:rsid w:val="003B6622"/>
    <w:rsid w:val="003C2B36"/>
    <w:rsid w:val="003C458D"/>
    <w:rsid w:val="003C7367"/>
    <w:rsid w:val="003C7B1B"/>
    <w:rsid w:val="003D13F1"/>
    <w:rsid w:val="003D2ECF"/>
    <w:rsid w:val="003D4758"/>
    <w:rsid w:val="003D727F"/>
    <w:rsid w:val="003E2012"/>
    <w:rsid w:val="003E26D6"/>
    <w:rsid w:val="003E364D"/>
    <w:rsid w:val="003E36C1"/>
    <w:rsid w:val="003E68C0"/>
    <w:rsid w:val="003F0208"/>
    <w:rsid w:val="003F2D7D"/>
    <w:rsid w:val="00400238"/>
    <w:rsid w:val="00400C71"/>
    <w:rsid w:val="004045F0"/>
    <w:rsid w:val="0040751A"/>
    <w:rsid w:val="00407C0C"/>
    <w:rsid w:val="00412BEF"/>
    <w:rsid w:val="00412F50"/>
    <w:rsid w:val="00414E5E"/>
    <w:rsid w:val="004175C7"/>
    <w:rsid w:val="004234F3"/>
    <w:rsid w:val="004235D6"/>
    <w:rsid w:val="00424002"/>
    <w:rsid w:val="00424290"/>
    <w:rsid w:val="00427C9B"/>
    <w:rsid w:val="0043092F"/>
    <w:rsid w:val="00432BED"/>
    <w:rsid w:val="00432FB3"/>
    <w:rsid w:val="00434369"/>
    <w:rsid w:val="00436924"/>
    <w:rsid w:val="0044050E"/>
    <w:rsid w:val="00442B12"/>
    <w:rsid w:val="00444557"/>
    <w:rsid w:val="00445F96"/>
    <w:rsid w:val="00453C30"/>
    <w:rsid w:val="00454AC2"/>
    <w:rsid w:val="00456B4C"/>
    <w:rsid w:val="0045768B"/>
    <w:rsid w:val="004610DD"/>
    <w:rsid w:val="004616A5"/>
    <w:rsid w:val="00461AA6"/>
    <w:rsid w:val="00462F68"/>
    <w:rsid w:val="00463227"/>
    <w:rsid w:val="0046504B"/>
    <w:rsid w:val="00467B34"/>
    <w:rsid w:val="004706B5"/>
    <w:rsid w:val="00472019"/>
    <w:rsid w:val="00472EF8"/>
    <w:rsid w:val="00473A79"/>
    <w:rsid w:val="0048100A"/>
    <w:rsid w:val="00482F7A"/>
    <w:rsid w:val="004857E9"/>
    <w:rsid w:val="00485CBA"/>
    <w:rsid w:val="00485CFD"/>
    <w:rsid w:val="00485DA2"/>
    <w:rsid w:val="00487A08"/>
    <w:rsid w:val="004901F7"/>
    <w:rsid w:val="0049132C"/>
    <w:rsid w:val="00491C8D"/>
    <w:rsid w:val="00491E91"/>
    <w:rsid w:val="00492E2E"/>
    <w:rsid w:val="004955C7"/>
    <w:rsid w:val="00496A21"/>
    <w:rsid w:val="004A0861"/>
    <w:rsid w:val="004A14CD"/>
    <w:rsid w:val="004A4B56"/>
    <w:rsid w:val="004A4C46"/>
    <w:rsid w:val="004A6405"/>
    <w:rsid w:val="004A6955"/>
    <w:rsid w:val="004B04E5"/>
    <w:rsid w:val="004B1A69"/>
    <w:rsid w:val="004B30B0"/>
    <w:rsid w:val="004B3958"/>
    <w:rsid w:val="004B3D09"/>
    <w:rsid w:val="004B4106"/>
    <w:rsid w:val="004B4820"/>
    <w:rsid w:val="004B6071"/>
    <w:rsid w:val="004B666A"/>
    <w:rsid w:val="004C1B10"/>
    <w:rsid w:val="004C2751"/>
    <w:rsid w:val="004C2897"/>
    <w:rsid w:val="004D045F"/>
    <w:rsid w:val="004D1BB0"/>
    <w:rsid w:val="004D2448"/>
    <w:rsid w:val="004D272A"/>
    <w:rsid w:val="004D3CC0"/>
    <w:rsid w:val="004D3D50"/>
    <w:rsid w:val="004D4C13"/>
    <w:rsid w:val="004D55E7"/>
    <w:rsid w:val="004D6A5E"/>
    <w:rsid w:val="004E02A2"/>
    <w:rsid w:val="004E258E"/>
    <w:rsid w:val="004E4A98"/>
    <w:rsid w:val="004E50A5"/>
    <w:rsid w:val="004E5DFE"/>
    <w:rsid w:val="004F14DE"/>
    <w:rsid w:val="004F200E"/>
    <w:rsid w:val="004F3CF3"/>
    <w:rsid w:val="004F5229"/>
    <w:rsid w:val="004F7C5E"/>
    <w:rsid w:val="005003E2"/>
    <w:rsid w:val="005013DD"/>
    <w:rsid w:val="005033CD"/>
    <w:rsid w:val="005043E6"/>
    <w:rsid w:val="00504CC7"/>
    <w:rsid w:val="00505448"/>
    <w:rsid w:val="00505521"/>
    <w:rsid w:val="00505BF3"/>
    <w:rsid w:val="00505C34"/>
    <w:rsid w:val="005062A1"/>
    <w:rsid w:val="00507B1C"/>
    <w:rsid w:val="00510A63"/>
    <w:rsid w:val="00511FC8"/>
    <w:rsid w:val="005120BA"/>
    <w:rsid w:val="00512FDD"/>
    <w:rsid w:val="00515905"/>
    <w:rsid w:val="00516F72"/>
    <w:rsid w:val="0051703B"/>
    <w:rsid w:val="00523C69"/>
    <w:rsid w:val="00523FC3"/>
    <w:rsid w:val="00524E02"/>
    <w:rsid w:val="00524EC3"/>
    <w:rsid w:val="00526E88"/>
    <w:rsid w:val="005278B6"/>
    <w:rsid w:val="005315B1"/>
    <w:rsid w:val="00532145"/>
    <w:rsid w:val="005322DC"/>
    <w:rsid w:val="00533384"/>
    <w:rsid w:val="00533DD9"/>
    <w:rsid w:val="0053401B"/>
    <w:rsid w:val="005370D9"/>
    <w:rsid w:val="00541478"/>
    <w:rsid w:val="005415D4"/>
    <w:rsid w:val="00541C6B"/>
    <w:rsid w:val="0054318F"/>
    <w:rsid w:val="00543A11"/>
    <w:rsid w:val="00544B2C"/>
    <w:rsid w:val="00547475"/>
    <w:rsid w:val="00547A76"/>
    <w:rsid w:val="00550457"/>
    <w:rsid w:val="00550B10"/>
    <w:rsid w:val="00550D53"/>
    <w:rsid w:val="00550F67"/>
    <w:rsid w:val="00551880"/>
    <w:rsid w:val="005524CE"/>
    <w:rsid w:val="00552E04"/>
    <w:rsid w:val="00553466"/>
    <w:rsid w:val="00553837"/>
    <w:rsid w:val="00555FD0"/>
    <w:rsid w:val="005613F3"/>
    <w:rsid w:val="005641CB"/>
    <w:rsid w:val="005657B3"/>
    <w:rsid w:val="00570D2E"/>
    <w:rsid w:val="0057198F"/>
    <w:rsid w:val="00572808"/>
    <w:rsid w:val="0057325E"/>
    <w:rsid w:val="00574E1B"/>
    <w:rsid w:val="0057633F"/>
    <w:rsid w:val="005770D7"/>
    <w:rsid w:val="00581011"/>
    <w:rsid w:val="00581ADC"/>
    <w:rsid w:val="00581DEB"/>
    <w:rsid w:val="005824A4"/>
    <w:rsid w:val="00584CEB"/>
    <w:rsid w:val="005855A1"/>
    <w:rsid w:val="00585B14"/>
    <w:rsid w:val="00590533"/>
    <w:rsid w:val="0059132B"/>
    <w:rsid w:val="0059220E"/>
    <w:rsid w:val="0059439A"/>
    <w:rsid w:val="00594BD2"/>
    <w:rsid w:val="00595CBE"/>
    <w:rsid w:val="0059729A"/>
    <w:rsid w:val="00597346"/>
    <w:rsid w:val="005974B5"/>
    <w:rsid w:val="005A004D"/>
    <w:rsid w:val="005A0732"/>
    <w:rsid w:val="005A0CFF"/>
    <w:rsid w:val="005A28FC"/>
    <w:rsid w:val="005A3A4B"/>
    <w:rsid w:val="005A3EB9"/>
    <w:rsid w:val="005A5E51"/>
    <w:rsid w:val="005A6E12"/>
    <w:rsid w:val="005B0A0B"/>
    <w:rsid w:val="005B2100"/>
    <w:rsid w:val="005B55AF"/>
    <w:rsid w:val="005B7556"/>
    <w:rsid w:val="005B7A03"/>
    <w:rsid w:val="005C0B10"/>
    <w:rsid w:val="005C0BD6"/>
    <w:rsid w:val="005C1E63"/>
    <w:rsid w:val="005C24E4"/>
    <w:rsid w:val="005C2FFF"/>
    <w:rsid w:val="005C34EA"/>
    <w:rsid w:val="005C5001"/>
    <w:rsid w:val="005C5024"/>
    <w:rsid w:val="005C604E"/>
    <w:rsid w:val="005C63A6"/>
    <w:rsid w:val="005C6E65"/>
    <w:rsid w:val="005C773C"/>
    <w:rsid w:val="005C7AAF"/>
    <w:rsid w:val="005C7B26"/>
    <w:rsid w:val="005D1452"/>
    <w:rsid w:val="005D3489"/>
    <w:rsid w:val="005D5B95"/>
    <w:rsid w:val="005E0810"/>
    <w:rsid w:val="005E1238"/>
    <w:rsid w:val="005E1715"/>
    <w:rsid w:val="005E2404"/>
    <w:rsid w:val="005E3078"/>
    <w:rsid w:val="005E706D"/>
    <w:rsid w:val="005E7C38"/>
    <w:rsid w:val="005F0807"/>
    <w:rsid w:val="005F0AD6"/>
    <w:rsid w:val="005F0B9B"/>
    <w:rsid w:val="005F1095"/>
    <w:rsid w:val="005F3F1B"/>
    <w:rsid w:val="005F7CB5"/>
    <w:rsid w:val="00601AE0"/>
    <w:rsid w:val="0060357C"/>
    <w:rsid w:val="006036B6"/>
    <w:rsid w:val="00607770"/>
    <w:rsid w:val="0061196D"/>
    <w:rsid w:val="0061463C"/>
    <w:rsid w:val="00614D2B"/>
    <w:rsid w:val="00617739"/>
    <w:rsid w:val="0062026C"/>
    <w:rsid w:val="00622A3E"/>
    <w:rsid w:val="006230C8"/>
    <w:rsid w:val="00630681"/>
    <w:rsid w:val="00633780"/>
    <w:rsid w:val="006337E5"/>
    <w:rsid w:val="00633A2B"/>
    <w:rsid w:val="006341AC"/>
    <w:rsid w:val="00634952"/>
    <w:rsid w:val="00635068"/>
    <w:rsid w:val="00637BD3"/>
    <w:rsid w:val="006402F0"/>
    <w:rsid w:val="00640A2B"/>
    <w:rsid w:val="00641C11"/>
    <w:rsid w:val="0064308B"/>
    <w:rsid w:val="006449A6"/>
    <w:rsid w:val="00645AB5"/>
    <w:rsid w:val="00645BB8"/>
    <w:rsid w:val="006466E7"/>
    <w:rsid w:val="00646B91"/>
    <w:rsid w:val="00650E5E"/>
    <w:rsid w:val="00651219"/>
    <w:rsid w:val="00651902"/>
    <w:rsid w:val="00654341"/>
    <w:rsid w:val="00654DA5"/>
    <w:rsid w:val="00656E72"/>
    <w:rsid w:val="00661192"/>
    <w:rsid w:val="00661CD6"/>
    <w:rsid w:val="00663BD3"/>
    <w:rsid w:val="006652AB"/>
    <w:rsid w:val="00665613"/>
    <w:rsid w:val="00665832"/>
    <w:rsid w:val="00666F83"/>
    <w:rsid w:val="00667282"/>
    <w:rsid w:val="006700D0"/>
    <w:rsid w:val="006709BC"/>
    <w:rsid w:val="00672EC9"/>
    <w:rsid w:val="006744F6"/>
    <w:rsid w:val="00674500"/>
    <w:rsid w:val="00674B73"/>
    <w:rsid w:val="00681C8C"/>
    <w:rsid w:val="00685C1B"/>
    <w:rsid w:val="00687D28"/>
    <w:rsid w:val="00690D30"/>
    <w:rsid w:val="0069165B"/>
    <w:rsid w:val="00693AFB"/>
    <w:rsid w:val="00693DEB"/>
    <w:rsid w:val="006948EE"/>
    <w:rsid w:val="00695E3C"/>
    <w:rsid w:val="00696E3F"/>
    <w:rsid w:val="006A0DB3"/>
    <w:rsid w:val="006A121A"/>
    <w:rsid w:val="006A251B"/>
    <w:rsid w:val="006A2554"/>
    <w:rsid w:val="006A56B1"/>
    <w:rsid w:val="006A65CC"/>
    <w:rsid w:val="006A707C"/>
    <w:rsid w:val="006A7D4D"/>
    <w:rsid w:val="006B27B4"/>
    <w:rsid w:val="006B3E90"/>
    <w:rsid w:val="006B6003"/>
    <w:rsid w:val="006B65C4"/>
    <w:rsid w:val="006B67D9"/>
    <w:rsid w:val="006B69E2"/>
    <w:rsid w:val="006B7BFA"/>
    <w:rsid w:val="006C0945"/>
    <w:rsid w:val="006C09E0"/>
    <w:rsid w:val="006C21DF"/>
    <w:rsid w:val="006C2D01"/>
    <w:rsid w:val="006C3DB7"/>
    <w:rsid w:val="006C3E52"/>
    <w:rsid w:val="006C4404"/>
    <w:rsid w:val="006C49CF"/>
    <w:rsid w:val="006C6B45"/>
    <w:rsid w:val="006D36BB"/>
    <w:rsid w:val="006D3F79"/>
    <w:rsid w:val="006D547A"/>
    <w:rsid w:val="006D580C"/>
    <w:rsid w:val="006D596F"/>
    <w:rsid w:val="006D5E42"/>
    <w:rsid w:val="006E1CF7"/>
    <w:rsid w:val="006E4731"/>
    <w:rsid w:val="006E7377"/>
    <w:rsid w:val="006E740B"/>
    <w:rsid w:val="006F0C3C"/>
    <w:rsid w:val="006F0F06"/>
    <w:rsid w:val="006F1A80"/>
    <w:rsid w:val="006F3D7C"/>
    <w:rsid w:val="006F4F65"/>
    <w:rsid w:val="006F4FA3"/>
    <w:rsid w:val="006F66B2"/>
    <w:rsid w:val="006F7268"/>
    <w:rsid w:val="006F754D"/>
    <w:rsid w:val="00701823"/>
    <w:rsid w:val="00703F00"/>
    <w:rsid w:val="00710AD8"/>
    <w:rsid w:val="0071138F"/>
    <w:rsid w:val="007127C4"/>
    <w:rsid w:val="00712F35"/>
    <w:rsid w:val="00716668"/>
    <w:rsid w:val="00720CA2"/>
    <w:rsid w:val="00721F23"/>
    <w:rsid w:val="00723B9C"/>
    <w:rsid w:val="00724184"/>
    <w:rsid w:val="007252AD"/>
    <w:rsid w:val="007266FA"/>
    <w:rsid w:val="00727A68"/>
    <w:rsid w:val="0073005D"/>
    <w:rsid w:val="00732F20"/>
    <w:rsid w:val="00733E28"/>
    <w:rsid w:val="0073683E"/>
    <w:rsid w:val="00740B9B"/>
    <w:rsid w:val="007436C0"/>
    <w:rsid w:val="007458D6"/>
    <w:rsid w:val="0074680A"/>
    <w:rsid w:val="00746C4B"/>
    <w:rsid w:val="0074764D"/>
    <w:rsid w:val="00751C27"/>
    <w:rsid w:val="00751D9C"/>
    <w:rsid w:val="00752C68"/>
    <w:rsid w:val="0075388C"/>
    <w:rsid w:val="00754905"/>
    <w:rsid w:val="00754A9F"/>
    <w:rsid w:val="00755864"/>
    <w:rsid w:val="00756345"/>
    <w:rsid w:val="00756E9A"/>
    <w:rsid w:val="0075726E"/>
    <w:rsid w:val="007601FF"/>
    <w:rsid w:val="007640E8"/>
    <w:rsid w:val="007656BB"/>
    <w:rsid w:val="0076768C"/>
    <w:rsid w:val="00771DDF"/>
    <w:rsid w:val="0077281E"/>
    <w:rsid w:val="00774246"/>
    <w:rsid w:val="0077433F"/>
    <w:rsid w:val="00775B53"/>
    <w:rsid w:val="0077654D"/>
    <w:rsid w:val="00780886"/>
    <w:rsid w:val="007816BC"/>
    <w:rsid w:val="00783A3C"/>
    <w:rsid w:val="00783A65"/>
    <w:rsid w:val="00786097"/>
    <w:rsid w:val="007861DB"/>
    <w:rsid w:val="00787752"/>
    <w:rsid w:val="00787F09"/>
    <w:rsid w:val="00792B6E"/>
    <w:rsid w:val="0079349C"/>
    <w:rsid w:val="00794418"/>
    <w:rsid w:val="00795519"/>
    <w:rsid w:val="0079551A"/>
    <w:rsid w:val="00795BB2"/>
    <w:rsid w:val="00795DFD"/>
    <w:rsid w:val="00797EC4"/>
    <w:rsid w:val="007A02F6"/>
    <w:rsid w:val="007A25CE"/>
    <w:rsid w:val="007A285D"/>
    <w:rsid w:val="007A30D4"/>
    <w:rsid w:val="007B0BE8"/>
    <w:rsid w:val="007B0C4B"/>
    <w:rsid w:val="007B14A6"/>
    <w:rsid w:val="007B22FB"/>
    <w:rsid w:val="007B2C1B"/>
    <w:rsid w:val="007B6137"/>
    <w:rsid w:val="007B6CBD"/>
    <w:rsid w:val="007C12CD"/>
    <w:rsid w:val="007C1DAD"/>
    <w:rsid w:val="007C53F1"/>
    <w:rsid w:val="007C7624"/>
    <w:rsid w:val="007C781B"/>
    <w:rsid w:val="007C7904"/>
    <w:rsid w:val="007D02B3"/>
    <w:rsid w:val="007D07DE"/>
    <w:rsid w:val="007D196A"/>
    <w:rsid w:val="007D35E1"/>
    <w:rsid w:val="007D3EF9"/>
    <w:rsid w:val="007D3FEC"/>
    <w:rsid w:val="007D7462"/>
    <w:rsid w:val="007D7856"/>
    <w:rsid w:val="007E27A7"/>
    <w:rsid w:val="007E3A77"/>
    <w:rsid w:val="007E4E67"/>
    <w:rsid w:val="007E4F60"/>
    <w:rsid w:val="007E585C"/>
    <w:rsid w:val="007E5D23"/>
    <w:rsid w:val="007E601F"/>
    <w:rsid w:val="007E6232"/>
    <w:rsid w:val="007E6D98"/>
    <w:rsid w:val="007F3799"/>
    <w:rsid w:val="007F3DAB"/>
    <w:rsid w:val="007F541F"/>
    <w:rsid w:val="007F599D"/>
    <w:rsid w:val="0080002E"/>
    <w:rsid w:val="008000B5"/>
    <w:rsid w:val="008023EA"/>
    <w:rsid w:val="00802B6E"/>
    <w:rsid w:val="0080363A"/>
    <w:rsid w:val="0080447E"/>
    <w:rsid w:val="00807202"/>
    <w:rsid w:val="008115CB"/>
    <w:rsid w:val="00811CAB"/>
    <w:rsid w:val="008134B9"/>
    <w:rsid w:val="00814C36"/>
    <w:rsid w:val="00815C02"/>
    <w:rsid w:val="00815D26"/>
    <w:rsid w:val="00816821"/>
    <w:rsid w:val="008205DF"/>
    <w:rsid w:val="00825277"/>
    <w:rsid w:val="008265D4"/>
    <w:rsid w:val="00826EC9"/>
    <w:rsid w:val="008276CF"/>
    <w:rsid w:val="00827E72"/>
    <w:rsid w:val="00831717"/>
    <w:rsid w:val="00833F26"/>
    <w:rsid w:val="008340A2"/>
    <w:rsid w:val="008350CD"/>
    <w:rsid w:val="008442BD"/>
    <w:rsid w:val="00847052"/>
    <w:rsid w:val="0085064B"/>
    <w:rsid w:val="0085105E"/>
    <w:rsid w:val="0085158F"/>
    <w:rsid w:val="0085212D"/>
    <w:rsid w:val="00852781"/>
    <w:rsid w:val="00852F62"/>
    <w:rsid w:val="00855C29"/>
    <w:rsid w:val="0085779B"/>
    <w:rsid w:val="008578B5"/>
    <w:rsid w:val="00857A80"/>
    <w:rsid w:val="00860DF1"/>
    <w:rsid w:val="00862B67"/>
    <w:rsid w:val="00863BAA"/>
    <w:rsid w:val="00865A4C"/>
    <w:rsid w:val="0086725B"/>
    <w:rsid w:val="00875E12"/>
    <w:rsid w:val="00876C34"/>
    <w:rsid w:val="00880533"/>
    <w:rsid w:val="00880860"/>
    <w:rsid w:val="00880F56"/>
    <w:rsid w:val="00891FAC"/>
    <w:rsid w:val="00893683"/>
    <w:rsid w:val="00894646"/>
    <w:rsid w:val="008949C3"/>
    <w:rsid w:val="00894BE9"/>
    <w:rsid w:val="008952C2"/>
    <w:rsid w:val="0089629D"/>
    <w:rsid w:val="00897CE4"/>
    <w:rsid w:val="008A090A"/>
    <w:rsid w:val="008A27B8"/>
    <w:rsid w:val="008A2E2C"/>
    <w:rsid w:val="008A51FD"/>
    <w:rsid w:val="008A5D38"/>
    <w:rsid w:val="008A7BFC"/>
    <w:rsid w:val="008B0613"/>
    <w:rsid w:val="008B1240"/>
    <w:rsid w:val="008B18F3"/>
    <w:rsid w:val="008B33A0"/>
    <w:rsid w:val="008B566E"/>
    <w:rsid w:val="008B6DC6"/>
    <w:rsid w:val="008C0CC1"/>
    <w:rsid w:val="008C37AB"/>
    <w:rsid w:val="008C4182"/>
    <w:rsid w:val="008C5104"/>
    <w:rsid w:val="008C56ED"/>
    <w:rsid w:val="008C5982"/>
    <w:rsid w:val="008C6FBB"/>
    <w:rsid w:val="008C6FCD"/>
    <w:rsid w:val="008C799B"/>
    <w:rsid w:val="008D0E9E"/>
    <w:rsid w:val="008D2E44"/>
    <w:rsid w:val="008D66D4"/>
    <w:rsid w:val="008E07E8"/>
    <w:rsid w:val="008E130A"/>
    <w:rsid w:val="008E1E73"/>
    <w:rsid w:val="008E2A6D"/>
    <w:rsid w:val="008E3D44"/>
    <w:rsid w:val="008E5AC3"/>
    <w:rsid w:val="008E6785"/>
    <w:rsid w:val="008E7AAE"/>
    <w:rsid w:val="008F01CD"/>
    <w:rsid w:val="008F3754"/>
    <w:rsid w:val="008F4C81"/>
    <w:rsid w:val="008F6B30"/>
    <w:rsid w:val="00900604"/>
    <w:rsid w:val="00901CC7"/>
    <w:rsid w:val="0090258D"/>
    <w:rsid w:val="00902705"/>
    <w:rsid w:val="00903AF3"/>
    <w:rsid w:val="009051D9"/>
    <w:rsid w:val="009063B4"/>
    <w:rsid w:val="0090687B"/>
    <w:rsid w:val="00910151"/>
    <w:rsid w:val="00911827"/>
    <w:rsid w:val="009124AB"/>
    <w:rsid w:val="00917FC1"/>
    <w:rsid w:val="009215C4"/>
    <w:rsid w:val="0092162E"/>
    <w:rsid w:val="00921B96"/>
    <w:rsid w:val="00921F56"/>
    <w:rsid w:val="00923297"/>
    <w:rsid w:val="00923EA6"/>
    <w:rsid w:val="00927BD0"/>
    <w:rsid w:val="00927DBC"/>
    <w:rsid w:val="00930DDD"/>
    <w:rsid w:val="009312F5"/>
    <w:rsid w:val="00931A40"/>
    <w:rsid w:val="00931C0E"/>
    <w:rsid w:val="0093475A"/>
    <w:rsid w:val="00936314"/>
    <w:rsid w:val="009401CD"/>
    <w:rsid w:val="00943F90"/>
    <w:rsid w:val="00945D28"/>
    <w:rsid w:val="009477C2"/>
    <w:rsid w:val="00950007"/>
    <w:rsid w:val="00954EAB"/>
    <w:rsid w:val="00956ADF"/>
    <w:rsid w:val="009605BA"/>
    <w:rsid w:val="0096108D"/>
    <w:rsid w:val="00961CDD"/>
    <w:rsid w:val="009626E7"/>
    <w:rsid w:val="009638D2"/>
    <w:rsid w:val="00965C5C"/>
    <w:rsid w:val="00967140"/>
    <w:rsid w:val="0096719D"/>
    <w:rsid w:val="00970B25"/>
    <w:rsid w:val="00974201"/>
    <w:rsid w:val="00976630"/>
    <w:rsid w:val="00980345"/>
    <w:rsid w:val="00980D1B"/>
    <w:rsid w:val="00981E5D"/>
    <w:rsid w:val="00984BB8"/>
    <w:rsid w:val="0098558E"/>
    <w:rsid w:val="00990139"/>
    <w:rsid w:val="009946B6"/>
    <w:rsid w:val="00996EBA"/>
    <w:rsid w:val="009A02CE"/>
    <w:rsid w:val="009A0A5B"/>
    <w:rsid w:val="009A36E6"/>
    <w:rsid w:val="009A5484"/>
    <w:rsid w:val="009A609E"/>
    <w:rsid w:val="009A7D25"/>
    <w:rsid w:val="009B0FB8"/>
    <w:rsid w:val="009B351D"/>
    <w:rsid w:val="009B5209"/>
    <w:rsid w:val="009B5D34"/>
    <w:rsid w:val="009B725E"/>
    <w:rsid w:val="009C1BE3"/>
    <w:rsid w:val="009C25D5"/>
    <w:rsid w:val="009C5626"/>
    <w:rsid w:val="009D167C"/>
    <w:rsid w:val="009D1E4D"/>
    <w:rsid w:val="009D2476"/>
    <w:rsid w:val="009D2B4F"/>
    <w:rsid w:val="009D5E64"/>
    <w:rsid w:val="009D6E80"/>
    <w:rsid w:val="009E1414"/>
    <w:rsid w:val="009E30BE"/>
    <w:rsid w:val="009E4A6C"/>
    <w:rsid w:val="009E5BA1"/>
    <w:rsid w:val="009E5D7C"/>
    <w:rsid w:val="009E7257"/>
    <w:rsid w:val="009F0A8F"/>
    <w:rsid w:val="009F2A5D"/>
    <w:rsid w:val="009F2B10"/>
    <w:rsid w:val="00A02A65"/>
    <w:rsid w:val="00A037C9"/>
    <w:rsid w:val="00A038E7"/>
    <w:rsid w:val="00A06369"/>
    <w:rsid w:val="00A131BA"/>
    <w:rsid w:val="00A15A77"/>
    <w:rsid w:val="00A16484"/>
    <w:rsid w:val="00A20596"/>
    <w:rsid w:val="00A21465"/>
    <w:rsid w:val="00A23299"/>
    <w:rsid w:val="00A23724"/>
    <w:rsid w:val="00A2420D"/>
    <w:rsid w:val="00A25BAD"/>
    <w:rsid w:val="00A275CE"/>
    <w:rsid w:val="00A307C1"/>
    <w:rsid w:val="00A31615"/>
    <w:rsid w:val="00A31D69"/>
    <w:rsid w:val="00A32A7E"/>
    <w:rsid w:val="00A34B7E"/>
    <w:rsid w:val="00A36245"/>
    <w:rsid w:val="00A3676F"/>
    <w:rsid w:val="00A37C5D"/>
    <w:rsid w:val="00A4134B"/>
    <w:rsid w:val="00A415AD"/>
    <w:rsid w:val="00A440ED"/>
    <w:rsid w:val="00A442F1"/>
    <w:rsid w:val="00A45760"/>
    <w:rsid w:val="00A46FCB"/>
    <w:rsid w:val="00A47512"/>
    <w:rsid w:val="00A52C4C"/>
    <w:rsid w:val="00A557B8"/>
    <w:rsid w:val="00A57E83"/>
    <w:rsid w:val="00A61807"/>
    <w:rsid w:val="00A6459A"/>
    <w:rsid w:val="00A650C3"/>
    <w:rsid w:val="00A6577F"/>
    <w:rsid w:val="00A701F8"/>
    <w:rsid w:val="00A70829"/>
    <w:rsid w:val="00A71274"/>
    <w:rsid w:val="00A71840"/>
    <w:rsid w:val="00A722CB"/>
    <w:rsid w:val="00A74808"/>
    <w:rsid w:val="00A74975"/>
    <w:rsid w:val="00A751D6"/>
    <w:rsid w:val="00A816B9"/>
    <w:rsid w:val="00A828F9"/>
    <w:rsid w:val="00A82DE2"/>
    <w:rsid w:val="00A83432"/>
    <w:rsid w:val="00A834EB"/>
    <w:rsid w:val="00A84A28"/>
    <w:rsid w:val="00A851AF"/>
    <w:rsid w:val="00A87F15"/>
    <w:rsid w:val="00A87F92"/>
    <w:rsid w:val="00A905AC"/>
    <w:rsid w:val="00A90BFC"/>
    <w:rsid w:val="00A937BB"/>
    <w:rsid w:val="00A938BC"/>
    <w:rsid w:val="00A95BBE"/>
    <w:rsid w:val="00A979B9"/>
    <w:rsid w:val="00AA006C"/>
    <w:rsid w:val="00AA1085"/>
    <w:rsid w:val="00AA123F"/>
    <w:rsid w:val="00AA1B6D"/>
    <w:rsid w:val="00AA2BF8"/>
    <w:rsid w:val="00AA4D6B"/>
    <w:rsid w:val="00AA58AC"/>
    <w:rsid w:val="00AA61DD"/>
    <w:rsid w:val="00AA621F"/>
    <w:rsid w:val="00AB143F"/>
    <w:rsid w:val="00AB38CC"/>
    <w:rsid w:val="00AB40DA"/>
    <w:rsid w:val="00AB509B"/>
    <w:rsid w:val="00AB61AA"/>
    <w:rsid w:val="00AB77B0"/>
    <w:rsid w:val="00AB7872"/>
    <w:rsid w:val="00AC063E"/>
    <w:rsid w:val="00AC110B"/>
    <w:rsid w:val="00AC131B"/>
    <w:rsid w:val="00AC2274"/>
    <w:rsid w:val="00AC5245"/>
    <w:rsid w:val="00AC5D3A"/>
    <w:rsid w:val="00AC6118"/>
    <w:rsid w:val="00AC6235"/>
    <w:rsid w:val="00AD0096"/>
    <w:rsid w:val="00AD1662"/>
    <w:rsid w:val="00AD1715"/>
    <w:rsid w:val="00AD1EF7"/>
    <w:rsid w:val="00AD2455"/>
    <w:rsid w:val="00AD6F2C"/>
    <w:rsid w:val="00AD736D"/>
    <w:rsid w:val="00AD796F"/>
    <w:rsid w:val="00AD79EE"/>
    <w:rsid w:val="00AE021A"/>
    <w:rsid w:val="00AE5537"/>
    <w:rsid w:val="00AE5A23"/>
    <w:rsid w:val="00AE5A9C"/>
    <w:rsid w:val="00AE65F9"/>
    <w:rsid w:val="00AE7059"/>
    <w:rsid w:val="00AF04FB"/>
    <w:rsid w:val="00AF2306"/>
    <w:rsid w:val="00AF274A"/>
    <w:rsid w:val="00AF57D1"/>
    <w:rsid w:val="00AF5DF3"/>
    <w:rsid w:val="00AF608A"/>
    <w:rsid w:val="00AF6098"/>
    <w:rsid w:val="00AF7983"/>
    <w:rsid w:val="00B01198"/>
    <w:rsid w:val="00B01551"/>
    <w:rsid w:val="00B02B51"/>
    <w:rsid w:val="00B03BED"/>
    <w:rsid w:val="00B05703"/>
    <w:rsid w:val="00B06919"/>
    <w:rsid w:val="00B10F0A"/>
    <w:rsid w:val="00B11DA4"/>
    <w:rsid w:val="00B137D7"/>
    <w:rsid w:val="00B1724E"/>
    <w:rsid w:val="00B2011E"/>
    <w:rsid w:val="00B203CF"/>
    <w:rsid w:val="00B246B5"/>
    <w:rsid w:val="00B256A3"/>
    <w:rsid w:val="00B26B19"/>
    <w:rsid w:val="00B26CF0"/>
    <w:rsid w:val="00B27A7D"/>
    <w:rsid w:val="00B31959"/>
    <w:rsid w:val="00B34C4E"/>
    <w:rsid w:val="00B3557E"/>
    <w:rsid w:val="00B35D1B"/>
    <w:rsid w:val="00B378F8"/>
    <w:rsid w:val="00B416E2"/>
    <w:rsid w:val="00B42974"/>
    <w:rsid w:val="00B43837"/>
    <w:rsid w:val="00B440A9"/>
    <w:rsid w:val="00B441DE"/>
    <w:rsid w:val="00B44602"/>
    <w:rsid w:val="00B44DDD"/>
    <w:rsid w:val="00B477A9"/>
    <w:rsid w:val="00B47E88"/>
    <w:rsid w:val="00B50E44"/>
    <w:rsid w:val="00B5229A"/>
    <w:rsid w:val="00B53A4E"/>
    <w:rsid w:val="00B54262"/>
    <w:rsid w:val="00B54DED"/>
    <w:rsid w:val="00B55280"/>
    <w:rsid w:val="00B56236"/>
    <w:rsid w:val="00B60E5E"/>
    <w:rsid w:val="00B619C9"/>
    <w:rsid w:val="00B63F3D"/>
    <w:rsid w:val="00B64662"/>
    <w:rsid w:val="00B70D7D"/>
    <w:rsid w:val="00B70ED4"/>
    <w:rsid w:val="00B71EE4"/>
    <w:rsid w:val="00B749F3"/>
    <w:rsid w:val="00B74D02"/>
    <w:rsid w:val="00B75045"/>
    <w:rsid w:val="00B75932"/>
    <w:rsid w:val="00B7645F"/>
    <w:rsid w:val="00B76966"/>
    <w:rsid w:val="00B77151"/>
    <w:rsid w:val="00B81943"/>
    <w:rsid w:val="00B82AB1"/>
    <w:rsid w:val="00B83C84"/>
    <w:rsid w:val="00B85668"/>
    <w:rsid w:val="00B876BC"/>
    <w:rsid w:val="00B90144"/>
    <w:rsid w:val="00B90548"/>
    <w:rsid w:val="00B92A70"/>
    <w:rsid w:val="00B96261"/>
    <w:rsid w:val="00B96685"/>
    <w:rsid w:val="00B97C3D"/>
    <w:rsid w:val="00BA0D78"/>
    <w:rsid w:val="00BA36D1"/>
    <w:rsid w:val="00BA5FA3"/>
    <w:rsid w:val="00BA6B7C"/>
    <w:rsid w:val="00BA6DA7"/>
    <w:rsid w:val="00BA7643"/>
    <w:rsid w:val="00BA7F65"/>
    <w:rsid w:val="00BB0CA1"/>
    <w:rsid w:val="00BB15D5"/>
    <w:rsid w:val="00BB1777"/>
    <w:rsid w:val="00BB2C89"/>
    <w:rsid w:val="00BB4D52"/>
    <w:rsid w:val="00BB7123"/>
    <w:rsid w:val="00BB7B19"/>
    <w:rsid w:val="00BC040A"/>
    <w:rsid w:val="00BC08D2"/>
    <w:rsid w:val="00BC144B"/>
    <w:rsid w:val="00BC2A14"/>
    <w:rsid w:val="00BC57EC"/>
    <w:rsid w:val="00BC614A"/>
    <w:rsid w:val="00BC67A6"/>
    <w:rsid w:val="00BC7714"/>
    <w:rsid w:val="00BC778B"/>
    <w:rsid w:val="00BD0298"/>
    <w:rsid w:val="00BD2F31"/>
    <w:rsid w:val="00BD732A"/>
    <w:rsid w:val="00BE0072"/>
    <w:rsid w:val="00BE1016"/>
    <w:rsid w:val="00BE38AD"/>
    <w:rsid w:val="00BE391B"/>
    <w:rsid w:val="00BE4ED9"/>
    <w:rsid w:val="00BE58C8"/>
    <w:rsid w:val="00BE60B3"/>
    <w:rsid w:val="00BE6C51"/>
    <w:rsid w:val="00BE737F"/>
    <w:rsid w:val="00BF1332"/>
    <w:rsid w:val="00BF15FC"/>
    <w:rsid w:val="00BF2B5D"/>
    <w:rsid w:val="00C0041D"/>
    <w:rsid w:val="00C01252"/>
    <w:rsid w:val="00C01C64"/>
    <w:rsid w:val="00C022AC"/>
    <w:rsid w:val="00C062F1"/>
    <w:rsid w:val="00C06417"/>
    <w:rsid w:val="00C122F5"/>
    <w:rsid w:val="00C1368D"/>
    <w:rsid w:val="00C13C0A"/>
    <w:rsid w:val="00C149ED"/>
    <w:rsid w:val="00C20732"/>
    <w:rsid w:val="00C25F40"/>
    <w:rsid w:val="00C2615F"/>
    <w:rsid w:val="00C30B72"/>
    <w:rsid w:val="00C32B5D"/>
    <w:rsid w:val="00C34B4B"/>
    <w:rsid w:val="00C3504D"/>
    <w:rsid w:val="00C3543B"/>
    <w:rsid w:val="00C36984"/>
    <w:rsid w:val="00C3788C"/>
    <w:rsid w:val="00C4004C"/>
    <w:rsid w:val="00C403B8"/>
    <w:rsid w:val="00C4146B"/>
    <w:rsid w:val="00C430AF"/>
    <w:rsid w:val="00C447B8"/>
    <w:rsid w:val="00C4606F"/>
    <w:rsid w:val="00C51BED"/>
    <w:rsid w:val="00C52E78"/>
    <w:rsid w:val="00C531FE"/>
    <w:rsid w:val="00C6296B"/>
    <w:rsid w:val="00C63E78"/>
    <w:rsid w:val="00C6470B"/>
    <w:rsid w:val="00C676C3"/>
    <w:rsid w:val="00C70B6C"/>
    <w:rsid w:val="00C723E7"/>
    <w:rsid w:val="00C73E0B"/>
    <w:rsid w:val="00C7522D"/>
    <w:rsid w:val="00C75784"/>
    <w:rsid w:val="00C76A02"/>
    <w:rsid w:val="00C845F2"/>
    <w:rsid w:val="00C8695D"/>
    <w:rsid w:val="00C8765C"/>
    <w:rsid w:val="00C878A4"/>
    <w:rsid w:val="00C87A27"/>
    <w:rsid w:val="00C87A62"/>
    <w:rsid w:val="00C908B0"/>
    <w:rsid w:val="00C91D9F"/>
    <w:rsid w:val="00C9264A"/>
    <w:rsid w:val="00C93332"/>
    <w:rsid w:val="00C93FEF"/>
    <w:rsid w:val="00C94377"/>
    <w:rsid w:val="00C94391"/>
    <w:rsid w:val="00C94F11"/>
    <w:rsid w:val="00C95FC4"/>
    <w:rsid w:val="00C97614"/>
    <w:rsid w:val="00CA1231"/>
    <w:rsid w:val="00CA2259"/>
    <w:rsid w:val="00CA3B86"/>
    <w:rsid w:val="00CA3F05"/>
    <w:rsid w:val="00CA4392"/>
    <w:rsid w:val="00CA4492"/>
    <w:rsid w:val="00CA6CE5"/>
    <w:rsid w:val="00CA7BCE"/>
    <w:rsid w:val="00CB16F7"/>
    <w:rsid w:val="00CB19A6"/>
    <w:rsid w:val="00CB3C7F"/>
    <w:rsid w:val="00CB49AC"/>
    <w:rsid w:val="00CB67A7"/>
    <w:rsid w:val="00CB71AD"/>
    <w:rsid w:val="00CC010A"/>
    <w:rsid w:val="00CC0736"/>
    <w:rsid w:val="00CC0F0A"/>
    <w:rsid w:val="00CC2091"/>
    <w:rsid w:val="00CC6EAB"/>
    <w:rsid w:val="00CC7EB4"/>
    <w:rsid w:val="00CD1196"/>
    <w:rsid w:val="00CD1361"/>
    <w:rsid w:val="00CD3895"/>
    <w:rsid w:val="00CD6B4F"/>
    <w:rsid w:val="00CD703E"/>
    <w:rsid w:val="00CD76EA"/>
    <w:rsid w:val="00CE005D"/>
    <w:rsid w:val="00CE1124"/>
    <w:rsid w:val="00CE1788"/>
    <w:rsid w:val="00CE5A27"/>
    <w:rsid w:val="00CF026E"/>
    <w:rsid w:val="00CF0D08"/>
    <w:rsid w:val="00CF224A"/>
    <w:rsid w:val="00CF22C8"/>
    <w:rsid w:val="00CF2F0F"/>
    <w:rsid w:val="00CF3924"/>
    <w:rsid w:val="00CF3AE4"/>
    <w:rsid w:val="00D041BD"/>
    <w:rsid w:val="00D05ACF"/>
    <w:rsid w:val="00D06D58"/>
    <w:rsid w:val="00D076B3"/>
    <w:rsid w:val="00D10092"/>
    <w:rsid w:val="00D100BE"/>
    <w:rsid w:val="00D10BBF"/>
    <w:rsid w:val="00D124E7"/>
    <w:rsid w:val="00D14CB3"/>
    <w:rsid w:val="00D21673"/>
    <w:rsid w:val="00D22884"/>
    <w:rsid w:val="00D229C1"/>
    <w:rsid w:val="00D2396D"/>
    <w:rsid w:val="00D247AF"/>
    <w:rsid w:val="00D30F13"/>
    <w:rsid w:val="00D31F27"/>
    <w:rsid w:val="00D3308C"/>
    <w:rsid w:val="00D3354F"/>
    <w:rsid w:val="00D3469C"/>
    <w:rsid w:val="00D34738"/>
    <w:rsid w:val="00D37F0C"/>
    <w:rsid w:val="00D41B97"/>
    <w:rsid w:val="00D43C21"/>
    <w:rsid w:val="00D44D5F"/>
    <w:rsid w:val="00D46914"/>
    <w:rsid w:val="00D47240"/>
    <w:rsid w:val="00D474B7"/>
    <w:rsid w:val="00D47C62"/>
    <w:rsid w:val="00D508FF"/>
    <w:rsid w:val="00D51954"/>
    <w:rsid w:val="00D53222"/>
    <w:rsid w:val="00D54563"/>
    <w:rsid w:val="00D55CA6"/>
    <w:rsid w:val="00D60382"/>
    <w:rsid w:val="00D608A3"/>
    <w:rsid w:val="00D60A72"/>
    <w:rsid w:val="00D61F7C"/>
    <w:rsid w:val="00D6209E"/>
    <w:rsid w:val="00D6247E"/>
    <w:rsid w:val="00D63030"/>
    <w:rsid w:val="00D64E78"/>
    <w:rsid w:val="00D650A9"/>
    <w:rsid w:val="00D67060"/>
    <w:rsid w:val="00D6762D"/>
    <w:rsid w:val="00D67B55"/>
    <w:rsid w:val="00D70A53"/>
    <w:rsid w:val="00D71302"/>
    <w:rsid w:val="00D7382E"/>
    <w:rsid w:val="00D82360"/>
    <w:rsid w:val="00D8285B"/>
    <w:rsid w:val="00D83531"/>
    <w:rsid w:val="00D87658"/>
    <w:rsid w:val="00D87E6B"/>
    <w:rsid w:val="00D92A27"/>
    <w:rsid w:val="00D92C7D"/>
    <w:rsid w:val="00D94089"/>
    <w:rsid w:val="00D95C98"/>
    <w:rsid w:val="00D9609F"/>
    <w:rsid w:val="00D97D52"/>
    <w:rsid w:val="00DA0452"/>
    <w:rsid w:val="00DA210D"/>
    <w:rsid w:val="00DA27D7"/>
    <w:rsid w:val="00DA45E8"/>
    <w:rsid w:val="00DA4D80"/>
    <w:rsid w:val="00DB14D7"/>
    <w:rsid w:val="00DB2053"/>
    <w:rsid w:val="00DB43F2"/>
    <w:rsid w:val="00DB4E78"/>
    <w:rsid w:val="00DB7E4D"/>
    <w:rsid w:val="00DC0EBA"/>
    <w:rsid w:val="00DC2E14"/>
    <w:rsid w:val="00DC7E10"/>
    <w:rsid w:val="00DC7F3A"/>
    <w:rsid w:val="00DD0420"/>
    <w:rsid w:val="00DD09A0"/>
    <w:rsid w:val="00DD497F"/>
    <w:rsid w:val="00DD5E25"/>
    <w:rsid w:val="00DE23C0"/>
    <w:rsid w:val="00DE2A07"/>
    <w:rsid w:val="00DE5FFE"/>
    <w:rsid w:val="00DE6822"/>
    <w:rsid w:val="00DF1680"/>
    <w:rsid w:val="00DF21E4"/>
    <w:rsid w:val="00DF24D7"/>
    <w:rsid w:val="00DF3B09"/>
    <w:rsid w:val="00DF42AC"/>
    <w:rsid w:val="00DF4B81"/>
    <w:rsid w:val="00DF65A9"/>
    <w:rsid w:val="00DF705C"/>
    <w:rsid w:val="00DF7998"/>
    <w:rsid w:val="00DF7D2F"/>
    <w:rsid w:val="00E00C56"/>
    <w:rsid w:val="00E02803"/>
    <w:rsid w:val="00E02FAF"/>
    <w:rsid w:val="00E02FB6"/>
    <w:rsid w:val="00E0319A"/>
    <w:rsid w:val="00E03F3D"/>
    <w:rsid w:val="00E04913"/>
    <w:rsid w:val="00E049CE"/>
    <w:rsid w:val="00E049EB"/>
    <w:rsid w:val="00E0532B"/>
    <w:rsid w:val="00E108E2"/>
    <w:rsid w:val="00E126FB"/>
    <w:rsid w:val="00E1400C"/>
    <w:rsid w:val="00E16347"/>
    <w:rsid w:val="00E168B3"/>
    <w:rsid w:val="00E1716A"/>
    <w:rsid w:val="00E17874"/>
    <w:rsid w:val="00E22CB7"/>
    <w:rsid w:val="00E232AF"/>
    <w:rsid w:val="00E23BF0"/>
    <w:rsid w:val="00E24FA5"/>
    <w:rsid w:val="00E26C26"/>
    <w:rsid w:val="00E348D0"/>
    <w:rsid w:val="00E351D1"/>
    <w:rsid w:val="00E355CE"/>
    <w:rsid w:val="00E3595B"/>
    <w:rsid w:val="00E361D4"/>
    <w:rsid w:val="00E40A96"/>
    <w:rsid w:val="00E4438B"/>
    <w:rsid w:val="00E449DB"/>
    <w:rsid w:val="00E44D71"/>
    <w:rsid w:val="00E4503E"/>
    <w:rsid w:val="00E46A17"/>
    <w:rsid w:val="00E46AB3"/>
    <w:rsid w:val="00E4721D"/>
    <w:rsid w:val="00E47586"/>
    <w:rsid w:val="00E47EA6"/>
    <w:rsid w:val="00E500D1"/>
    <w:rsid w:val="00E5101D"/>
    <w:rsid w:val="00E51540"/>
    <w:rsid w:val="00E51E2B"/>
    <w:rsid w:val="00E54AD5"/>
    <w:rsid w:val="00E5772C"/>
    <w:rsid w:val="00E57E39"/>
    <w:rsid w:val="00E6235F"/>
    <w:rsid w:val="00E65F17"/>
    <w:rsid w:val="00E673F0"/>
    <w:rsid w:val="00E67E88"/>
    <w:rsid w:val="00E67FFE"/>
    <w:rsid w:val="00E7060B"/>
    <w:rsid w:val="00E70F84"/>
    <w:rsid w:val="00E71496"/>
    <w:rsid w:val="00E73EC9"/>
    <w:rsid w:val="00E745A3"/>
    <w:rsid w:val="00E74D24"/>
    <w:rsid w:val="00E76883"/>
    <w:rsid w:val="00E76A14"/>
    <w:rsid w:val="00E76D19"/>
    <w:rsid w:val="00E77FA9"/>
    <w:rsid w:val="00E82B89"/>
    <w:rsid w:val="00E84CD9"/>
    <w:rsid w:val="00E85144"/>
    <w:rsid w:val="00E86316"/>
    <w:rsid w:val="00E90428"/>
    <w:rsid w:val="00E9055F"/>
    <w:rsid w:val="00E90C65"/>
    <w:rsid w:val="00E913AA"/>
    <w:rsid w:val="00E9167C"/>
    <w:rsid w:val="00E97160"/>
    <w:rsid w:val="00E97C16"/>
    <w:rsid w:val="00EA0620"/>
    <w:rsid w:val="00EA185D"/>
    <w:rsid w:val="00EA1C11"/>
    <w:rsid w:val="00EA4F7E"/>
    <w:rsid w:val="00EB0305"/>
    <w:rsid w:val="00EB3C23"/>
    <w:rsid w:val="00EB65B5"/>
    <w:rsid w:val="00EB69B6"/>
    <w:rsid w:val="00EC2CF7"/>
    <w:rsid w:val="00EC2F1B"/>
    <w:rsid w:val="00EC3CB3"/>
    <w:rsid w:val="00EC4A7A"/>
    <w:rsid w:val="00EC5A76"/>
    <w:rsid w:val="00EC5E3A"/>
    <w:rsid w:val="00EC700A"/>
    <w:rsid w:val="00EC7345"/>
    <w:rsid w:val="00ED03B5"/>
    <w:rsid w:val="00ED1172"/>
    <w:rsid w:val="00ED200F"/>
    <w:rsid w:val="00ED359D"/>
    <w:rsid w:val="00ED44D7"/>
    <w:rsid w:val="00EE00F4"/>
    <w:rsid w:val="00EE110C"/>
    <w:rsid w:val="00EE3A69"/>
    <w:rsid w:val="00EE4968"/>
    <w:rsid w:val="00EE4C01"/>
    <w:rsid w:val="00EE65D7"/>
    <w:rsid w:val="00EE70CE"/>
    <w:rsid w:val="00EE77BB"/>
    <w:rsid w:val="00EF0FCD"/>
    <w:rsid w:val="00EF37CB"/>
    <w:rsid w:val="00EF715A"/>
    <w:rsid w:val="00F011C3"/>
    <w:rsid w:val="00F03C54"/>
    <w:rsid w:val="00F05DA0"/>
    <w:rsid w:val="00F076AC"/>
    <w:rsid w:val="00F1118F"/>
    <w:rsid w:val="00F11718"/>
    <w:rsid w:val="00F15EC0"/>
    <w:rsid w:val="00F17DF5"/>
    <w:rsid w:val="00F22C48"/>
    <w:rsid w:val="00F257D2"/>
    <w:rsid w:val="00F3174B"/>
    <w:rsid w:val="00F31EA2"/>
    <w:rsid w:val="00F3300D"/>
    <w:rsid w:val="00F35681"/>
    <w:rsid w:val="00F36489"/>
    <w:rsid w:val="00F37124"/>
    <w:rsid w:val="00F37226"/>
    <w:rsid w:val="00F3743A"/>
    <w:rsid w:val="00F37AD1"/>
    <w:rsid w:val="00F40966"/>
    <w:rsid w:val="00F423ED"/>
    <w:rsid w:val="00F433F0"/>
    <w:rsid w:val="00F44A6E"/>
    <w:rsid w:val="00F50324"/>
    <w:rsid w:val="00F52049"/>
    <w:rsid w:val="00F54FDF"/>
    <w:rsid w:val="00F5620A"/>
    <w:rsid w:val="00F57D9E"/>
    <w:rsid w:val="00F60B1F"/>
    <w:rsid w:val="00F61EF3"/>
    <w:rsid w:val="00F66E80"/>
    <w:rsid w:val="00F671D4"/>
    <w:rsid w:val="00F67208"/>
    <w:rsid w:val="00F70838"/>
    <w:rsid w:val="00F71061"/>
    <w:rsid w:val="00F71617"/>
    <w:rsid w:val="00F72C17"/>
    <w:rsid w:val="00F75E33"/>
    <w:rsid w:val="00F7788C"/>
    <w:rsid w:val="00F80A38"/>
    <w:rsid w:val="00F81AB6"/>
    <w:rsid w:val="00F81CAB"/>
    <w:rsid w:val="00F81FF0"/>
    <w:rsid w:val="00F8484B"/>
    <w:rsid w:val="00F856A4"/>
    <w:rsid w:val="00F867CF"/>
    <w:rsid w:val="00F86FF4"/>
    <w:rsid w:val="00F87577"/>
    <w:rsid w:val="00F90190"/>
    <w:rsid w:val="00F90EA6"/>
    <w:rsid w:val="00F92135"/>
    <w:rsid w:val="00F93381"/>
    <w:rsid w:val="00FA2567"/>
    <w:rsid w:val="00FA46A1"/>
    <w:rsid w:val="00FA470A"/>
    <w:rsid w:val="00FA6115"/>
    <w:rsid w:val="00FA65A8"/>
    <w:rsid w:val="00FA6B21"/>
    <w:rsid w:val="00FB0DFC"/>
    <w:rsid w:val="00FB29BA"/>
    <w:rsid w:val="00FB3FDE"/>
    <w:rsid w:val="00FB47AF"/>
    <w:rsid w:val="00FC064A"/>
    <w:rsid w:val="00FC7918"/>
    <w:rsid w:val="00FD06BA"/>
    <w:rsid w:val="00FD0748"/>
    <w:rsid w:val="00FD1256"/>
    <w:rsid w:val="00FD1A6A"/>
    <w:rsid w:val="00FD4737"/>
    <w:rsid w:val="00FD6C30"/>
    <w:rsid w:val="00FD7790"/>
    <w:rsid w:val="00FE4DA0"/>
    <w:rsid w:val="00FE7571"/>
    <w:rsid w:val="00FF1492"/>
    <w:rsid w:val="00FF2247"/>
    <w:rsid w:val="00FF5089"/>
    <w:rsid w:val="00FF6A96"/>
    <w:rsid w:val="03A357EC"/>
    <w:rsid w:val="04F41354"/>
    <w:rsid w:val="05857ADA"/>
    <w:rsid w:val="05AD6DF7"/>
    <w:rsid w:val="06DC3013"/>
    <w:rsid w:val="07040A81"/>
    <w:rsid w:val="0738783F"/>
    <w:rsid w:val="07A17E9E"/>
    <w:rsid w:val="07B26179"/>
    <w:rsid w:val="07C97FED"/>
    <w:rsid w:val="083A4C8C"/>
    <w:rsid w:val="08DA6AC8"/>
    <w:rsid w:val="095A1DB7"/>
    <w:rsid w:val="097203E5"/>
    <w:rsid w:val="0A607AEE"/>
    <w:rsid w:val="0C3670AB"/>
    <w:rsid w:val="0CEE4399"/>
    <w:rsid w:val="0CF75483"/>
    <w:rsid w:val="0D9F421B"/>
    <w:rsid w:val="0F2B7751"/>
    <w:rsid w:val="10133FCF"/>
    <w:rsid w:val="128A0031"/>
    <w:rsid w:val="12FA011D"/>
    <w:rsid w:val="13150E69"/>
    <w:rsid w:val="13553CB5"/>
    <w:rsid w:val="143D2651"/>
    <w:rsid w:val="156C128E"/>
    <w:rsid w:val="15D47FF3"/>
    <w:rsid w:val="15EE0F25"/>
    <w:rsid w:val="174E5D64"/>
    <w:rsid w:val="189560BF"/>
    <w:rsid w:val="1A040923"/>
    <w:rsid w:val="1A073AB6"/>
    <w:rsid w:val="1A7D62A6"/>
    <w:rsid w:val="1A884F98"/>
    <w:rsid w:val="1BB70EE8"/>
    <w:rsid w:val="1BE972A3"/>
    <w:rsid w:val="1BF02BDB"/>
    <w:rsid w:val="1C1918B0"/>
    <w:rsid w:val="1C1C354C"/>
    <w:rsid w:val="1CB54B3D"/>
    <w:rsid w:val="1DAE1BE7"/>
    <w:rsid w:val="1E4E5E1D"/>
    <w:rsid w:val="1E830BE9"/>
    <w:rsid w:val="1EF259D3"/>
    <w:rsid w:val="1F252947"/>
    <w:rsid w:val="1F4A384F"/>
    <w:rsid w:val="1FDF7A22"/>
    <w:rsid w:val="20EC37CC"/>
    <w:rsid w:val="21D90C35"/>
    <w:rsid w:val="23CC26B0"/>
    <w:rsid w:val="24407A24"/>
    <w:rsid w:val="26200791"/>
    <w:rsid w:val="289E3869"/>
    <w:rsid w:val="28BE60B7"/>
    <w:rsid w:val="28E345C0"/>
    <w:rsid w:val="2A486D12"/>
    <w:rsid w:val="2A6679AA"/>
    <w:rsid w:val="2CD82B61"/>
    <w:rsid w:val="2E0020B8"/>
    <w:rsid w:val="2F203439"/>
    <w:rsid w:val="30313BF4"/>
    <w:rsid w:val="30473064"/>
    <w:rsid w:val="30AF46B9"/>
    <w:rsid w:val="312C54AD"/>
    <w:rsid w:val="31D37FA4"/>
    <w:rsid w:val="32591D8B"/>
    <w:rsid w:val="32B80EFF"/>
    <w:rsid w:val="337A0662"/>
    <w:rsid w:val="33AD1FC0"/>
    <w:rsid w:val="33D91179"/>
    <w:rsid w:val="34C92BD1"/>
    <w:rsid w:val="353D6BF1"/>
    <w:rsid w:val="35DB25D5"/>
    <w:rsid w:val="36062EF9"/>
    <w:rsid w:val="369D7D38"/>
    <w:rsid w:val="372E419D"/>
    <w:rsid w:val="3AEF2D11"/>
    <w:rsid w:val="3B586E25"/>
    <w:rsid w:val="3BF3043D"/>
    <w:rsid w:val="3C3F7E47"/>
    <w:rsid w:val="3D365FA0"/>
    <w:rsid w:val="3D3E7557"/>
    <w:rsid w:val="3EBE523A"/>
    <w:rsid w:val="40C62C05"/>
    <w:rsid w:val="40DC0427"/>
    <w:rsid w:val="40E00160"/>
    <w:rsid w:val="40FA7675"/>
    <w:rsid w:val="415278A0"/>
    <w:rsid w:val="41CB26B3"/>
    <w:rsid w:val="43112903"/>
    <w:rsid w:val="4480125C"/>
    <w:rsid w:val="45897F58"/>
    <w:rsid w:val="461319E9"/>
    <w:rsid w:val="48DE5C58"/>
    <w:rsid w:val="49150470"/>
    <w:rsid w:val="4AEA2DBA"/>
    <w:rsid w:val="4C786269"/>
    <w:rsid w:val="4CEF27AB"/>
    <w:rsid w:val="4D3C4ABB"/>
    <w:rsid w:val="4D625FFE"/>
    <w:rsid w:val="4D6F3013"/>
    <w:rsid w:val="4DB1122E"/>
    <w:rsid w:val="4F3D500B"/>
    <w:rsid w:val="4FE82BA9"/>
    <w:rsid w:val="50584834"/>
    <w:rsid w:val="50C87102"/>
    <w:rsid w:val="5182336D"/>
    <w:rsid w:val="539D53F3"/>
    <w:rsid w:val="53FC5753"/>
    <w:rsid w:val="53FD6FDC"/>
    <w:rsid w:val="55C24081"/>
    <w:rsid w:val="584F2645"/>
    <w:rsid w:val="58937D0E"/>
    <w:rsid w:val="592700A9"/>
    <w:rsid w:val="59DF40A7"/>
    <w:rsid w:val="5B3E2E30"/>
    <w:rsid w:val="5BFC1640"/>
    <w:rsid w:val="5C942C03"/>
    <w:rsid w:val="5CF65DB5"/>
    <w:rsid w:val="5D650CAA"/>
    <w:rsid w:val="5E031A37"/>
    <w:rsid w:val="5E11624F"/>
    <w:rsid w:val="5E970384"/>
    <w:rsid w:val="5FEF44D5"/>
    <w:rsid w:val="601F2E6B"/>
    <w:rsid w:val="605162CE"/>
    <w:rsid w:val="60D45D8D"/>
    <w:rsid w:val="610E6E6B"/>
    <w:rsid w:val="61B72044"/>
    <w:rsid w:val="630660A1"/>
    <w:rsid w:val="632755F0"/>
    <w:rsid w:val="63E01EDF"/>
    <w:rsid w:val="63FF37CC"/>
    <w:rsid w:val="646C5752"/>
    <w:rsid w:val="64BC2F55"/>
    <w:rsid w:val="65A474E3"/>
    <w:rsid w:val="65E03AC5"/>
    <w:rsid w:val="664D459F"/>
    <w:rsid w:val="66890EAD"/>
    <w:rsid w:val="66D14508"/>
    <w:rsid w:val="66FD4C79"/>
    <w:rsid w:val="675533FD"/>
    <w:rsid w:val="6895225D"/>
    <w:rsid w:val="68BD7982"/>
    <w:rsid w:val="68D34103"/>
    <w:rsid w:val="68DA29E7"/>
    <w:rsid w:val="691B0D0B"/>
    <w:rsid w:val="6BF91FD2"/>
    <w:rsid w:val="6C615D7A"/>
    <w:rsid w:val="6E913AD8"/>
    <w:rsid w:val="6F130474"/>
    <w:rsid w:val="707D1CE1"/>
    <w:rsid w:val="715F5A9E"/>
    <w:rsid w:val="71656D80"/>
    <w:rsid w:val="71693604"/>
    <w:rsid w:val="71C043CE"/>
    <w:rsid w:val="71E94288"/>
    <w:rsid w:val="73BE6E48"/>
    <w:rsid w:val="73E3190F"/>
    <w:rsid w:val="742A2987"/>
    <w:rsid w:val="759E4EC5"/>
    <w:rsid w:val="75F2006C"/>
    <w:rsid w:val="770B2488"/>
    <w:rsid w:val="78D92CB6"/>
    <w:rsid w:val="797F17A4"/>
    <w:rsid w:val="7A3F6C2E"/>
    <w:rsid w:val="7ADD368C"/>
    <w:rsid w:val="7C9B16D1"/>
    <w:rsid w:val="7D925423"/>
    <w:rsid w:val="7DD03741"/>
    <w:rsid w:val="7E883142"/>
    <w:rsid w:val="7FE868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endnote text"/>
    <w:basedOn w:val="1"/>
    <w:link w:val="23"/>
    <w:unhideWhenUsed/>
    <w:uiPriority w:val="0"/>
    <w:pPr>
      <w:snapToGrid w:val="0"/>
      <w:jc w:val="left"/>
    </w:pPr>
    <w:rPr>
      <w:rFonts w:ascii="Times New Roman" w:hAnsi="Times New Roman"/>
    </w:rPr>
  </w:style>
  <w:style w:type="paragraph" w:styleId="5">
    <w:name w:val="Balloon Text"/>
    <w:basedOn w:val="1"/>
    <w:link w:val="14"/>
    <w:uiPriority w:val="0"/>
    <w:rPr>
      <w:sz w:val="18"/>
      <w:szCs w:val="18"/>
    </w:rPr>
  </w:style>
  <w:style w:type="paragraph" w:styleId="6">
    <w:name w:val="footer"/>
    <w:basedOn w:val="1"/>
    <w:link w:val="19"/>
    <w:uiPriority w:val="0"/>
    <w:pPr>
      <w:tabs>
        <w:tab w:val="center" w:pos="4153"/>
        <w:tab w:val="right" w:pos="8306"/>
      </w:tabs>
      <w:snapToGrid w:val="0"/>
      <w:jc w:val="left"/>
    </w:pPr>
    <w:rPr>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Autospacing="1"/>
      <w:jc w:val="left"/>
    </w:pPr>
    <w:rPr>
      <w:rFonts w:ascii="宋体" w:hAnsi="宋体" w:cs="宋体"/>
      <w:kern w:val="0"/>
      <w:sz w:val="24"/>
    </w:rPr>
  </w:style>
  <w:style w:type="character" w:styleId="11">
    <w:name w:val="Strong"/>
    <w:qFormat/>
    <w:uiPriority w:val="0"/>
    <w:rPr>
      <w:b/>
    </w:rPr>
  </w:style>
  <w:style w:type="character" w:styleId="12">
    <w:name w:val="Emphasis"/>
    <w:basedOn w:val="10"/>
    <w:qFormat/>
    <w:uiPriority w:val="20"/>
    <w:rPr>
      <w:i/>
      <w:iCs/>
    </w:rPr>
  </w:style>
  <w:style w:type="character" w:styleId="13">
    <w:name w:val="Hyperlink"/>
    <w:uiPriority w:val="0"/>
    <w:rPr>
      <w:color w:val="0000FF"/>
      <w:u w:val="single"/>
    </w:rPr>
  </w:style>
  <w:style w:type="character" w:customStyle="1" w:styleId="14">
    <w:name w:val="批注框文本 Char"/>
    <w:basedOn w:val="10"/>
    <w:link w:val="5"/>
    <w:uiPriority w:val="0"/>
    <w:rPr>
      <w:rFonts w:ascii="Calibri" w:hAnsi="Calibri"/>
      <w:kern w:val="2"/>
      <w:sz w:val="18"/>
      <w:szCs w:val="18"/>
    </w:rPr>
  </w:style>
  <w:style w:type="character" w:customStyle="1" w:styleId="15">
    <w:name w:val="fontstyle01"/>
    <w:basedOn w:val="10"/>
    <w:uiPriority w:val="0"/>
    <w:rPr>
      <w:rFonts w:hint="eastAsia" w:ascii="方正仿宋_GBK" w:eastAsia="方正仿宋_GBK"/>
      <w:color w:val="000000"/>
      <w:sz w:val="32"/>
      <w:szCs w:val="32"/>
    </w:rPr>
  </w:style>
  <w:style w:type="character" w:customStyle="1" w:styleId="16">
    <w:name w:val="页眉 Char"/>
    <w:link w:val="7"/>
    <w:uiPriority w:val="0"/>
    <w:rPr>
      <w:rFonts w:ascii="Calibri" w:hAnsi="Calibri"/>
      <w:kern w:val="2"/>
      <w:sz w:val="18"/>
      <w:szCs w:val="18"/>
    </w:rPr>
  </w:style>
  <w:style w:type="character" w:customStyle="1" w:styleId="17">
    <w:name w:val="标题 1 Char"/>
    <w:basedOn w:val="10"/>
    <w:link w:val="2"/>
    <w:uiPriority w:val="0"/>
    <w:rPr>
      <w:rFonts w:ascii="Calibri" w:hAnsi="Calibri"/>
      <w:b/>
      <w:bCs/>
      <w:kern w:val="44"/>
      <w:sz w:val="44"/>
      <w:szCs w:val="44"/>
    </w:rPr>
  </w:style>
  <w:style w:type="character" w:customStyle="1" w:styleId="18">
    <w:name w:val="标题 3 Char"/>
    <w:basedOn w:val="10"/>
    <w:link w:val="3"/>
    <w:semiHidden/>
    <w:uiPriority w:val="0"/>
    <w:rPr>
      <w:rFonts w:ascii="Calibri" w:hAnsi="Calibri"/>
      <w:b/>
      <w:bCs/>
      <w:kern w:val="2"/>
      <w:sz w:val="32"/>
      <w:szCs w:val="32"/>
    </w:rPr>
  </w:style>
  <w:style w:type="character" w:customStyle="1" w:styleId="19">
    <w:name w:val="页脚 Char"/>
    <w:link w:val="6"/>
    <w:uiPriority w:val="0"/>
    <w:rPr>
      <w:rFonts w:ascii="Calibri" w:hAnsi="Calibri"/>
      <w:kern w:val="2"/>
      <w:sz w:val="18"/>
      <w:szCs w:val="18"/>
    </w:rPr>
  </w:style>
  <w:style w:type="paragraph" w:customStyle="1" w:styleId="20">
    <w:name w:val="Default"/>
    <w:uiPriority w:val="99"/>
    <w:pPr>
      <w:widowControl w:val="0"/>
      <w:autoSpaceDE w:val="0"/>
      <w:autoSpaceDN w:val="0"/>
      <w:adjustRightInd w:val="0"/>
    </w:pPr>
    <w:rPr>
      <w:rFonts w:ascii="方正小标宋" w:hAnsi="Calibri" w:eastAsia="方正小标宋" w:cs="方正小标宋"/>
      <w:color w:val="000000"/>
      <w:sz w:val="24"/>
      <w:szCs w:val="24"/>
      <w:lang w:val="en-US" w:eastAsia="zh-CN" w:bidi="ar-SA"/>
    </w:rPr>
  </w:style>
  <w:style w:type="paragraph" w:customStyle="1" w:styleId="21">
    <w:name w:val="样式1"/>
    <w:basedOn w:val="1"/>
    <w:uiPriority w:val="0"/>
    <w:pPr>
      <w:spacing w:line="760" w:lineRule="atLeast"/>
      <w:jc w:val="center"/>
    </w:pPr>
    <w:rPr>
      <w:rFonts w:ascii="Times New Roman" w:hAnsi="Times New Roman" w:eastAsia="方正小标宋简体"/>
      <w:sz w:val="44"/>
      <w:szCs w:val="44"/>
    </w:rPr>
  </w:style>
  <w:style w:type="character" w:customStyle="1" w:styleId="22">
    <w:name w:val="尾注文本 字符"/>
    <w:basedOn w:val="10"/>
    <w:semiHidden/>
    <w:uiPriority w:val="0"/>
    <w:rPr>
      <w:rFonts w:ascii="Calibri" w:hAnsi="Calibri"/>
      <w:kern w:val="2"/>
      <w:sz w:val="21"/>
      <w:szCs w:val="24"/>
    </w:rPr>
  </w:style>
  <w:style w:type="character" w:customStyle="1" w:styleId="23">
    <w:name w:val="尾注文本 Char"/>
    <w:link w:val="4"/>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A528C7-A7F9-48B9-8FF2-B52D67C2CF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13856</Words>
  <Characters>14443</Characters>
  <Lines>106</Lines>
  <Paragraphs>30</Paragraphs>
  <TotalTime>1</TotalTime>
  <ScaleCrop>false</ScaleCrop>
  <LinksUpToDate>false</LinksUpToDate>
  <CharactersWithSpaces>14477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2019-01-02T13:07:00Z</dcterms:created>
  <dc:creator>Administrator</dc:creator>
  <cp:lastModifiedBy>Min</cp:lastModifiedBy>
  <cp:lastPrinted>2018-12-30T05:27:00Z</cp:lastPrinted>
  <dcterms:modified xsi:type="dcterms:W3CDTF">2025-08-19T07:50:58Z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eyJoZGlkIjoiMTJiN2E1NDVjMjlmOTJmMDkwMjU5N2FiODhhY2ExZmQiLCJ1c2VySWQiOiI0MzA0NDQwNjYifQ==</vt:lpwstr>
  </property>
  <property fmtid="{D5CDD505-2E9C-101B-9397-08002B2CF9AE}" pid="4" name="ICV">
    <vt:lpwstr>6414BF242A0A4E908C4F4B3B4A3DE237_12</vt:lpwstr>
  </property>
</Properties>
</file>